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6995" w:rsidRPr="00B67DFC" w:rsidRDefault="00C26995" w:rsidP="00C26995">
      <w:pPr>
        <w:pStyle w:val="Akti"/>
        <w:keepNext w:val="0"/>
        <w:rPr>
          <w:rFonts w:ascii="Garamond" w:hAnsi="Garamond"/>
          <w:sz w:val="24"/>
          <w:szCs w:val="24"/>
          <w:lang w:val="sq-AL"/>
        </w:rPr>
      </w:pPr>
      <w:r w:rsidRPr="00B67DFC">
        <w:rPr>
          <w:rFonts w:ascii="Garamond" w:hAnsi="Garamond"/>
          <w:sz w:val="24"/>
          <w:szCs w:val="24"/>
          <w:lang w:val="sq-AL"/>
        </w:rPr>
        <w:t>VENDIM</w:t>
      </w:r>
    </w:p>
    <w:p w:rsidR="00C26995" w:rsidRPr="00B67DFC" w:rsidRDefault="00C26995" w:rsidP="00C26995">
      <w:pPr>
        <w:pStyle w:val="NumriData"/>
        <w:keepNext w:val="0"/>
        <w:rPr>
          <w:rFonts w:ascii="Garamond" w:hAnsi="Garamond"/>
          <w:sz w:val="24"/>
          <w:szCs w:val="24"/>
          <w:lang w:val="sq-AL"/>
        </w:rPr>
      </w:pPr>
      <w:r w:rsidRPr="00B67DFC">
        <w:rPr>
          <w:rFonts w:ascii="Garamond" w:hAnsi="Garamond"/>
          <w:sz w:val="24"/>
          <w:szCs w:val="24"/>
          <w:lang w:val="sq-AL"/>
        </w:rPr>
        <w:t>Nr.481, datë 22.6.2011</w:t>
      </w:r>
    </w:p>
    <w:p w:rsidR="00C26995" w:rsidRPr="00B67DFC" w:rsidRDefault="00C26995" w:rsidP="00C26995">
      <w:pPr>
        <w:pStyle w:val="Paragrafi"/>
        <w:rPr>
          <w:rFonts w:ascii="Garamond" w:hAnsi="Garamond"/>
          <w:sz w:val="24"/>
          <w:szCs w:val="24"/>
          <w:lang w:val="sq-AL"/>
        </w:rPr>
      </w:pPr>
    </w:p>
    <w:p w:rsidR="00C26995" w:rsidRPr="00B67DFC" w:rsidRDefault="00C26995" w:rsidP="00C26995">
      <w:pPr>
        <w:pStyle w:val="Titulli"/>
        <w:keepNext w:val="0"/>
        <w:rPr>
          <w:rFonts w:ascii="Garamond" w:hAnsi="Garamond"/>
          <w:sz w:val="24"/>
          <w:szCs w:val="24"/>
          <w:lang w:val="sq-AL"/>
        </w:rPr>
      </w:pPr>
      <w:r w:rsidRPr="00B67DFC">
        <w:rPr>
          <w:rFonts w:ascii="Garamond" w:hAnsi="Garamond"/>
          <w:sz w:val="24"/>
          <w:szCs w:val="24"/>
          <w:lang w:val="sq-AL"/>
        </w:rPr>
        <w:t>PËR MIRATIMIN E RREGULLORES UNIFORME TË INSTRUMENTEVE TË PLANIFIKIMIT</w:t>
      </w:r>
    </w:p>
    <w:p w:rsidR="00C26995" w:rsidRPr="00B67DFC" w:rsidRDefault="00F020CC" w:rsidP="00F020CC">
      <w:pPr>
        <w:pStyle w:val="Paragrafi"/>
        <w:ind w:firstLine="0"/>
        <w:jc w:val="center"/>
        <w:rPr>
          <w:rFonts w:ascii="Garamond" w:hAnsi="Garamond"/>
          <w:i/>
          <w:sz w:val="24"/>
          <w:szCs w:val="24"/>
          <w:lang w:val="sq-AL"/>
        </w:rPr>
      </w:pPr>
      <w:bookmarkStart w:id="0" w:name="_GoBack"/>
      <w:r w:rsidRPr="00B67DFC">
        <w:rPr>
          <w:rFonts w:ascii="Garamond" w:hAnsi="Garamond"/>
          <w:i/>
          <w:sz w:val="24"/>
          <w:szCs w:val="24"/>
          <w:lang w:val="sq-AL"/>
        </w:rPr>
        <w:t xml:space="preserve">(Ndryshuar me </w:t>
      </w:r>
      <w:bookmarkStart w:id="1" w:name="_Hlk212629416"/>
      <w:r w:rsidRPr="00B67DFC">
        <w:rPr>
          <w:rFonts w:ascii="Garamond" w:hAnsi="Garamond"/>
          <w:i/>
          <w:sz w:val="24"/>
          <w:szCs w:val="24"/>
          <w:lang w:val="sq-AL"/>
        </w:rPr>
        <w:t>VKM nr. 312, datë 13.3.2013</w:t>
      </w:r>
      <w:bookmarkEnd w:id="1"/>
      <w:r w:rsidRPr="00B67DFC">
        <w:rPr>
          <w:rFonts w:ascii="Garamond" w:hAnsi="Garamond"/>
          <w:i/>
          <w:sz w:val="24"/>
          <w:szCs w:val="24"/>
          <w:lang w:val="sq-AL"/>
        </w:rPr>
        <w:t>)</w:t>
      </w:r>
    </w:p>
    <w:p w:rsidR="00F020CC" w:rsidRPr="00B67DFC" w:rsidRDefault="00F020CC" w:rsidP="00F020CC">
      <w:pPr>
        <w:pStyle w:val="Paragrafi"/>
        <w:ind w:firstLine="0"/>
        <w:jc w:val="right"/>
        <w:rPr>
          <w:rFonts w:ascii="Garamond" w:hAnsi="Garamond"/>
          <w:i/>
          <w:sz w:val="24"/>
          <w:szCs w:val="24"/>
          <w:lang w:val="sq-AL"/>
        </w:rPr>
      </w:pPr>
      <w:r w:rsidRPr="00B67DFC">
        <w:rPr>
          <w:rFonts w:ascii="Garamond" w:hAnsi="Garamond"/>
          <w:i/>
          <w:sz w:val="24"/>
          <w:szCs w:val="24"/>
          <w:lang w:val="sq-AL"/>
        </w:rPr>
        <w:t>(i përditësuar)</w:t>
      </w:r>
    </w:p>
    <w:bookmarkEnd w:id="0"/>
    <w:p w:rsidR="00C26995" w:rsidRPr="00B67DFC" w:rsidRDefault="00C26995" w:rsidP="00C26995">
      <w:pPr>
        <w:pStyle w:val="BazLigjPropozues"/>
        <w:keepNext w:val="0"/>
        <w:rPr>
          <w:rFonts w:ascii="Garamond" w:hAnsi="Garamond"/>
          <w:sz w:val="24"/>
          <w:szCs w:val="24"/>
          <w:lang w:val="sq-AL"/>
        </w:rPr>
      </w:pPr>
      <w:r w:rsidRPr="00B67DFC">
        <w:rPr>
          <w:rFonts w:ascii="Garamond" w:hAnsi="Garamond"/>
          <w:sz w:val="24"/>
          <w:szCs w:val="24"/>
          <w:lang w:val="sq-AL"/>
        </w:rPr>
        <w:t xml:space="preserve">Në mbështetje të nenit 100 të Kushtetutës dhe të nenit 24 të ligjit nr.10 119, datë 23.4.2009 “Për planifikimin e territorit”, të ndryshuar, me propozimin e Ministrit të Punëve Publike dhe Transportit, Këshilli i Ministrave </w:t>
      </w:r>
    </w:p>
    <w:p w:rsidR="00C26995" w:rsidRPr="00B67DFC" w:rsidRDefault="00C26995" w:rsidP="00C26995">
      <w:pPr>
        <w:pStyle w:val="Paragrafi"/>
        <w:rPr>
          <w:rFonts w:ascii="Garamond" w:hAnsi="Garamond"/>
          <w:sz w:val="24"/>
          <w:szCs w:val="24"/>
          <w:lang w:val="sq-AL"/>
        </w:rPr>
      </w:pPr>
      <w:r w:rsidRPr="00B67DFC">
        <w:rPr>
          <w:rFonts w:ascii="Garamond" w:hAnsi="Garamond"/>
          <w:sz w:val="24"/>
          <w:szCs w:val="24"/>
          <w:lang w:val="sq-AL"/>
        </w:rPr>
        <w:t> </w:t>
      </w:r>
    </w:p>
    <w:p w:rsidR="00C26995" w:rsidRPr="00B67DFC" w:rsidRDefault="00C26995" w:rsidP="00C26995">
      <w:pPr>
        <w:pStyle w:val="VENDOSI"/>
        <w:keepNext w:val="0"/>
        <w:rPr>
          <w:rFonts w:ascii="Garamond" w:hAnsi="Garamond"/>
          <w:sz w:val="24"/>
          <w:szCs w:val="24"/>
          <w:lang w:val="sq-AL"/>
        </w:rPr>
      </w:pPr>
      <w:r w:rsidRPr="00B67DFC">
        <w:rPr>
          <w:rFonts w:ascii="Garamond" w:hAnsi="Garamond"/>
          <w:sz w:val="24"/>
          <w:szCs w:val="24"/>
          <w:lang w:val="sq-AL"/>
        </w:rPr>
        <w:t>VENDOSI:</w:t>
      </w:r>
    </w:p>
    <w:p w:rsidR="00C26995" w:rsidRPr="00B67DFC" w:rsidRDefault="00C26995" w:rsidP="00C26995">
      <w:pPr>
        <w:pStyle w:val="Paragrafi"/>
        <w:rPr>
          <w:rFonts w:ascii="Garamond" w:hAnsi="Garamond"/>
          <w:sz w:val="24"/>
          <w:szCs w:val="24"/>
          <w:lang w:val="sq-AL"/>
        </w:rPr>
      </w:pPr>
      <w:r w:rsidRPr="00B67DFC">
        <w:rPr>
          <w:rFonts w:ascii="Garamond" w:hAnsi="Garamond"/>
          <w:sz w:val="24"/>
          <w:szCs w:val="24"/>
          <w:lang w:val="sq-AL"/>
        </w:rPr>
        <w:t> </w:t>
      </w:r>
    </w:p>
    <w:p w:rsidR="00C26995" w:rsidRPr="00B67DFC" w:rsidRDefault="00C26995" w:rsidP="00C26995">
      <w:pPr>
        <w:pStyle w:val="Paragrafi"/>
        <w:rPr>
          <w:rFonts w:ascii="Garamond" w:hAnsi="Garamond"/>
          <w:sz w:val="24"/>
          <w:szCs w:val="24"/>
          <w:lang w:val="sq-AL"/>
        </w:rPr>
      </w:pPr>
      <w:r w:rsidRPr="00B67DFC">
        <w:rPr>
          <w:rFonts w:ascii="Garamond" w:hAnsi="Garamond"/>
          <w:sz w:val="24"/>
          <w:szCs w:val="24"/>
          <w:lang w:val="sq-AL"/>
        </w:rPr>
        <w:t>1. Miratimin e rregullores uniforme të instrumenteve të planifikimit, sipas shtojcave 1 dhe 2, që i bashkëlidhen këtij vendimi dhe janë pjesë përbërëse të tij.</w:t>
      </w:r>
    </w:p>
    <w:p w:rsidR="00C26995" w:rsidRPr="00B67DFC" w:rsidRDefault="00C26995" w:rsidP="00C26995">
      <w:pPr>
        <w:pStyle w:val="Paragrafi"/>
        <w:rPr>
          <w:rFonts w:ascii="Garamond" w:hAnsi="Garamond"/>
          <w:sz w:val="24"/>
          <w:szCs w:val="24"/>
          <w:lang w:val="sq-AL"/>
        </w:rPr>
      </w:pPr>
      <w:r w:rsidRPr="00B67DFC">
        <w:rPr>
          <w:rFonts w:ascii="Garamond" w:hAnsi="Garamond"/>
          <w:sz w:val="24"/>
          <w:szCs w:val="24"/>
          <w:lang w:val="sq-AL"/>
        </w:rPr>
        <w:t>2. Ngarkohen autoritetet e planifikimit, të përcaktuara në nenet 5 dhe 12 të ligjit nr.10 119, datë 23.4.2009 “Për planifikimin e territorit”, të ndryshuar, për zbatimin e këtij vendimi.</w:t>
      </w:r>
    </w:p>
    <w:p w:rsidR="00C26995" w:rsidRPr="00B67DFC" w:rsidRDefault="00C26995" w:rsidP="00C26995">
      <w:pPr>
        <w:pStyle w:val="Paragrafi"/>
        <w:rPr>
          <w:rFonts w:ascii="Garamond" w:hAnsi="Garamond"/>
          <w:sz w:val="24"/>
          <w:szCs w:val="24"/>
          <w:lang w:val="sq-AL"/>
        </w:rPr>
      </w:pPr>
      <w:r w:rsidRPr="00B67DFC">
        <w:rPr>
          <w:rFonts w:ascii="Garamond" w:hAnsi="Garamond"/>
          <w:sz w:val="24"/>
          <w:szCs w:val="24"/>
          <w:lang w:val="sq-AL"/>
        </w:rPr>
        <w:t>Ky vendim hyn në fuqi pas botimit në Fletoren Zyrtare dhe i shtrin efektet nga data 30 shtator 2011.</w:t>
      </w:r>
    </w:p>
    <w:p w:rsidR="00C26995" w:rsidRPr="00B67DFC" w:rsidRDefault="00C26995" w:rsidP="00C26995">
      <w:pPr>
        <w:pStyle w:val="Paragrafi"/>
        <w:rPr>
          <w:rFonts w:ascii="Garamond" w:hAnsi="Garamond"/>
          <w:sz w:val="24"/>
          <w:szCs w:val="24"/>
          <w:lang w:val="sq-AL"/>
        </w:rPr>
      </w:pPr>
    </w:p>
    <w:p w:rsidR="00C26995" w:rsidRPr="00B67DFC" w:rsidRDefault="00C26995" w:rsidP="00C26995">
      <w:pPr>
        <w:pStyle w:val="Autoriteti"/>
        <w:keepNext w:val="0"/>
        <w:rPr>
          <w:rFonts w:ascii="Garamond" w:hAnsi="Garamond"/>
          <w:sz w:val="24"/>
          <w:szCs w:val="24"/>
          <w:lang w:val="sq-AL"/>
        </w:rPr>
      </w:pPr>
      <w:r w:rsidRPr="00B67DFC">
        <w:rPr>
          <w:rFonts w:ascii="Garamond" w:hAnsi="Garamond"/>
          <w:sz w:val="24"/>
          <w:szCs w:val="24"/>
          <w:lang w:val="sq-AL"/>
        </w:rPr>
        <w:t>KRYEMINISTRI</w:t>
      </w:r>
    </w:p>
    <w:p w:rsidR="00C26995" w:rsidRPr="00B67DFC" w:rsidRDefault="00C26995" w:rsidP="00C26995">
      <w:pPr>
        <w:pStyle w:val="AutoritetiEmer"/>
        <w:rPr>
          <w:rFonts w:ascii="Garamond" w:hAnsi="Garamond"/>
          <w:sz w:val="24"/>
          <w:szCs w:val="24"/>
          <w:lang w:val="sq-AL"/>
        </w:rPr>
      </w:pPr>
      <w:proofErr w:type="spellStart"/>
      <w:r w:rsidRPr="00B67DFC">
        <w:rPr>
          <w:rFonts w:ascii="Garamond" w:hAnsi="Garamond"/>
          <w:sz w:val="24"/>
          <w:szCs w:val="24"/>
          <w:lang w:val="sq-AL"/>
        </w:rPr>
        <w:t>Sali</w:t>
      </w:r>
      <w:proofErr w:type="spellEnd"/>
      <w:r w:rsidRPr="00B67DFC">
        <w:rPr>
          <w:rFonts w:ascii="Garamond" w:hAnsi="Garamond"/>
          <w:sz w:val="24"/>
          <w:szCs w:val="24"/>
          <w:lang w:val="sq-AL"/>
        </w:rPr>
        <w:t xml:space="preserve"> Berisha</w:t>
      </w:r>
    </w:p>
    <w:p w:rsidR="00F020CC" w:rsidRPr="00B67DFC" w:rsidRDefault="00F020CC" w:rsidP="00F020CC">
      <w:pPr>
        <w:widowControl w:val="0"/>
        <w:jc w:val="center"/>
        <w:outlineLvl w:val="0"/>
        <w:rPr>
          <w:rFonts w:ascii="Garamond" w:hAnsi="Garamond"/>
          <w:b/>
          <w:caps/>
          <w:lang w:val="sq-AL" w:bidi="en-US"/>
        </w:rPr>
      </w:pPr>
      <w:r w:rsidRPr="00B67DFC">
        <w:rPr>
          <w:rFonts w:ascii="Garamond" w:hAnsi="Garamond"/>
          <w:b/>
          <w:caps/>
          <w:lang w:val="sq-AL" w:bidi="en-US"/>
        </w:rPr>
        <w:t>SHTOJCA 1</w:t>
      </w:r>
    </w:p>
    <w:p w:rsidR="00F020CC" w:rsidRPr="00B67DFC" w:rsidRDefault="00F020CC" w:rsidP="00F020CC">
      <w:pPr>
        <w:widowControl w:val="0"/>
        <w:jc w:val="center"/>
        <w:outlineLvl w:val="0"/>
        <w:rPr>
          <w:rFonts w:ascii="Garamond" w:hAnsi="Garamond"/>
          <w:caps/>
          <w:lang w:val="sq-AL" w:bidi="en-US"/>
        </w:rPr>
      </w:pPr>
      <w:r w:rsidRPr="00B67DFC">
        <w:rPr>
          <w:rFonts w:ascii="Garamond" w:hAnsi="Garamond"/>
          <w:caps/>
          <w:lang w:val="sq-AL" w:bidi="en-US"/>
        </w:rPr>
        <w:t>RREGULLORJA UNIFORME E INSTRUMENTEVE TË PLANIFIKIMIT</w:t>
      </w:r>
    </w:p>
    <w:p w:rsidR="00F020CC" w:rsidRPr="00B67DFC" w:rsidRDefault="00F020CC" w:rsidP="00F020CC">
      <w:pPr>
        <w:widowControl w:val="0"/>
        <w:jc w:val="both"/>
        <w:rPr>
          <w:rFonts w:ascii="Garamond" w:hAnsi="Garamond"/>
          <w:lang w:val="sq-AL" w:bidi="en-US"/>
        </w:rPr>
      </w:pPr>
    </w:p>
    <w:p w:rsidR="00F020CC" w:rsidRPr="00B67DFC" w:rsidRDefault="00F020CC" w:rsidP="00F020CC">
      <w:pPr>
        <w:widowControl w:val="0"/>
        <w:jc w:val="center"/>
        <w:rPr>
          <w:rFonts w:ascii="Garamond" w:hAnsi="Garamond"/>
          <w:caps/>
          <w:lang w:val="sq-AL" w:bidi="en-US"/>
        </w:rPr>
      </w:pPr>
      <w:r w:rsidRPr="00B67DFC">
        <w:rPr>
          <w:rFonts w:ascii="Garamond" w:hAnsi="Garamond"/>
          <w:caps/>
          <w:lang w:val="sq-AL" w:bidi="en-US"/>
        </w:rPr>
        <w:t>KREU I</w:t>
      </w:r>
    </w:p>
    <w:p w:rsidR="00F020CC" w:rsidRPr="00B67DFC" w:rsidRDefault="00F020CC" w:rsidP="00F020CC">
      <w:pPr>
        <w:widowControl w:val="0"/>
        <w:jc w:val="center"/>
        <w:rPr>
          <w:rFonts w:ascii="Garamond" w:hAnsi="Garamond"/>
          <w:caps/>
          <w:lang w:val="sq-AL" w:bidi="en-US"/>
        </w:rPr>
      </w:pPr>
      <w:r w:rsidRPr="00B67DFC">
        <w:rPr>
          <w:rFonts w:ascii="Garamond" w:hAnsi="Garamond"/>
          <w:caps/>
          <w:lang w:val="sq-AL" w:bidi="en-US"/>
        </w:rPr>
        <w:t>DISPOZITA TË PËRGJITHSHME</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t>Neni 1</w:t>
      </w:r>
    </w:p>
    <w:p w:rsidR="00F020CC" w:rsidRPr="00B67DFC" w:rsidRDefault="00F020CC" w:rsidP="00F020CC">
      <w:pPr>
        <w:widowControl w:val="0"/>
        <w:jc w:val="center"/>
        <w:outlineLvl w:val="2"/>
        <w:rPr>
          <w:rFonts w:ascii="Garamond" w:hAnsi="Garamond"/>
          <w:b/>
          <w:lang w:val="sq-AL" w:bidi="en-US"/>
        </w:rPr>
      </w:pPr>
      <w:r w:rsidRPr="00B67DFC">
        <w:rPr>
          <w:rFonts w:ascii="Garamond" w:hAnsi="Garamond"/>
          <w:b/>
          <w:lang w:val="sq-AL" w:bidi="en-US"/>
        </w:rPr>
        <w:t>Qëllimi</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Rregullorja uniforme e instrumenteve të planifikimit realizon njëtrajtshmërinë e formës dhe strukturës së instrumenteve të planifikimit të territorit, sipas llojit, klasifikimit dhe nivelit të tyre.</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t>Neni 2</w:t>
      </w:r>
    </w:p>
    <w:p w:rsidR="00F020CC" w:rsidRPr="00B67DFC" w:rsidRDefault="00F020CC" w:rsidP="00F020CC">
      <w:pPr>
        <w:widowControl w:val="0"/>
        <w:jc w:val="center"/>
        <w:outlineLvl w:val="2"/>
        <w:rPr>
          <w:rFonts w:ascii="Garamond" w:hAnsi="Garamond"/>
          <w:b/>
          <w:lang w:val="sq-AL" w:bidi="en-US"/>
        </w:rPr>
      </w:pPr>
      <w:r w:rsidRPr="00B67DFC">
        <w:rPr>
          <w:rFonts w:ascii="Garamond" w:hAnsi="Garamond"/>
          <w:b/>
          <w:lang w:val="sq-AL" w:bidi="en-US"/>
        </w:rPr>
        <w:t>Objekti</w:t>
      </w:r>
    </w:p>
    <w:p w:rsidR="006909CF" w:rsidRPr="00B67DFC" w:rsidRDefault="006909CF" w:rsidP="00F020CC">
      <w:pPr>
        <w:widowControl w:val="0"/>
        <w:jc w:val="center"/>
        <w:outlineLvl w:val="2"/>
        <w:rPr>
          <w:rFonts w:ascii="Garamond" w:hAnsi="Garamond"/>
          <w:lang w:val="sq-AL" w:bidi="en-US"/>
        </w:rPr>
      </w:pPr>
      <w:r w:rsidRPr="00B67DFC">
        <w:rPr>
          <w:rFonts w:ascii="Garamond" w:hAnsi="Garamond"/>
          <w:lang w:val="sq-AL" w:bidi="en-US"/>
        </w:rPr>
        <w:t>(Shtuar shkronja “b1” dhe “b2” me VKM nr. 312, datë 13.3.2013)</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Kjo rregullore përcakton njëtrajtshmërinë e formës dhe të strukturave të llojeve të instrumenteve të planifikimit sipas niveleve: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a) Planifikimi në nivel kombëtar;</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b) Planifikimi në nivel vendor;</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b.1) Planifikim i përgjithshëm vendor;</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b.2) Planifikimi i detajuar vendor;</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c) Planifikimi në nivel </w:t>
      </w:r>
      <w:proofErr w:type="spellStart"/>
      <w:r w:rsidRPr="00B67DFC">
        <w:rPr>
          <w:rFonts w:ascii="Garamond" w:hAnsi="Garamond"/>
          <w:lang w:val="sq-AL" w:bidi="en-US"/>
        </w:rPr>
        <w:t>ndërvendor</w:t>
      </w:r>
      <w:proofErr w:type="spellEnd"/>
      <w:r w:rsidRPr="00B67DFC">
        <w:rPr>
          <w:rFonts w:ascii="Garamond" w:hAnsi="Garamond"/>
          <w:lang w:val="sq-AL" w:bidi="en-US"/>
        </w:rPr>
        <w: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ç) Planifikimi në nivel të integruar.</w:t>
      </w:r>
    </w:p>
    <w:p w:rsidR="00F020CC" w:rsidRPr="00B67DFC" w:rsidRDefault="00F020CC" w:rsidP="00F020CC">
      <w:pPr>
        <w:widowControl w:val="0"/>
        <w:jc w:val="both"/>
        <w:rPr>
          <w:rFonts w:ascii="Garamond" w:hAnsi="Garamond"/>
          <w:lang w:val="sq-AL" w:bidi="en-US"/>
        </w:rPr>
      </w:pPr>
    </w:p>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lastRenderedPageBreak/>
        <w:t>Neni 3</w:t>
      </w:r>
    </w:p>
    <w:p w:rsidR="00F020CC" w:rsidRPr="00B67DFC" w:rsidRDefault="00F020CC" w:rsidP="00F020CC">
      <w:pPr>
        <w:widowControl w:val="0"/>
        <w:jc w:val="center"/>
        <w:outlineLvl w:val="2"/>
        <w:rPr>
          <w:rFonts w:ascii="Garamond" w:hAnsi="Garamond"/>
          <w:b/>
          <w:lang w:val="sq-AL" w:bidi="en-US"/>
        </w:rPr>
      </w:pPr>
      <w:r w:rsidRPr="00B67DFC">
        <w:rPr>
          <w:rFonts w:ascii="Garamond" w:hAnsi="Garamond"/>
          <w:b/>
          <w:lang w:val="sq-AL" w:bidi="en-US"/>
        </w:rPr>
        <w:t>Përkufizime</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1. Në këtë rregullore, termat e mëposhtëm kanë këto kuptime:</w:t>
      </w:r>
    </w:p>
    <w:p w:rsidR="00F020CC" w:rsidRPr="00B67DFC" w:rsidRDefault="00F020CC" w:rsidP="006909CF">
      <w:pPr>
        <w:widowControl w:val="0"/>
        <w:ind w:firstLine="720"/>
        <w:jc w:val="both"/>
        <w:rPr>
          <w:rFonts w:ascii="Garamond" w:hAnsi="Garamond"/>
          <w:lang w:val="sq-AL" w:bidi="en-US"/>
        </w:rPr>
      </w:pPr>
      <w:r w:rsidRPr="00B67DFC">
        <w:rPr>
          <w:rFonts w:ascii="Garamond" w:hAnsi="Garamond"/>
          <w:lang w:val="sq-AL" w:bidi="en-US"/>
        </w:rPr>
        <w:t>a) “</w:t>
      </w:r>
      <w:proofErr w:type="spellStart"/>
      <w:r w:rsidRPr="00B67DFC">
        <w:rPr>
          <w:rFonts w:ascii="Garamond" w:hAnsi="Garamond"/>
          <w:lang w:val="sq-AL" w:bidi="en-US"/>
        </w:rPr>
        <w:t>Nënnjësi</w:t>
      </w:r>
      <w:proofErr w:type="spellEnd"/>
      <w:r w:rsidRPr="00B67DFC">
        <w:rPr>
          <w:rFonts w:ascii="Garamond" w:hAnsi="Garamond"/>
          <w:lang w:val="sq-AL" w:bidi="en-US"/>
        </w:rPr>
        <w:t xml:space="preserve"> strukturore” është qeliza territoriale më e vogël e parashikuar nga autoriteti i planifikimit për të drejtuar zhvillimin, përmes përcaktimit të një liste treguesish planifikimi dhe zhvillimi, të detyrueshme për zhvilluesit dhe të njëtrajtshme brenda saj.</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b) “Kategori bazë të përdorimit të tokës dhe strukturave në të” janë kategoritë e përdorimit që përcaktohen në rregulloren uniforme të instrumenteve të planifikimit, dhe të cilave u referohet çdo autoritet planifikimi për të përcaktuar kategoritë dhe nënkategoritë e përdorimit të tokës në territorin përkatës.</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c) “Kategori e kushtëzuar e përdorimit të tokës” është kategoria e zhvillimit, e cila lejohet me kushte shtesë ose të reja në lejen e zhvillimit në një zonë, dhe lejimi i së cilës përgjithësisht kryhet përmes një studimi të ndikimit nga zhvillimi.</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d) “Kategori e ndaluar e përdorimit të tokës” është kategoria e zhvillimit të ndaluar në një zonë.</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dh) “Aktivitet” është një përdorim ekzistues i tokës ose i strukturës, që përshkruan se çfarë ndodh në parcelë ose në objekt në momentin e vëzhgimit të tyre.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e) “Funksion” është qëllimi ekonomik, të cilit i shërben ose duhet t’i shërbejë toka ose struktura në të. Një funksion mund të realizohet nga disa aktivitete të ndryshme të vendosura në tokën që karakterizohet nga ai funksion. Kombinimet e funksioneve dhe aktiviteteve përcaktojnë kategoritë e ndryshme të përdorimeve të tokës.</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ë) “</w:t>
      </w:r>
      <w:proofErr w:type="spellStart"/>
      <w:r w:rsidRPr="00B67DFC">
        <w:rPr>
          <w:rFonts w:ascii="Garamond" w:hAnsi="Garamond"/>
          <w:lang w:val="sq-AL" w:bidi="en-US"/>
        </w:rPr>
        <w:t>Periferaliteti</w:t>
      </w:r>
      <w:proofErr w:type="spellEnd"/>
      <w:r w:rsidRPr="00B67DFC">
        <w:rPr>
          <w:rFonts w:ascii="Garamond" w:hAnsi="Garamond"/>
          <w:lang w:val="sq-AL" w:bidi="en-US"/>
        </w:rPr>
        <w:t>” është pozicionimi i një zone në një bashki ose komunë, sipas përcaktimeve të ligjit nr.10 119, datë 23.4.2009 “Për planifikimin e territorit”.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f) Plani i pjesshëm kombëtar (</w:t>
      </w:r>
      <w:proofErr w:type="spellStart"/>
      <w:r w:rsidRPr="00B67DFC">
        <w:rPr>
          <w:rFonts w:ascii="Garamond" w:hAnsi="Garamond"/>
          <w:lang w:val="sq-AL" w:bidi="en-US"/>
        </w:rPr>
        <w:t>PPjK</w:t>
      </w:r>
      <w:proofErr w:type="spellEnd"/>
      <w:r w:rsidRPr="00B67DFC">
        <w:rPr>
          <w:rFonts w:ascii="Garamond" w:hAnsi="Garamond"/>
          <w:lang w:val="sq-AL" w:bidi="en-US"/>
        </w:rPr>
        <w:t>), është plani i përgjithshëm kombëtar që hartohet ose rishikohet për një pjesë të territorit kombëtar, bazuar në politikat kombëtare të zhvillimit territorial dhe në çështjet e rëndësisë kombëtare.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2. Termat e tjerë të përdorur në këtë rregullore kanë të njëjtin kuptim me ata të përcaktuar në nenin 3 të ligjit nr.10 119, datë 23.4.2009 “Për planifikimin e territorit” të ndryshuar, dhe në aktet nënligjore në zbatim të tij.</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rPr>
          <w:rFonts w:ascii="Garamond" w:hAnsi="Garamond"/>
          <w:caps/>
          <w:lang w:val="sq-AL" w:bidi="en-US"/>
        </w:rPr>
      </w:pPr>
      <w:r w:rsidRPr="00B67DFC">
        <w:rPr>
          <w:rFonts w:ascii="Garamond" w:hAnsi="Garamond"/>
          <w:caps/>
          <w:lang w:val="sq-AL" w:bidi="en-US"/>
        </w:rPr>
        <w:t>KREU II</w:t>
      </w:r>
    </w:p>
    <w:p w:rsidR="00F020CC" w:rsidRPr="00B67DFC" w:rsidRDefault="00F020CC" w:rsidP="00F020CC">
      <w:pPr>
        <w:widowControl w:val="0"/>
        <w:jc w:val="center"/>
        <w:rPr>
          <w:rFonts w:ascii="Garamond" w:hAnsi="Garamond"/>
          <w:caps/>
          <w:lang w:val="sq-AL" w:bidi="en-US"/>
        </w:rPr>
      </w:pPr>
      <w:r w:rsidRPr="00B67DFC">
        <w:rPr>
          <w:rFonts w:ascii="Garamond" w:hAnsi="Garamond"/>
          <w:caps/>
          <w:lang w:val="sq-AL" w:bidi="en-US"/>
        </w:rPr>
        <w:t>PLANIFIKIMI KOMBËTAR</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rPr>
          <w:rFonts w:ascii="Garamond" w:hAnsi="Garamond"/>
          <w:caps/>
          <w:lang w:val="sq-AL" w:bidi="en-US"/>
        </w:rPr>
      </w:pPr>
      <w:r w:rsidRPr="00B67DFC">
        <w:rPr>
          <w:rFonts w:ascii="Garamond" w:hAnsi="Garamond"/>
          <w:caps/>
          <w:lang w:val="sq-AL" w:bidi="en-US"/>
        </w:rPr>
        <w:t>SEKSIONI 1</w:t>
      </w:r>
    </w:p>
    <w:p w:rsidR="00F020CC" w:rsidRPr="00B67DFC" w:rsidRDefault="00F020CC" w:rsidP="00F020CC">
      <w:pPr>
        <w:widowControl w:val="0"/>
        <w:jc w:val="center"/>
        <w:outlineLvl w:val="0"/>
        <w:rPr>
          <w:rFonts w:ascii="Garamond" w:hAnsi="Garamond"/>
          <w:caps/>
          <w:lang w:val="sq-AL" w:bidi="en-US"/>
        </w:rPr>
      </w:pPr>
      <w:r w:rsidRPr="00B67DFC">
        <w:rPr>
          <w:rFonts w:ascii="Garamond" w:hAnsi="Garamond"/>
          <w:caps/>
          <w:lang w:val="sq-AL" w:bidi="en-US"/>
        </w:rPr>
        <w:t>POLITIKAT KOMBËTARE</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t>Neni 4</w:t>
      </w:r>
    </w:p>
    <w:p w:rsidR="00F020CC" w:rsidRPr="00B67DFC" w:rsidRDefault="00F020CC" w:rsidP="00F020CC">
      <w:pPr>
        <w:widowControl w:val="0"/>
        <w:jc w:val="center"/>
        <w:outlineLvl w:val="2"/>
        <w:rPr>
          <w:rFonts w:ascii="Garamond" w:hAnsi="Garamond"/>
          <w:b/>
          <w:lang w:val="sq-AL" w:bidi="en-US"/>
        </w:rPr>
      </w:pPr>
      <w:r w:rsidRPr="00B67DFC">
        <w:rPr>
          <w:rFonts w:ascii="Garamond" w:hAnsi="Garamond"/>
          <w:b/>
          <w:lang w:val="sq-AL" w:bidi="en-US"/>
        </w:rPr>
        <w:t>Politika e përgjithshme kombëtare e zhvillimit të territorit</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1. Politika e përgjithshme kombëtare e planifikimit të territorit hartohet në përputhje dhe në zbatim të qëllimeve, objektivave dhe rezultateve të pritshme, të përcaktuara në Strategjinë Kombëtare për Zhvillim dhe Integrim, si dhe të programeve ose dokumenteve strategjike të procesit të integrimit </w:t>
      </w:r>
      <w:proofErr w:type="spellStart"/>
      <w:r w:rsidRPr="00B67DFC">
        <w:rPr>
          <w:rFonts w:ascii="Garamond" w:hAnsi="Garamond"/>
          <w:lang w:val="sq-AL" w:bidi="en-US"/>
        </w:rPr>
        <w:t>europian</w:t>
      </w:r>
      <w:proofErr w:type="spellEnd"/>
      <w:r w:rsidRPr="00B67DFC">
        <w:rPr>
          <w:rFonts w:ascii="Garamond" w:hAnsi="Garamond"/>
          <w:lang w:val="sq-AL" w:bidi="en-US"/>
        </w:rPr>
        <w:t xml:space="preserve">. Politika mbart dhe reflekton parimet dhe politikat e Bashkimit </w:t>
      </w:r>
      <w:proofErr w:type="spellStart"/>
      <w:r w:rsidRPr="00B67DFC">
        <w:rPr>
          <w:rFonts w:ascii="Garamond" w:hAnsi="Garamond"/>
          <w:lang w:val="sq-AL" w:bidi="en-US"/>
        </w:rPr>
        <w:t>Europian</w:t>
      </w:r>
      <w:proofErr w:type="spellEnd"/>
      <w:r w:rsidRPr="00B67DFC">
        <w:rPr>
          <w:rFonts w:ascii="Garamond" w:hAnsi="Garamond"/>
          <w:lang w:val="sq-AL" w:bidi="en-US"/>
        </w:rPr>
        <w:t xml:space="preserve"> për zhvillim hapësinor dhe “kohezion” territorial dhe përfshin objektivat dhe qëllimet e përcaktuara në strategjitë sektoriale dhe </w:t>
      </w:r>
      <w:proofErr w:type="spellStart"/>
      <w:r w:rsidRPr="00B67DFC">
        <w:rPr>
          <w:rFonts w:ascii="Garamond" w:hAnsi="Garamond"/>
          <w:lang w:val="sq-AL" w:bidi="en-US"/>
        </w:rPr>
        <w:t>ndërsektoriale</w:t>
      </w:r>
      <w:proofErr w:type="spellEnd"/>
      <w:r w:rsidRPr="00B67DFC">
        <w:rPr>
          <w:rFonts w:ascii="Garamond" w:hAnsi="Garamond"/>
          <w:lang w:val="sq-AL" w:bidi="en-US"/>
        </w:rPr>
        <w:t xml:space="preserve"> që ekzistojnë në momentin e hartimit të saj.</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2. Plani i përgjithshëm kombëtar hartohet njëkohësisht me politikën e përgjithshme </w:t>
      </w:r>
      <w:r w:rsidRPr="00B67DFC">
        <w:rPr>
          <w:rFonts w:ascii="Garamond" w:hAnsi="Garamond"/>
          <w:lang w:val="sq-AL" w:bidi="en-US"/>
        </w:rPr>
        <w:lastRenderedPageBreak/>
        <w:t xml:space="preserve">kombëtare të planifikimit të territorit dhe zbaton qëllimet, objektivat dhe rezultatet e pritshme të caktuara në të. </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rPr>
          <w:rFonts w:ascii="Garamond" w:hAnsi="Garamond"/>
          <w:caps/>
          <w:lang w:val="sq-AL" w:bidi="en-US"/>
        </w:rPr>
      </w:pPr>
      <w:r w:rsidRPr="00B67DFC">
        <w:rPr>
          <w:rFonts w:ascii="Garamond" w:hAnsi="Garamond"/>
          <w:caps/>
          <w:lang w:val="sq-AL" w:bidi="en-US"/>
        </w:rPr>
        <w:t>SEKSIONI 2</w:t>
      </w:r>
    </w:p>
    <w:p w:rsidR="00F020CC" w:rsidRPr="00B67DFC" w:rsidRDefault="00F020CC" w:rsidP="00F020CC">
      <w:pPr>
        <w:widowControl w:val="0"/>
        <w:jc w:val="center"/>
        <w:outlineLvl w:val="0"/>
        <w:rPr>
          <w:rFonts w:ascii="Garamond" w:hAnsi="Garamond"/>
          <w:caps/>
          <w:lang w:val="sq-AL" w:bidi="en-US"/>
        </w:rPr>
      </w:pPr>
      <w:r w:rsidRPr="00B67DFC">
        <w:rPr>
          <w:rFonts w:ascii="Garamond" w:hAnsi="Garamond"/>
          <w:caps/>
          <w:lang w:val="sq-AL" w:bidi="en-US"/>
        </w:rPr>
        <w:t>PLANET KOMBËTARE TË TERRITORIT</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t>Neni 5</w:t>
      </w:r>
    </w:p>
    <w:p w:rsidR="00F020CC" w:rsidRPr="00B67DFC" w:rsidRDefault="00F020CC" w:rsidP="00F020CC">
      <w:pPr>
        <w:widowControl w:val="0"/>
        <w:jc w:val="center"/>
        <w:outlineLvl w:val="2"/>
        <w:rPr>
          <w:rFonts w:ascii="Garamond" w:hAnsi="Garamond"/>
          <w:b/>
          <w:lang w:val="sq-AL" w:bidi="en-US"/>
        </w:rPr>
      </w:pPr>
      <w:r w:rsidRPr="00B67DFC">
        <w:rPr>
          <w:rFonts w:ascii="Garamond" w:hAnsi="Garamond"/>
          <w:b/>
          <w:lang w:val="sq-AL" w:bidi="en-US"/>
        </w:rPr>
        <w:t>Klasifikimi i planeve kombëtare të territorit</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1. Planet territoriale kombëtare, sipas klasifikimit, ndahen në:</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a) Plani i përgjithshëm kombëtar (PPK);</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b) Plani i pjesshëm kombëtar (</w:t>
      </w:r>
      <w:proofErr w:type="spellStart"/>
      <w:r w:rsidRPr="00B67DFC">
        <w:rPr>
          <w:rFonts w:ascii="Garamond" w:hAnsi="Garamond"/>
          <w:lang w:val="sq-AL" w:bidi="en-US"/>
        </w:rPr>
        <w:t>PPjK</w:t>
      </w:r>
      <w:proofErr w:type="spellEnd"/>
      <w:r w:rsidRPr="00B67DFC">
        <w:rPr>
          <w:rFonts w:ascii="Garamond" w:hAnsi="Garamond"/>
          <w:lang w:val="sq-AL" w:bidi="en-US"/>
        </w:rPr>
        <w:t>);</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c) Plani kombëtar </w:t>
      </w:r>
      <w:proofErr w:type="spellStart"/>
      <w:r w:rsidRPr="00B67DFC">
        <w:rPr>
          <w:rFonts w:ascii="Garamond" w:hAnsi="Garamond"/>
          <w:lang w:val="sq-AL" w:bidi="en-US"/>
        </w:rPr>
        <w:t>ndërsektorial</w:t>
      </w:r>
      <w:proofErr w:type="spellEnd"/>
      <w:r w:rsidRPr="00B67DFC">
        <w:rPr>
          <w:rFonts w:ascii="Garamond" w:hAnsi="Garamond"/>
          <w:lang w:val="sq-AL" w:bidi="en-US"/>
        </w:rPr>
        <w:t xml:space="preserve"> (PKN); </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d) Plani kombëtar sektorial (PKS);</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t>Neni 6</w:t>
      </w:r>
    </w:p>
    <w:p w:rsidR="00F020CC" w:rsidRPr="00B67DFC" w:rsidRDefault="00F020CC" w:rsidP="00F020CC">
      <w:pPr>
        <w:widowControl w:val="0"/>
        <w:jc w:val="center"/>
        <w:outlineLvl w:val="2"/>
        <w:rPr>
          <w:rFonts w:ascii="Garamond" w:hAnsi="Garamond"/>
          <w:b/>
          <w:lang w:val="sq-AL" w:bidi="en-US"/>
        </w:rPr>
      </w:pPr>
      <w:r w:rsidRPr="00B67DFC">
        <w:rPr>
          <w:rFonts w:ascii="Garamond" w:hAnsi="Garamond"/>
          <w:b/>
          <w:lang w:val="sq-AL" w:bidi="en-US"/>
        </w:rPr>
        <w:t>Struktura dhe formati i planeve kombëtare</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1. Dokumentet themelore që përbëjnë planet kombëtare miratohen sipas përcaktimeve të ligjit nr.10 119, datë 23.4.2009 “Për planifikimin e territorit” dhe pavarësisht nga klasifikimi i planeve, janë:</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a) Kërkesa për marrjen e nismës;</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b) Plani kombëtar.</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2. Materiali i kërkesës sipas germës “a” të pikës 1 të këtij neni, për marrjen e nismës së hartimit ose rishikimit të planit të përgjithshëm kombëtar, përmban:</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a) Studimin, i cili përcakton faktet dhe analizon problemet, të cilat argumentojnë nevojën për hartimin ose rishikimin e PPK-së dhe parashtrojnë qëllimin kryesor të tij. Për përgatitjen e këtij studimi vlerësohen dhe përdoren sipas rastit drejtimet strategjike, përcaktimet, propozimet dhe instrumentet që përshkruhen në strategjitë ekzistuese kombëtare, sektoriale dhe </w:t>
      </w:r>
      <w:proofErr w:type="spellStart"/>
      <w:r w:rsidRPr="00B67DFC">
        <w:rPr>
          <w:rFonts w:ascii="Garamond" w:hAnsi="Garamond"/>
          <w:lang w:val="sq-AL" w:bidi="en-US"/>
        </w:rPr>
        <w:t>ndërsektoriale</w:t>
      </w:r>
      <w:proofErr w:type="spellEnd"/>
      <w:r w:rsidRPr="00B67DFC">
        <w:rPr>
          <w:rFonts w:ascii="Garamond" w:hAnsi="Garamond"/>
          <w:lang w:val="sq-AL" w:bidi="en-US"/>
        </w:rPr>
        <w:t>, nëse këto ekzistojnë para hartimit të PPK-së;</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b) Planin e veprimeve për hartimin e planit të përgjithshëm kombëtar, i cili përmban të paktën:</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i) udhëzime mbi metodologjinë dhe </w:t>
      </w:r>
      <w:proofErr w:type="spellStart"/>
      <w:r w:rsidRPr="00B67DFC">
        <w:rPr>
          <w:rFonts w:ascii="Garamond" w:hAnsi="Garamond"/>
          <w:lang w:val="sq-AL" w:bidi="en-US"/>
        </w:rPr>
        <w:t>detajimin</w:t>
      </w:r>
      <w:proofErr w:type="spellEnd"/>
      <w:r w:rsidRPr="00B67DFC">
        <w:rPr>
          <w:rFonts w:ascii="Garamond" w:hAnsi="Garamond"/>
          <w:lang w:val="sq-AL" w:bidi="en-US"/>
        </w:rPr>
        <w:t xml:space="preserve"> </w:t>
      </w:r>
      <w:proofErr w:type="spellStart"/>
      <w:r w:rsidRPr="00B67DFC">
        <w:rPr>
          <w:rFonts w:ascii="Garamond" w:hAnsi="Garamond"/>
          <w:lang w:val="sq-AL" w:bidi="en-US"/>
        </w:rPr>
        <w:t>përmbajtësor</w:t>
      </w:r>
      <w:proofErr w:type="spellEnd"/>
      <w:r w:rsidRPr="00B67DFC">
        <w:rPr>
          <w:rFonts w:ascii="Garamond" w:hAnsi="Garamond"/>
          <w:lang w:val="sq-AL" w:bidi="en-US"/>
        </w:rPr>
        <w:t xml:space="preserve"> të dokumenteve dhe pjesëve përbërëse të PPK-së;</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ii</w:t>
      </w:r>
      <w:proofErr w:type="spellEnd"/>
      <w:r w:rsidRPr="00B67DFC">
        <w:rPr>
          <w:rFonts w:ascii="Garamond" w:hAnsi="Garamond"/>
          <w:lang w:val="sq-AL" w:bidi="en-US"/>
        </w:rPr>
        <w:t xml:space="preserve">) një përmbledhje paraprake të dokumenteve strategjike dhe legjislacionit bazë që do të përdoret si referencë gjatë hartimit të PPK-së, përfshirë përcaktimin e bazave kryesore kombëtare të </w:t>
      </w:r>
      <w:proofErr w:type="spellStart"/>
      <w:r w:rsidRPr="00B67DFC">
        <w:rPr>
          <w:rFonts w:ascii="Garamond" w:hAnsi="Garamond"/>
          <w:lang w:val="sq-AL" w:bidi="en-US"/>
        </w:rPr>
        <w:t>të</w:t>
      </w:r>
      <w:proofErr w:type="spellEnd"/>
      <w:r w:rsidRPr="00B67DFC">
        <w:rPr>
          <w:rFonts w:ascii="Garamond" w:hAnsi="Garamond"/>
          <w:lang w:val="sq-AL" w:bidi="en-US"/>
        </w:rPr>
        <w:t xml:space="preserve"> dhënave që do të përdoren gjatë analizës dhe hartimit të PPK-së dhe të institucioneve që përpunojnë këto të dhëna;</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iii</w:t>
      </w:r>
      <w:proofErr w:type="spellEnd"/>
      <w:r w:rsidRPr="00B67DFC">
        <w:rPr>
          <w:rFonts w:ascii="Garamond" w:hAnsi="Garamond"/>
          <w:lang w:val="sq-AL" w:bidi="en-US"/>
        </w:rPr>
        <w:t>) përcaktime të qarta mbi përbërjen dhe rolin e grupit të punës me ekspertë për hartimin e PPK-së sipas përcaktimeve të ligjit nr.10 119, datë 23.4.2009 “Për planifikimin e territorit”, përfshirë edhe rolet e ekspertëve të jashtëm që mund të ftohen të japin mbështetje teknike në procesin e hartimit;</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iv</w:t>
      </w:r>
      <w:proofErr w:type="spellEnd"/>
      <w:r w:rsidRPr="00B67DFC">
        <w:rPr>
          <w:rFonts w:ascii="Garamond" w:hAnsi="Garamond"/>
          <w:lang w:val="sq-AL" w:bidi="en-US"/>
        </w:rPr>
        <w:t>) përcaktime të qarta mbi procesin e bashkërendimit nga komiteti ndërministror, sipas përcaktimeve të ligjit nr.10 119, datë 23.4.2009 “Për planifikimin e territorit”;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v) përcaktime të qarta, në lidhje me formën e procesit, përmbajtjen, pjesëmarrësit, si dhe të afateve për proceset e bashkërendimit, këshillimit, dëgjimit publik, shqyrtimit të përputhshmërisë me instrumentet ekzistuese dhe miratimit të PPK-së; </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lastRenderedPageBreak/>
        <w:t>vi</w:t>
      </w:r>
      <w:proofErr w:type="spellEnd"/>
      <w:r w:rsidRPr="00B67DFC">
        <w:rPr>
          <w:rFonts w:ascii="Garamond" w:hAnsi="Garamond"/>
          <w:lang w:val="sq-AL" w:bidi="en-US"/>
        </w:rPr>
        <w:t>) afatet kryesore për dorëzimin e pjesëve të PPK-së, siç janë përcaktuar në këtë rregullore dhe për miratimin përfundimtar të PPK-së;</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vii</w:t>
      </w:r>
      <w:proofErr w:type="spellEnd"/>
      <w:r w:rsidRPr="00B67DFC">
        <w:rPr>
          <w:rFonts w:ascii="Garamond" w:hAnsi="Garamond"/>
          <w:lang w:val="sq-AL" w:bidi="en-US"/>
        </w:rPr>
        <w:t>) buxhetin për hartimin e PPK-së.</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3. Materiali përfundimtar i planit sipas germës “b” të pikës 1 të këtij neni, për planin e përgjithshëm kombëtar përmban:</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a) dokumentin ose dokumentet e miratuara të politikës kombëtare të planifikimit të territorit, si udhëheqëse për PPK-në;</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b) planin;</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c) vlerësime në lidhje me zbatimin, rregulla specifike që PPK-ja dikton në territor, çështje institucionale, ligjore dhe financiare;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ç) raportin e përpunimit të </w:t>
      </w:r>
      <w:proofErr w:type="spellStart"/>
      <w:r w:rsidRPr="00B67DFC">
        <w:rPr>
          <w:rFonts w:ascii="Garamond" w:hAnsi="Garamond"/>
          <w:lang w:val="sq-AL" w:bidi="en-US"/>
        </w:rPr>
        <w:t>të</w:t>
      </w:r>
      <w:proofErr w:type="spellEnd"/>
      <w:r w:rsidRPr="00B67DFC">
        <w:rPr>
          <w:rFonts w:ascii="Garamond" w:hAnsi="Garamond"/>
          <w:lang w:val="sq-AL" w:bidi="en-US"/>
        </w:rPr>
        <w:t xml:space="preserve"> dhënave në GIS sipas specifikimeve të vendimit të Këshillit të Ministrave nr.459, datë 16.6.2010 “Për miratimin e standardeve të përbashkëta gjeodezike dhe GIS”. </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4. Materiali i politikës kombëtare të planifikimit të territorit, sipas germës “a” të pikës 3 të këtij neni, hartohet sipas përcaktimeve të ligjit nr.10 119, datë 23.4.2009 “Për planifikimin e territorit”.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5. Plani, sipas germës “b” të pikës 3 të këtij neni, mbështetet në drejtimet e politikës dhe përmban:</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a) Analizën makro-ekonomike, sociale, mjedisore, demografike dhe territoriale që i paraprin rekomandimeve të planit. Kjo analizë bazohet në analizat e ndryshme sektoriale dhe </w:t>
      </w:r>
      <w:proofErr w:type="spellStart"/>
      <w:r w:rsidRPr="00B67DFC">
        <w:rPr>
          <w:rFonts w:ascii="Garamond" w:hAnsi="Garamond"/>
          <w:lang w:val="sq-AL" w:bidi="en-US"/>
        </w:rPr>
        <w:t>ndërsektoriale</w:t>
      </w:r>
      <w:proofErr w:type="spellEnd"/>
      <w:r w:rsidRPr="00B67DFC">
        <w:rPr>
          <w:rFonts w:ascii="Garamond" w:hAnsi="Garamond"/>
          <w:lang w:val="sq-AL" w:bidi="en-US"/>
        </w:rPr>
        <w:t xml:space="preserve">, duke theksuar dimensionin hapësinor të sektorëve të ndryshëm, përfshirë shpërndarjen e pabarazive hapësinore ose rajonale në Republikën e Shqipërisë; </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b) Vizionin strategjik hapësinor të zhvillimit dhe planifikimit të territorit, në përputhje me vizionin strategjik të zhvillimit për tërësinë territoriale të Republikës së Shqipërisë;</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c) Zbërthimin e konceptit të zhvillimit territorial </w:t>
      </w:r>
      <w:proofErr w:type="spellStart"/>
      <w:r w:rsidRPr="00B67DFC">
        <w:rPr>
          <w:rFonts w:ascii="Garamond" w:hAnsi="Garamond"/>
          <w:lang w:val="sq-AL" w:bidi="en-US"/>
        </w:rPr>
        <w:t>policentrik</w:t>
      </w:r>
      <w:proofErr w:type="spellEnd"/>
      <w:r w:rsidRPr="00B67DFC">
        <w:rPr>
          <w:rFonts w:ascii="Garamond" w:hAnsi="Garamond"/>
          <w:lang w:val="sq-AL" w:bidi="en-US"/>
        </w:rPr>
        <w:t xml:space="preserve">, ndërkufitar dhe ndërkombëtar në përputhje edhe me përcaktimet e parimeve dhe të politikës së Bashkimit </w:t>
      </w:r>
      <w:proofErr w:type="spellStart"/>
      <w:r w:rsidRPr="00B67DFC">
        <w:rPr>
          <w:rFonts w:ascii="Garamond" w:hAnsi="Garamond"/>
          <w:lang w:val="sq-AL" w:bidi="en-US"/>
        </w:rPr>
        <w:t>Europian</w:t>
      </w:r>
      <w:proofErr w:type="spellEnd"/>
      <w:r w:rsidRPr="00B67DFC">
        <w:rPr>
          <w:rFonts w:ascii="Garamond" w:hAnsi="Garamond"/>
          <w:lang w:val="sq-AL" w:bidi="en-US"/>
        </w:rPr>
        <w:t xml:space="preserve"> për zhvillim hapësinor dhe “kohezion” territorial;</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ç) Përcaktimin territorial të nevojshëm për realizimin e prioriteteve strategjike të zhvillimit në Shqipëri, përfshirë zonat kryesore për zhvillimin e industrisë, bujqësisë dhe turizmit;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d) Përcaktimin në territor të nyj</w:t>
      </w:r>
      <w:r w:rsidRPr="00B67DFC">
        <w:rPr>
          <w:rFonts w:ascii="Garamond" w:hAnsi="Garamond"/>
          <w:lang w:val="sq-AL" w:eastAsia="ja-JP" w:bidi="en-US"/>
        </w:rPr>
        <w:t>a</w:t>
      </w:r>
      <w:r w:rsidRPr="00B67DFC">
        <w:rPr>
          <w:rFonts w:ascii="Garamond" w:hAnsi="Garamond"/>
          <w:lang w:val="sq-AL" w:bidi="en-US"/>
        </w:rPr>
        <w:t>ve, linjave, rrjeteve ose instalimeve të infrastrukturave kombëtare, në përputhje me kategorinë bazë përdorime të veçanta dhe shërbime;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dh) Programet themelore strategjike sektoriale dhe </w:t>
      </w:r>
      <w:proofErr w:type="spellStart"/>
      <w:r w:rsidRPr="00B67DFC">
        <w:rPr>
          <w:rFonts w:ascii="Garamond" w:hAnsi="Garamond"/>
          <w:lang w:val="sq-AL" w:bidi="en-US"/>
        </w:rPr>
        <w:t>ndërsektoriale</w:t>
      </w:r>
      <w:proofErr w:type="spellEnd"/>
      <w:r w:rsidRPr="00B67DFC">
        <w:rPr>
          <w:rFonts w:ascii="Garamond" w:hAnsi="Garamond"/>
          <w:lang w:val="sq-AL" w:bidi="en-US"/>
        </w:rPr>
        <w:t xml:space="preserve">, në përputhje me prioritetet që rrjedhin nga procesi i integrimit në Bashkimin </w:t>
      </w:r>
      <w:proofErr w:type="spellStart"/>
      <w:r w:rsidRPr="00B67DFC">
        <w:rPr>
          <w:rFonts w:ascii="Garamond" w:hAnsi="Garamond"/>
          <w:lang w:val="sq-AL" w:bidi="en-US"/>
        </w:rPr>
        <w:t>Europian</w:t>
      </w:r>
      <w:proofErr w:type="spellEnd"/>
      <w:r w:rsidRPr="00B67DFC">
        <w:rPr>
          <w:rFonts w:ascii="Garamond" w:hAnsi="Garamond"/>
          <w:lang w:val="sq-AL" w:bidi="en-US"/>
        </w:rPr>
        <w:t xml:space="preserve">, të shprehura në territor; </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e) Përcaktimin ose rishikimin e çështjeve të rëndësisë kombëtare, sipas përcaktimit të ligjit nr.10 119, datë 23.4.2009 “Për planifikimin e territorit”, përfshirë të gjitha përdorimet e tokës, që në nivel kombëtar janë monumente kulture dhe natyrore, zona të mbrojtura, burime të rëndësishme natyrore dhe artificiale, toka bujqësore etj.; </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ë) Drejtime strategjike për çështje të zhvillimit rajonal dhe të zhvillimit territorial të njësive vendore;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f) Hartat shoqëruese detyrimisht për të gjitha çështjet e mësipërme, në shkallë maksimumi 1:1.000.000 dhe minimumi 1:500.000, dhe në përputhje me përcaktimet e shtojcës 2 të këtij vendimi. Në rastin e </w:t>
      </w:r>
      <w:proofErr w:type="spellStart"/>
      <w:r w:rsidRPr="00B67DFC">
        <w:rPr>
          <w:rFonts w:ascii="Garamond" w:hAnsi="Garamond"/>
          <w:lang w:val="sq-AL" w:bidi="en-US"/>
        </w:rPr>
        <w:t>PPjK</w:t>
      </w:r>
      <w:proofErr w:type="spellEnd"/>
      <w:r w:rsidRPr="00B67DFC">
        <w:rPr>
          <w:rFonts w:ascii="Garamond" w:hAnsi="Garamond"/>
          <w:lang w:val="sq-AL" w:bidi="en-US"/>
        </w:rPr>
        <w:t>, shkalla e hartave lëviz nga 1:250.000 në 1:500.000.</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6. Dokumenti i vlerësimeve sipas germës “c” të pikës 3 të këtij neni, në lidhje me zbatimin e PPK-së, çështjet institucionale, ligjore dhe financiare të PPK-së, përmban:</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a) Zbërthimin e PPK-së në planet sektoriale, </w:t>
      </w:r>
      <w:proofErr w:type="spellStart"/>
      <w:r w:rsidRPr="00B67DFC">
        <w:rPr>
          <w:rFonts w:ascii="Garamond" w:hAnsi="Garamond"/>
          <w:lang w:val="sq-AL" w:bidi="en-US"/>
        </w:rPr>
        <w:t>ndërsektoriale</w:t>
      </w:r>
      <w:proofErr w:type="spellEnd"/>
      <w:r w:rsidRPr="00B67DFC">
        <w:rPr>
          <w:rFonts w:ascii="Garamond" w:hAnsi="Garamond"/>
          <w:lang w:val="sq-AL" w:bidi="en-US"/>
        </w:rPr>
        <w:t xml:space="preserve">, programet strategjike të proceseve integruese në BE, dhe në instrumentet kombëtare financiare afatmesme dhe afatgjata; </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lastRenderedPageBreak/>
        <w:t>b) Rregulla specifike për përdorimin e territorit dhe diktuese mbi mënyrën e planifikimit në nivele më të ulëta të hierarkisë së planeve dhe mbi mënyrën e zhvillimit të territorit;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c) Sipas rastit, rekomandime për rishikime institucionale me rëndësi kombëtare që rrjedhin nga rishikime të mundshme të sistemit të planifikimit në Republikën e Shqipërisë.</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outlineLvl w:val="0"/>
        <w:rPr>
          <w:rFonts w:ascii="Garamond" w:hAnsi="Garamond"/>
          <w:caps/>
          <w:lang w:val="sq-AL" w:bidi="en-US"/>
        </w:rPr>
      </w:pPr>
      <w:r w:rsidRPr="00B67DFC">
        <w:rPr>
          <w:rFonts w:ascii="Garamond" w:hAnsi="Garamond"/>
          <w:caps/>
          <w:lang w:val="sq-AL" w:bidi="en-US"/>
        </w:rPr>
        <w:t>SEKSIONI 3</w:t>
      </w:r>
    </w:p>
    <w:p w:rsidR="00F020CC" w:rsidRPr="00B67DFC" w:rsidRDefault="00F020CC" w:rsidP="00F020CC">
      <w:pPr>
        <w:widowControl w:val="0"/>
        <w:jc w:val="center"/>
        <w:outlineLvl w:val="0"/>
        <w:rPr>
          <w:rFonts w:ascii="Garamond" w:hAnsi="Garamond"/>
          <w:caps/>
          <w:lang w:val="sq-AL" w:bidi="en-US"/>
        </w:rPr>
      </w:pPr>
      <w:r w:rsidRPr="00B67DFC">
        <w:rPr>
          <w:rFonts w:ascii="Garamond" w:hAnsi="Garamond"/>
          <w:caps/>
          <w:lang w:val="sq-AL" w:bidi="en-US"/>
        </w:rPr>
        <w:t>RREGULLORET KOMBËTARE TË PLANIFIKIMIT</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t>Neni 7</w:t>
      </w:r>
    </w:p>
    <w:p w:rsidR="00F020CC" w:rsidRPr="00B67DFC" w:rsidRDefault="00F020CC" w:rsidP="00F020CC">
      <w:pPr>
        <w:widowControl w:val="0"/>
        <w:jc w:val="center"/>
        <w:outlineLvl w:val="2"/>
        <w:rPr>
          <w:rFonts w:ascii="Garamond" w:hAnsi="Garamond"/>
          <w:b/>
          <w:lang w:val="sq-AL" w:bidi="en-US"/>
        </w:rPr>
      </w:pPr>
      <w:r w:rsidRPr="00B67DFC">
        <w:rPr>
          <w:rFonts w:ascii="Garamond" w:hAnsi="Garamond"/>
          <w:b/>
          <w:lang w:val="sq-AL" w:bidi="en-US"/>
        </w:rPr>
        <w:t xml:space="preserve">Qëllimi i rregulloreve kombëtare të planifikimit </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Qëllimi i rregulloreve kombëtare të planifikimit është të përcaktojë rregullat, normat, standardet dhe instrumentet e zbatueshme, si dhe të orientojë procedurat, për përdorimin dhe zhvillimin ekzistues dhe të ardhshëm të tokës.</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t>Neni 8</w:t>
      </w:r>
    </w:p>
    <w:p w:rsidR="00F020CC" w:rsidRPr="00B67DFC" w:rsidRDefault="00F020CC" w:rsidP="00F020CC">
      <w:pPr>
        <w:widowControl w:val="0"/>
        <w:jc w:val="center"/>
        <w:outlineLvl w:val="2"/>
        <w:rPr>
          <w:rFonts w:ascii="Garamond" w:hAnsi="Garamond"/>
          <w:b/>
          <w:lang w:val="sq-AL" w:bidi="en-US"/>
        </w:rPr>
      </w:pPr>
      <w:r w:rsidRPr="00B67DFC">
        <w:rPr>
          <w:rFonts w:ascii="Garamond" w:hAnsi="Garamond"/>
          <w:b/>
          <w:lang w:val="sq-AL" w:bidi="en-US"/>
        </w:rPr>
        <w:t>Objekti i rregullores kombëtare të planifikimit</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Objekt i rregullores kombëtare të planifikimit, janë:</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a) Përcaktimet, objekt rregullimi i nenit 22 të ligjit nr.10 119, datë 23.4.2009 “Për planifikimin e territorit”;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b) Sistemi rrugor dhe i transportit, në përputhje me përcaktimet e legjislacionit të posaçëm në fuqi;</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c) Ruajtja e zonave dhe vlerave të trashëgimisë kulturore dhe mjedisit në përputhje me përcaktimet e legjislacionit të posaçëm në fuqi;</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ç) Rregullat kombëtare të ndërtimit, në përputhje me përcaktimet e legjislacionit të posaçëm në fuqi;</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d) Rregullore të tjera sipas rastit.</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t>Neni 9</w:t>
      </w:r>
    </w:p>
    <w:p w:rsidR="00F020CC" w:rsidRPr="00B67DFC" w:rsidRDefault="00F020CC" w:rsidP="00F020CC">
      <w:pPr>
        <w:widowControl w:val="0"/>
        <w:jc w:val="center"/>
        <w:outlineLvl w:val="2"/>
        <w:rPr>
          <w:rFonts w:ascii="Garamond" w:hAnsi="Garamond"/>
          <w:b/>
          <w:lang w:val="sq-AL" w:bidi="en-US"/>
        </w:rPr>
      </w:pPr>
      <w:r w:rsidRPr="00B67DFC">
        <w:rPr>
          <w:rFonts w:ascii="Garamond" w:hAnsi="Garamond"/>
          <w:b/>
          <w:lang w:val="sq-AL" w:bidi="en-US"/>
        </w:rPr>
        <w:t xml:space="preserve">Struktura e rregulloreve kombëtare të planifikimit </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1. Struktura e rregulloreve kombëtare të planifikimit përbëhet nga:</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a) Objekti;</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b) Qëllimi;</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c) Rregulla mbi përdorimin e tokës;</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ç) Rregulla mbi intensitetin e zhvillimit;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d) Rregulla mbi ndarjen dhe bashkimin e parcelave;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dh) Rregulla mbi sistemin rrugor dhe të transportit;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e) Rregulla mbi ruajtjen zonave dhe vlerave të trashëgimisë kulturore dhe mjedisit;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ë) Rregulla mbi ndërtimin;</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f) Rregulla të tjera sipas nevojës.</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t>Neni 10</w:t>
      </w:r>
    </w:p>
    <w:p w:rsidR="00F020CC" w:rsidRPr="00B67DFC" w:rsidRDefault="00F020CC" w:rsidP="00F020CC">
      <w:pPr>
        <w:widowControl w:val="0"/>
        <w:jc w:val="center"/>
        <w:outlineLvl w:val="2"/>
        <w:rPr>
          <w:rFonts w:ascii="Garamond" w:hAnsi="Garamond"/>
          <w:b/>
          <w:lang w:val="sq-AL" w:bidi="en-US"/>
        </w:rPr>
      </w:pPr>
      <w:r w:rsidRPr="00B67DFC">
        <w:rPr>
          <w:rFonts w:ascii="Garamond" w:hAnsi="Garamond"/>
          <w:b/>
          <w:lang w:val="sq-AL" w:bidi="en-US"/>
        </w:rPr>
        <w:t>Klasifikimi i rregulloreve kombëtare të planifikimit</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1. Rregulloret kombëtare të planifikimit, sipas klasifikimit, ndahen në:</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lastRenderedPageBreak/>
        <w:t>a) Rregullore e përgjithshme kombëtare e planifikimit;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b) Rregullore </w:t>
      </w:r>
      <w:proofErr w:type="spellStart"/>
      <w:r w:rsidRPr="00B67DFC">
        <w:rPr>
          <w:rFonts w:ascii="Garamond" w:hAnsi="Garamond"/>
          <w:lang w:val="sq-AL" w:bidi="en-US"/>
        </w:rPr>
        <w:t>ndërsektoriale</w:t>
      </w:r>
      <w:proofErr w:type="spellEnd"/>
      <w:r w:rsidRPr="00B67DFC">
        <w:rPr>
          <w:rFonts w:ascii="Garamond" w:hAnsi="Garamond"/>
          <w:lang w:val="sq-AL" w:bidi="en-US"/>
        </w:rPr>
        <w:t xml:space="preserve"> kombëtare e planifikimit; </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c) Rregullore sektoriale kombëtare e planifikimit.</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t>Neni 11</w:t>
      </w:r>
    </w:p>
    <w:p w:rsidR="00F020CC" w:rsidRPr="00B67DFC" w:rsidRDefault="00F020CC" w:rsidP="00F020CC">
      <w:pPr>
        <w:widowControl w:val="0"/>
        <w:jc w:val="center"/>
        <w:outlineLvl w:val="2"/>
        <w:rPr>
          <w:rFonts w:ascii="Garamond" w:hAnsi="Garamond"/>
          <w:b/>
          <w:lang w:val="sq-AL" w:bidi="en-US"/>
        </w:rPr>
      </w:pPr>
      <w:r w:rsidRPr="00B67DFC">
        <w:rPr>
          <w:rFonts w:ascii="Garamond" w:hAnsi="Garamond"/>
          <w:b/>
          <w:lang w:val="sq-AL" w:bidi="en-US"/>
        </w:rPr>
        <w:t xml:space="preserve">Rregullat përbërëse të rregulloreve kombëtare të planifikimit </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1. Rregullat e përdorimit të tokës përmbajnë </w:t>
      </w:r>
      <w:proofErr w:type="spellStart"/>
      <w:r w:rsidRPr="00B67DFC">
        <w:rPr>
          <w:rFonts w:ascii="Garamond" w:hAnsi="Garamond"/>
          <w:lang w:val="sq-AL" w:bidi="en-US"/>
        </w:rPr>
        <w:t>minimalisht</w:t>
      </w:r>
      <w:proofErr w:type="spellEnd"/>
      <w:r w:rsidRPr="00B67DFC">
        <w:rPr>
          <w:rFonts w:ascii="Garamond" w:hAnsi="Garamond"/>
          <w:lang w:val="sq-AL" w:bidi="en-US"/>
        </w:rPr>
        <w:t xml:space="preserve"> për çdo zonë të krijuar sipas planit të përdorimit të tokës, përcaktimin, rregullat dhe shpjegimin e: </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a) Kategorive të lejuara, të kushtëzuara dhe të ndaluara të përdorimit të tokës dhe të strukturave në të, në përputhje me kategoritë bazë të përdorimit të tokës dhe me kriteret për kategoritë e lejuara, të kushtëzuara dhe të ndaluara;</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b) Aktiviteteve dhe funksioneve në përputhje me kategoritë e përdorimit të tokës dhe të strukturave në të, sipas nevojës;</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c) Punimeve dhe veprimtarive që lejohen, kufizohen ose ndalohen, përfshirë kushtet përkatëse;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ç) Përdorimeve të papërputhshme; </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d) Proceseve të instrumenteve të financimit të zhvillimit. Për çdo instrument përcaktohen të drejtat dhe kufizimet ligjore, private ose publike që rrjedhin prej tyre, në përputhje me legjislacionin në fuqi.</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2. Rregullat dhe treguesit e zhvillimit për çdo </w:t>
      </w:r>
      <w:proofErr w:type="spellStart"/>
      <w:r w:rsidRPr="00B67DFC">
        <w:rPr>
          <w:rFonts w:ascii="Garamond" w:hAnsi="Garamond"/>
          <w:lang w:val="sq-AL" w:bidi="en-US"/>
        </w:rPr>
        <w:t>nënnjësi</w:t>
      </w:r>
      <w:proofErr w:type="spellEnd"/>
      <w:r w:rsidRPr="00B67DFC">
        <w:rPr>
          <w:rFonts w:ascii="Garamond" w:hAnsi="Garamond"/>
          <w:lang w:val="sq-AL" w:bidi="en-US"/>
        </w:rPr>
        <w:t xml:space="preserve"> strukturore dhe sipas rastit edhe për zona me prioritet zhvillimi dhe nënndarje të tjera të propozuara nga PPK-ja, përmban:</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a) Kodin dhe përshkrimin e përgjithshëm të njësive strukturore;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b) Kodin dhe emërtimin e </w:t>
      </w:r>
      <w:proofErr w:type="spellStart"/>
      <w:r w:rsidRPr="00B67DFC">
        <w:rPr>
          <w:rFonts w:ascii="Garamond" w:hAnsi="Garamond"/>
          <w:lang w:val="sq-AL" w:bidi="en-US"/>
        </w:rPr>
        <w:t>nënnjësive</w:t>
      </w:r>
      <w:proofErr w:type="spellEnd"/>
      <w:r w:rsidRPr="00B67DFC">
        <w:rPr>
          <w:rFonts w:ascii="Garamond" w:hAnsi="Garamond"/>
          <w:lang w:val="sq-AL" w:bidi="en-US"/>
        </w:rPr>
        <w:t xml:space="preserve"> strukturore;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c) Përcaktimin e zhvillimeve, punimeve dhe veprimtarive, strukturave, aktiviteteve dhe funksioneve, të lejuara, të kushtëzuara dhe të ndaluara, përfshirë dhe përdorimet e papërputhshme; </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ç) Treguesit e planifikimit dhe të zhvillimit;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d) Të drejtat dhe kufizimet ligjore, publike apo private, që rrjedhin nga përdorimi i treguesve të zhvillimit;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dh) Norma dhe standarde të përcaktuara nga legjislacioni i posaçëm në fuqi; </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e) Listën e instrumenteve që mund të përdoren për të arritur në treguesit e propozuar të zhvillimit dhe për të realizuar zhvillimin, përfshirë ato fiskale dhe financiare;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3. Rregullat e nënndarjes dhe të bashkimit të parcelave në çdo </w:t>
      </w:r>
      <w:proofErr w:type="spellStart"/>
      <w:r w:rsidRPr="00B67DFC">
        <w:rPr>
          <w:rFonts w:ascii="Garamond" w:hAnsi="Garamond"/>
          <w:lang w:val="sq-AL" w:bidi="en-US"/>
        </w:rPr>
        <w:t>nënnjësi</w:t>
      </w:r>
      <w:proofErr w:type="spellEnd"/>
      <w:r w:rsidRPr="00B67DFC">
        <w:rPr>
          <w:rFonts w:ascii="Garamond" w:hAnsi="Garamond"/>
          <w:lang w:val="sq-AL" w:bidi="en-US"/>
        </w:rPr>
        <w:t xml:space="preserve"> strukturore dhe, sipas rastit edhe për nënndarje të tjera të propozuara nga PPK-ja, përmbajnë:</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a) Rregullat dhe kushtet për nënndarje dhe bashkim të parcelave;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b) Përshkrimin e metodave për shpërndarjen dhe “</w:t>
      </w:r>
      <w:proofErr w:type="spellStart"/>
      <w:r w:rsidRPr="00B67DFC">
        <w:rPr>
          <w:rFonts w:ascii="Garamond" w:hAnsi="Garamond"/>
          <w:lang w:val="sq-AL" w:bidi="en-US"/>
        </w:rPr>
        <w:t>alokimin</w:t>
      </w:r>
      <w:proofErr w:type="spellEnd"/>
      <w:r w:rsidRPr="00B67DFC">
        <w:rPr>
          <w:rFonts w:ascii="Garamond" w:hAnsi="Garamond"/>
          <w:lang w:val="sq-AL" w:bidi="en-US"/>
        </w:rPr>
        <w:t>” e kostos dhe kompensimin e humbjeve apo shpërndarjen e fitimeve si rezultat i ndarjes apo bashkimit të parcelave, përfshirë edhe të drejta apo kufizime të tjera ligjore;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c) Përshkrimin e mënyrës së shpërndarjes së kostos së ndikimit në infrastrukturë në përputhje me dispozitat ligjore në fuqi, përfshirë edhe përdorimin e instrumenteve të tjera fiskale sipas rastit.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4. Rregullat e sistemit rrugor dhe transportit që përbëhen nga:</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a) Përcaktimi dhe përshkrimi i kategorive të sistemit rrugor në përputhje me Kodin Rrugor, përfshirë standardet dhe kushtet teknike përkatëse;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b) Përcaktimi i treguesve të propozuar të zhvillimit të sistemit rrugor;</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c) Përcaktimi i parametrave të skemës së transportit publik, përfshirë standardet </w:t>
      </w:r>
      <w:r w:rsidRPr="00B67DFC">
        <w:rPr>
          <w:rFonts w:ascii="Garamond" w:hAnsi="Garamond"/>
          <w:lang w:val="sq-AL" w:bidi="en-US"/>
        </w:rPr>
        <w:lastRenderedPageBreak/>
        <w:t>teknike bazuar në legjislacionin e posaçëm në fuqi.</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5. Rregullat e ruajtjes së zonave dhe vlerave të trashëgimisë kulturore dhe mjedisit përbëhen nga:</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a) Përcaktimi i normave dhe standardeve të </w:t>
      </w:r>
      <w:proofErr w:type="spellStart"/>
      <w:r w:rsidRPr="00B67DFC">
        <w:rPr>
          <w:rFonts w:ascii="Garamond" w:hAnsi="Garamond"/>
          <w:lang w:val="sq-AL" w:bidi="en-US"/>
        </w:rPr>
        <w:t>të</w:t>
      </w:r>
      <w:proofErr w:type="spellEnd"/>
      <w:r w:rsidRPr="00B67DFC">
        <w:rPr>
          <w:rFonts w:ascii="Garamond" w:hAnsi="Garamond"/>
          <w:lang w:val="sq-AL" w:bidi="en-US"/>
        </w:rPr>
        <w:t xml:space="preserve"> gjitha zhvillimeve, të cilat kanë ndikim në mjedis, shëndet, dhe në vlerat ekzistuese të trashëgimisë kulturore, sipas përcaktimeve të legjislacionit të posaçëm në fuqi;</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b) Përcaktimi i normave, standardeve dhe rregullave për strukturat dhe punimet që parashikohen nga PPK-ja, me qëllim ruajtjen e mjedisit, shëndetit dhe vlerave të trashëgimisë kulturore, bazuar në rregulloren kombëtare të ndërtimit dhe sipas përcaktimeve të legjislacionit të posaçëm në fuqi.</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6. Rregullat e ndërtimit përgatiten sipas përcaktimeve të rregullores së ndërtimit. </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rPr>
          <w:rFonts w:ascii="Garamond" w:hAnsi="Garamond"/>
          <w:caps/>
          <w:lang w:val="sq-AL" w:bidi="en-US"/>
        </w:rPr>
      </w:pPr>
      <w:r w:rsidRPr="00B67DFC">
        <w:rPr>
          <w:rFonts w:ascii="Garamond" w:hAnsi="Garamond"/>
          <w:caps/>
          <w:lang w:val="sq-AL" w:bidi="en-US"/>
        </w:rPr>
        <w:t>KREU III</w:t>
      </w:r>
    </w:p>
    <w:p w:rsidR="00F020CC" w:rsidRPr="00B67DFC" w:rsidRDefault="00F020CC" w:rsidP="00F020CC">
      <w:pPr>
        <w:widowControl w:val="0"/>
        <w:jc w:val="center"/>
        <w:rPr>
          <w:rFonts w:ascii="Garamond" w:hAnsi="Garamond"/>
          <w:caps/>
          <w:lang w:val="sq-AL" w:bidi="en-US"/>
        </w:rPr>
      </w:pPr>
      <w:r w:rsidRPr="00B67DFC">
        <w:rPr>
          <w:rFonts w:ascii="Garamond" w:hAnsi="Garamond"/>
          <w:caps/>
          <w:lang w:val="sq-AL" w:bidi="en-US"/>
        </w:rPr>
        <w:t>PLANIFIKIMI VENDOR</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outlineLvl w:val="0"/>
        <w:rPr>
          <w:rFonts w:ascii="Garamond" w:hAnsi="Garamond"/>
          <w:caps/>
          <w:lang w:val="sq-AL" w:bidi="en-US"/>
        </w:rPr>
      </w:pPr>
      <w:r w:rsidRPr="00B67DFC">
        <w:rPr>
          <w:rFonts w:ascii="Garamond" w:hAnsi="Garamond"/>
          <w:caps/>
          <w:lang w:val="sq-AL" w:bidi="en-US"/>
        </w:rPr>
        <w:t>SEKSIONI 1</w:t>
      </w:r>
    </w:p>
    <w:p w:rsidR="00F020CC" w:rsidRPr="00B67DFC" w:rsidRDefault="00F020CC" w:rsidP="00F020CC">
      <w:pPr>
        <w:widowControl w:val="0"/>
        <w:jc w:val="center"/>
        <w:outlineLvl w:val="0"/>
        <w:rPr>
          <w:rFonts w:ascii="Garamond" w:hAnsi="Garamond"/>
          <w:caps/>
          <w:lang w:val="sq-AL" w:bidi="en-US"/>
        </w:rPr>
      </w:pPr>
      <w:r w:rsidRPr="00B67DFC">
        <w:rPr>
          <w:rFonts w:ascii="Garamond" w:hAnsi="Garamond"/>
          <w:caps/>
          <w:lang w:val="sq-AL" w:bidi="en-US"/>
        </w:rPr>
        <w:t>POLITIKAT VENDORE TË TERRITORIT</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t>Neni 12</w:t>
      </w:r>
    </w:p>
    <w:p w:rsidR="00F020CC" w:rsidRPr="00B67DFC" w:rsidRDefault="00F020CC" w:rsidP="00F020CC">
      <w:pPr>
        <w:widowControl w:val="0"/>
        <w:jc w:val="center"/>
        <w:outlineLvl w:val="2"/>
        <w:rPr>
          <w:rFonts w:ascii="Garamond" w:hAnsi="Garamond"/>
          <w:b/>
          <w:lang w:val="sq-AL" w:bidi="en-US"/>
        </w:rPr>
      </w:pPr>
      <w:r w:rsidRPr="00B67DFC">
        <w:rPr>
          <w:rFonts w:ascii="Garamond" w:hAnsi="Garamond"/>
          <w:b/>
          <w:lang w:val="sq-AL" w:bidi="en-US"/>
        </w:rPr>
        <w:t>Qëllimi i politikës së zhvillimit të territorit të njësisë së qeverisjes vendore</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1. Politika e zhvillimit të territorit të njësisë së qeverisjes vendore (PZHTNJV) është instrumenti më i lartë i planifikimit të territorit, që pasqyron përparësitë, qëllimet strategjike, objektivat, mjetet dhe rezultatet e pritshme për të orientuar dhe nxitur proceset e mëtejshme të planifikimit të territorit në nivel vendor, si dhe pasqyron dhe zbërthen në nivel vendor prioritetet e Strategjisë Kombëtare për Zhvillim dhe Integrim, të kuadrit të koherencës strategjike dhe të </w:t>
      </w:r>
      <w:proofErr w:type="spellStart"/>
      <w:r w:rsidRPr="00B67DFC">
        <w:rPr>
          <w:rFonts w:ascii="Garamond" w:hAnsi="Garamond"/>
          <w:lang w:val="sq-AL" w:bidi="en-US"/>
        </w:rPr>
        <w:t>të</w:t>
      </w:r>
      <w:proofErr w:type="spellEnd"/>
      <w:r w:rsidRPr="00B67DFC">
        <w:rPr>
          <w:rFonts w:ascii="Garamond" w:hAnsi="Garamond"/>
          <w:lang w:val="sq-AL" w:bidi="en-US"/>
        </w:rPr>
        <w:t xml:space="preserve"> gjitha strategjive sektoriale dhe </w:t>
      </w:r>
      <w:proofErr w:type="spellStart"/>
      <w:r w:rsidRPr="00B67DFC">
        <w:rPr>
          <w:rFonts w:ascii="Garamond" w:hAnsi="Garamond"/>
          <w:lang w:val="sq-AL" w:bidi="en-US"/>
        </w:rPr>
        <w:t>ndërsektoriale</w:t>
      </w:r>
      <w:proofErr w:type="spellEnd"/>
      <w:r w:rsidRPr="00B67DFC">
        <w:rPr>
          <w:rFonts w:ascii="Garamond" w:hAnsi="Garamond"/>
          <w:lang w:val="sq-AL" w:bidi="en-US"/>
        </w:rPr>
        <w:t xml:space="preserve"> që prekin territorin e njësisë vendore.</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t>Neni 13</w:t>
      </w:r>
    </w:p>
    <w:p w:rsidR="00F020CC" w:rsidRPr="00B67DFC" w:rsidRDefault="00F020CC" w:rsidP="00F020CC">
      <w:pPr>
        <w:widowControl w:val="0"/>
        <w:jc w:val="center"/>
        <w:outlineLvl w:val="2"/>
        <w:rPr>
          <w:rFonts w:ascii="Garamond" w:hAnsi="Garamond"/>
          <w:b/>
          <w:lang w:val="sq-AL" w:bidi="en-US"/>
        </w:rPr>
      </w:pPr>
      <w:r w:rsidRPr="00B67DFC">
        <w:rPr>
          <w:rFonts w:ascii="Garamond" w:hAnsi="Garamond"/>
          <w:b/>
          <w:lang w:val="sq-AL" w:bidi="en-US"/>
        </w:rPr>
        <w:t>Struktura dhe formati i dokumentit të politikës së zhvillimit të territorit të njësisë së qeverisjes vendore</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1. Politika e zhvillimit të territorit të njësisë së qeverisjes vendore, hartohet sipas përcaktimit të nenit 20, pika 2 të ligjit nr.10 119, datë 23.4.2009 “Për planifikimin e territorit”. </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2. Dokumentet e politikës së zhvillimit të territorit të njësisë së qeverisjes vendore përbëhen nga dokumenti i politikës dhe shtojca e hartave. </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3. Dokumenti i politikës përmban: </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a) Analizën e përgjithshme social-ekonomike, demografike, mjedisore, kulturore dhe historike, përfshirë ndikimin ekzistues të këtyre aspekteve në territor dhe identifikimin, si dhe analizën e politikave dhe programeve politike ekzistuese të planifikimit të territorit në njësinë e qeverisjes vendore. Në rastet kur PZHTNJV-ja dhe PPV-ja hartohen së bashku, është i mjaftueshëm realizimi i dokumentit të analizës dhe vlerësimit të thelluar, sipas nenit 18 të kësaj rregulloreje;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b) Identifikimin e premisave bazë për zhvillimin territorial të njësisë së qeverisjes vendore dhe të hendekut institucional dhe programatik, si kuadër bazë për hartimin e vizionit të zhvillimit të njësisë së qeverisjes vendore;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c) Vizionin strategjik të zhvillimit të njësisë së qeverisjes vendore, të hartuar me </w:t>
      </w:r>
      <w:r w:rsidRPr="00B67DFC">
        <w:rPr>
          <w:rFonts w:ascii="Garamond" w:hAnsi="Garamond"/>
          <w:lang w:val="sq-AL" w:bidi="en-US"/>
        </w:rPr>
        <w:lastRenderedPageBreak/>
        <w:t xml:space="preserve">pjesëmarrjen e komunitetit dhe të grupeve të interesit; </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ç) Objektivat strategjikë të planifikimit dhe të zhvillimit të njësisë vendore bazuar në vizionin strategjik të zhvillimit të njësisë vendore;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d) Programet kryesore të zhvillimit të njësisë së qeverisjes vendore, të cilat reflektojnë përparësitë dhe drejtimet kryesore të planifikimit të territorit dhe mundësojnë realizimin e objektivave;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dh) Planin e veprimit për realizimin e programeve, përfshirë ndryshimet e nevojshme institucionale dhe ligjore, si dhe buxhetin e nevojshëm për planin e veprimit.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4. Shtojca e hartave përmban skenarët strategjikë të zhvillimit të territorit të njësisë së qeverisjes vendore sipas prioritetit, të cilët reflektojnë drejtimet kryesore të planifikimit të territorit dhe vizionin, objektivat dhe fazat kohore të zbatimit të programeve. </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outlineLvl w:val="0"/>
        <w:rPr>
          <w:rFonts w:ascii="Garamond" w:hAnsi="Garamond"/>
          <w:caps/>
          <w:lang w:val="sq-AL" w:bidi="en-US"/>
        </w:rPr>
      </w:pPr>
      <w:r w:rsidRPr="00B67DFC">
        <w:rPr>
          <w:rFonts w:ascii="Garamond" w:hAnsi="Garamond"/>
          <w:caps/>
          <w:lang w:val="sq-AL" w:bidi="en-US"/>
        </w:rPr>
        <w:t>SEKSIONI 2</w:t>
      </w:r>
    </w:p>
    <w:p w:rsidR="00F020CC" w:rsidRPr="00B67DFC" w:rsidRDefault="00F020CC" w:rsidP="00F020CC">
      <w:pPr>
        <w:widowControl w:val="0"/>
        <w:jc w:val="center"/>
        <w:outlineLvl w:val="0"/>
        <w:rPr>
          <w:rFonts w:ascii="Garamond" w:hAnsi="Garamond"/>
          <w:caps/>
          <w:lang w:val="sq-AL" w:bidi="en-US"/>
        </w:rPr>
      </w:pPr>
      <w:r w:rsidRPr="00B67DFC">
        <w:rPr>
          <w:rFonts w:ascii="Garamond" w:hAnsi="Garamond"/>
          <w:caps/>
          <w:lang w:val="sq-AL" w:bidi="en-US"/>
        </w:rPr>
        <w:t>PLANET VENDORE</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keepNext/>
        <w:widowControl w:val="0"/>
        <w:jc w:val="center"/>
        <w:rPr>
          <w:rFonts w:ascii="Garamond" w:hAnsi="Garamond"/>
          <w:lang w:val="en-GB" w:bidi="en-US"/>
        </w:rPr>
      </w:pPr>
      <w:proofErr w:type="spellStart"/>
      <w:r w:rsidRPr="00B67DFC">
        <w:rPr>
          <w:rFonts w:ascii="Garamond" w:hAnsi="Garamond"/>
          <w:lang w:val="en-GB" w:bidi="en-US"/>
        </w:rPr>
        <w:t>Neni</w:t>
      </w:r>
      <w:proofErr w:type="spellEnd"/>
      <w:r w:rsidRPr="00B67DFC">
        <w:rPr>
          <w:rFonts w:ascii="Garamond" w:hAnsi="Garamond"/>
          <w:lang w:val="en-GB" w:bidi="en-US"/>
        </w:rPr>
        <w:t xml:space="preserve"> 14</w:t>
      </w:r>
    </w:p>
    <w:p w:rsidR="00F020CC" w:rsidRPr="00B67DFC" w:rsidRDefault="00F020CC" w:rsidP="00F020CC">
      <w:pPr>
        <w:widowControl w:val="0"/>
        <w:jc w:val="center"/>
        <w:outlineLvl w:val="2"/>
        <w:rPr>
          <w:rFonts w:ascii="Garamond" w:hAnsi="Garamond"/>
          <w:b/>
          <w:lang w:val="sq-AL" w:bidi="en-US"/>
        </w:rPr>
      </w:pPr>
      <w:r w:rsidRPr="00B67DFC">
        <w:rPr>
          <w:rFonts w:ascii="Garamond" w:hAnsi="Garamond"/>
          <w:b/>
          <w:lang w:val="sq-AL" w:bidi="en-US"/>
        </w:rPr>
        <w:t xml:space="preserve">Objekti i planit vendor </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1. Objekti i planit vendor për planifikimin e territorit përcaktohet në përputhje me nenin 27 të ligjit nr.10 119, datë 23.4.2009 “Për planifikimin e territorit” dhe në asnjë rast nuk bie ndesh me qëllimet, objektivat dhe rezultatet e pritshme, të përcaktuara në instrumentet kombëtare të përgjithshme, sektoriale dhe </w:t>
      </w:r>
      <w:proofErr w:type="spellStart"/>
      <w:r w:rsidRPr="00B67DFC">
        <w:rPr>
          <w:rFonts w:ascii="Garamond" w:hAnsi="Garamond"/>
          <w:lang w:val="sq-AL" w:bidi="en-US"/>
        </w:rPr>
        <w:t>ndërsektoriale</w:t>
      </w:r>
      <w:proofErr w:type="spellEnd"/>
      <w:r w:rsidRPr="00B67DFC">
        <w:rPr>
          <w:rFonts w:ascii="Garamond" w:hAnsi="Garamond"/>
          <w:lang w:val="sq-AL" w:bidi="en-US"/>
        </w:rPr>
        <w:t xml:space="preserve">. </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t>Neni 15</w:t>
      </w:r>
    </w:p>
    <w:p w:rsidR="00F020CC" w:rsidRPr="00B67DFC" w:rsidRDefault="00F020CC" w:rsidP="00F020CC">
      <w:pPr>
        <w:widowControl w:val="0"/>
        <w:jc w:val="center"/>
        <w:outlineLvl w:val="2"/>
        <w:rPr>
          <w:rFonts w:ascii="Garamond" w:hAnsi="Garamond"/>
          <w:b/>
          <w:lang w:val="sq-AL" w:bidi="en-US"/>
        </w:rPr>
      </w:pPr>
      <w:r w:rsidRPr="00B67DFC">
        <w:rPr>
          <w:rFonts w:ascii="Garamond" w:hAnsi="Garamond"/>
          <w:b/>
          <w:lang w:val="sq-AL" w:bidi="en-US"/>
        </w:rPr>
        <w:t xml:space="preserve">Klasifikimi i planeve vendore </w:t>
      </w:r>
    </w:p>
    <w:p w:rsidR="006909CF" w:rsidRPr="00B67DFC" w:rsidRDefault="006909CF" w:rsidP="006909CF">
      <w:pPr>
        <w:widowControl w:val="0"/>
        <w:jc w:val="center"/>
        <w:outlineLvl w:val="2"/>
        <w:rPr>
          <w:rFonts w:ascii="Garamond" w:hAnsi="Garamond"/>
          <w:lang w:val="sq-AL" w:bidi="en-US"/>
        </w:rPr>
      </w:pPr>
      <w:r w:rsidRPr="00B67DFC">
        <w:rPr>
          <w:rFonts w:ascii="Garamond" w:hAnsi="Garamond"/>
          <w:lang w:val="sq-AL" w:bidi="en-US"/>
        </w:rPr>
        <w:t>(Shtuar shkronja “ç” me VKM nr. 312, datë 13.3.2013)</w:t>
      </w:r>
    </w:p>
    <w:p w:rsidR="00F020CC" w:rsidRPr="00B67DFC" w:rsidRDefault="00F020CC" w:rsidP="006909CF">
      <w:pPr>
        <w:widowControl w:val="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1. Planet vendore klasifikohen në:</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a) Plan i përgjithshëm vendor;</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b) Plan vendor </w:t>
      </w:r>
      <w:proofErr w:type="spellStart"/>
      <w:r w:rsidRPr="00B67DFC">
        <w:rPr>
          <w:rFonts w:ascii="Garamond" w:hAnsi="Garamond"/>
          <w:lang w:val="sq-AL" w:bidi="en-US"/>
        </w:rPr>
        <w:t>ndërsektorial</w:t>
      </w:r>
      <w:proofErr w:type="spellEnd"/>
      <w:r w:rsidRPr="00B67DFC">
        <w:rPr>
          <w:rFonts w:ascii="Garamond" w:hAnsi="Garamond"/>
          <w:lang w:val="sq-AL" w:bidi="en-US"/>
        </w:rPr>
        <w: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c) Plan vendor sektorial;</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ç) Plan i detajuar vendor.</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t>Neni 16</w:t>
      </w:r>
    </w:p>
    <w:p w:rsidR="00F020CC" w:rsidRPr="00B67DFC" w:rsidRDefault="00F020CC" w:rsidP="00F020CC">
      <w:pPr>
        <w:widowControl w:val="0"/>
        <w:jc w:val="center"/>
        <w:outlineLvl w:val="2"/>
        <w:rPr>
          <w:rFonts w:ascii="Garamond" w:hAnsi="Garamond"/>
          <w:b/>
          <w:lang w:val="sq-AL" w:bidi="en-US"/>
        </w:rPr>
      </w:pPr>
      <w:r w:rsidRPr="00B67DFC">
        <w:rPr>
          <w:rFonts w:ascii="Garamond" w:hAnsi="Garamond"/>
          <w:b/>
          <w:lang w:val="sq-AL" w:bidi="en-US"/>
        </w:rPr>
        <w:t xml:space="preserve">Struktura dhe formati i planit të përgjithshëm vendor (PPV) </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1. Dokumentet, të cilat dorëzohen për miratimin e PPV-së sipas fazave përkatëse, janë:</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a) Kërkesa për marrjen e nismës së hartimit të PPV-së;</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b) Politika e zhvillimit të territorit të njësisë së qeverisjes vendore, nëse kjo nuk është hartuar dhe miratuar më parë;</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c) Vlerësimi strategjik mjedisor;</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ç) Projektplani;</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d) Materiali hartografik që shoqëron dokumentet e përcaktuara në germat “a” deri në “ç” të kësaj pike.</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rPr>
          <w:rFonts w:ascii="Garamond" w:hAnsi="Garamond"/>
          <w:lang w:val="sq-AL" w:bidi="en-US"/>
        </w:rPr>
      </w:pPr>
    </w:p>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t>Neni 17</w:t>
      </w:r>
    </w:p>
    <w:p w:rsidR="00F020CC" w:rsidRPr="00B67DFC" w:rsidRDefault="00F020CC" w:rsidP="00F020CC">
      <w:pPr>
        <w:widowControl w:val="0"/>
        <w:jc w:val="center"/>
        <w:outlineLvl w:val="2"/>
        <w:rPr>
          <w:rFonts w:ascii="Garamond" w:hAnsi="Garamond"/>
          <w:b/>
          <w:lang w:val="sq-AL" w:bidi="en-US"/>
        </w:rPr>
      </w:pPr>
      <w:r w:rsidRPr="00B67DFC">
        <w:rPr>
          <w:rFonts w:ascii="Garamond" w:hAnsi="Garamond"/>
          <w:b/>
          <w:lang w:val="sq-AL" w:bidi="en-US"/>
        </w:rPr>
        <w:lastRenderedPageBreak/>
        <w:t>Struktura dhe formati i kërkesës së PPV-së</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1. Kërkesa e PPV-së përmban:</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a) Studimin, i cili përcakton: </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i) faktet që çojnë në nevojën për hartim/rishqyrtim të planit vendor; </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ii</w:t>
      </w:r>
      <w:proofErr w:type="spellEnd"/>
      <w:r w:rsidRPr="00B67DFC">
        <w:rPr>
          <w:rFonts w:ascii="Garamond" w:hAnsi="Garamond"/>
          <w:lang w:val="sq-AL" w:bidi="en-US"/>
        </w:rPr>
        <w:t xml:space="preserve">) analizën e këtyre fakteve; </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iii</w:t>
      </w:r>
      <w:proofErr w:type="spellEnd"/>
      <w:r w:rsidRPr="00B67DFC">
        <w:rPr>
          <w:rFonts w:ascii="Garamond" w:hAnsi="Garamond"/>
          <w:lang w:val="sq-AL" w:bidi="en-US"/>
        </w:rPr>
        <w:t xml:space="preserve">) problemet që do të trajtohen nga plani dhe mënyrën e trajtimit të tyre; </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iv</w:t>
      </w:r>
      <w:proofErr w:type="spellEnd"/>
      <w:r w:rsidRPr="00B67DFC">
        <w:rPr>
          <w:rFonts w:ascii="Garamond" w:hAnsi="Garamond"/>
          <w:lang w:val="sq-AL" w:bidi="en-US"/>
        </w:rPr>
        <w:t>) palët e interesuara dhe pozicioni i tyre në proces;</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v) qëllimi kryesor që kërkon të arrijë plani.</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b) Kufijtë e territorit që do të studiohet, të cilat duhet të paraqiten në sistemet e </w:t>
      </w:r>
      <w:proofErr w:type="spellStart"/>
      <w:r w:rsidRPr="00B67DFC">
        <w:rPr>
          <w:rFonts w:ascii="Garamond" w:hAnsi="Garamond"/>
          <w:lang w:val="sq-AL" w:bidi="en-US"/>
        </w:rPr>
        <w:t>gjeoreferimit</w:t>
      </w:r>
      <w:proofErr w:type="spellEnd"/>
      <w:r w:rsidRPr="00B67DFC">
        <w:rPr>
          <w:rFonts w:ascii="Garamond" w:hAnsi="Garamond"/>
          <w:lang w:val="sq-AL" w:bidi="en-US"/>
        </w:rPr>
        <w:t xml:space="preserve">, të përcaktuara në vendimin e Këshillit të Ministrave nr.459, datë 23.6.2010 “Për miratimin e </w:t>
      </w:r>
      <w:proofErr w:type="spellStart"/>
      <w:r w:rsidRPr="00B67DFC">
        <w:rPr>
          <w:rFonts w:ascii="Garamond" w:hAnsi="Garamond"/>
          <w:lang w:val="sq-AL" w:bidi="en-US"/>
        </w:rPr>
        <w:t>standarteve</w:t>
      </w:r>
      <w:proofErr w:type="spellEnd"/>
      <w:r w:rsidRPr="00B67DFC">
        <w:rPr>
          <w:rFonts w:ascii="Garamond" w:hAnsi="Garamond"/>
          <w:lang w:val="sq-AL" w:bidi="en-US"/>
        </w:rPr>
        <w:t xml:space="preserve"> të përbashkëta gjeodezike dhe GIS të regjistrit të territorit” dhe në shkallë jo më të vogël se 1:5000;</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c) Planin e veprimit për proceset e hartimit, të bashkërendimit, pjesëmarrjes dhe sipas rastit edhe ndërmjetësimit;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ç) Vendimin e kryetarit të njësisë së qeverisjes vendore për pezullimin e zhvillimit para nisjes së hartimit të PPV-së, sipas rastit, i cili duhet të shoqërohet me hartën që tregon zonën ose zonat në të cilat do të pezullohet zhvillimi dhe me ndarjen e pronësisë në këto zona. Harta paraqitet në sistemet e </w:t>
      </w:r>
      <w:proofErr w:type="spellStart"/>
      <w:r w:rsidRPr="00B67DFC">
        <w:rPr>
          <w:rFonts w:ascii="Garamond" w:hAnsi="Garamond"/>
          <w:lang w:val="sq-AL" w:bidi="en-US"/>
        </w:rPr>
        <w:t>gjeoreferimit</w:t>
      </w:r>
      <w:proofErr w:type="spellEnd"/>
      <w:r w:rsidRPr="00B67DFC">
        <w:rPr>
          <w:rFonts w:ascii="Garamond" w:hAnsi="Garamond"/>
          <w:lang w:val="sq-AL" w:bidi="en-US"/>
        </w:rPr>
        <w:t xml:space="preserve"> sipas akteve nënligjore të miratuara me vendim të Këshillit të Ministrave për regjistrin e territorit. </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2. Nëse politika është hartuar paraprakisht dhe është miratuar në këshillin e njësisë së qeverisjes vendore, por gjykohet se ka nevojë për rishikim në tërësi apo në pjesë të saj, ky proces kryhet që në fazën e hartimit të kërkesës për ndërmarrjen e nismës për hartimin e PPV-së. Përmbajtja e politikës përcaktohet në nenin 13 të kësaj rregulloreje. </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t>Neni 18</w:t>
      </w:r>
    </w:p>
    <w:p w:rsidR="00F020CC" w:rsidRPr="00B67DFC" w:rsidRDefault="00F020CC" w:rsidP="00F020CC">
      <w:pPr>
        <w:widowControl w:val="0"/>
        <w:jc w:val="center"/>
        <w:outlineLvl w:val="2"/>
        <w:rPr>
          <w:rFonts w:ascii="Garamond" w:hAnsi="Garamond"/>
          <w:b/>
          <w:lang w:val="sq-AL" w:bidi="en-US"/>
        </w:rPr>
      </w:pPr>
      <w:r w:rsidRPr="00B67DFC">
        <w:rPr>
          <w:rFonts w:ascii="Garamond" w:hAnsi="Garamond"/>
          <w:b/>
          <w:lang w:val="sq-AL" w:bidi="en-US"/>
        </w:rPr>
        <w:t>Struktura dhe formati i dokumentit të analizës dhe vlerësimit të thelluar</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1. Bazuar në kërkesën dhe planin e veprimit sipas përcaktimeve të miratuara nga këshilli i njësisë së qeverisjes vendore dhe të rishqyrtuara nga AKPT-ja, përgatitet dokumenti i analizës dhe vlerësimit të thelluar të gjendjes ekzistuese social-ekonomike dhe territoriale e mjedisore në territorin e njësisë së qeverisjes vendore. Ky dokument hartohet dhe i bashkëngjitet projektplanit në dokumentin përfundimtar që shkon për miratim. Ky dokument shoqërohet me paraqitjen hartografike përkatëse sipas hapave të përcaktuar në pikën 2 të këtij neni. </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2. Dokumenti i analizës dhe vlerësimit të thelluar dhe hartat përkatëse përmbajnë:</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a) Analizën e elementeve ekzistuese të territorit, e cila përmban të dhëna të tilla si, por pa u kufizuar në: </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i) informacion për topografinë;</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ii</w:t>
      </w:r>
      <w:proofErr w:type="spellEnd"/>
      <w:r w:rsidRPr="00B67DFC">
        <w:rPr>
          <w:rFonts w:ascii="Garamond" w:hAnsi="Garamond"/>
          <w:lang w:val="sq-AL" w:bidi="en-US"/>
        </w:rPr>
        <w:t xml:space="preserve">) harta </w:t>
      </w:r>
      <w:proofErr w:type="spellStart"/>
      <w:r w:rsidRPr="00B67DFC">
        <w:rPr>
          <w:rFonts w:ascii="Garamond" w:hAnsi="Garamond"/>
          <w:lang w:val="sq-AL" w:bidi="en-US"/>
        </w:rPr>
        <w:t>gjeologo-inxhinierike</w:t>
      </w:r>
      <w:proofErr w:type="spellEnd"/>
      <w:r w:rsidRPr="00B67DFC">
        <w:rPr>
          <w:rFonts w:ascii="Garamond" w:hAnsi="Garamond"/>
          <w:lang w:val="sq-AL" w:bidi="en-US"/>
        </w:rPr>
        <w:t xml:space="preserve">; </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iii</w:t>
      </w:r>
      <w:proofErr w:type="spellEnd"/>
      <w:r w:rsidRPr="00B67DFC">
        <w:rPr>
          <w:rFonts w:ascii="Garamond" w:hAnsi="Garamond"/>
          <w:lang w:val="sq-AL" w:bidi="en-US"/>
        </w:rPr>
        <w:t xml:space="preserve">) harta </w:t>
      </w:r>
      <w:proofErr w:type="spellStart"/>
      <w:r w:rsidRPr="00B67DFC">
        <w:rPr>
          <w:rFonts w:ascii="Garamond" w:hAnsi="Garamond"/>
          <w:lang w:val="sq-AL" w:bidi="en-US"/>
        </w:rPr>
        <w:t>hidro</w:t>
      </w:r>
      <w:proofErr w:type="spellEnd"/>
      <w:r w:rsidRPr="00B67DFC">
        <w:rPr>
          <w:rFonts w:ascii="Garamond" w:hAnsi="Garamond"/>
          <w:lang w:val="sq-AL" w:bidi="en-US"/>
        </w:rPr>
        <w:t>-gjeologjike;</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iv</w:t>
      </w:r>
      <w:proofErr w:type="spellEnd"/>
      <w:r w:rsidRPr="00B67DFC">
        <w:rPr>
          <w:rFonts w:ascii="Garamond" w:hAnsi="Garamond"/>
          <w:lang w:val="sq-AL" w:bidi="en-US"/>
        </w:rPr>
        <w:t xml:space="preserve">) </w:t>
      </w:r>
      <w:proofErr w:type="spellStart"/>
      <w:r w:rsidRPr="00B67DFC">
        <w:rPr>
          <w:rFonts w:ascii="Garamond" w:hAnsi="Garamond"/>
          <w:lang w:val="sq-AL" w:bidi="en-US"/>
        </w:rPr>
        <w:t>makrozonimin</w:t>
      </w:r>
      <w:proofErr w:type="spellEnd"/>
      <w:r w:rsidRPr="00B67DFC">
        <w:rPr>
          <w:rFonts w:ascii="Garamond" w:hAnsi="Garamond"/>
          <w:lang w:val="sq-AL" w:bidi="en-US"/>
        </w:rPr>
        <w:t xml:space="preserve"> dhe </w:t>
      </w:r>
      <w:proofErr w:type="spellStart"/>
      <w:r w:rsidRPr="00B67DFC">
        <w:rPr>
          <w:rFonts w:ascii="Garamond" w:hAnsi="Garamond"/>
          <w:lang w:val="sq-AL" w:bidi="en-US"/>
        </w:rPr>
        <w:t>mikrozonimin</w:t>
      </w:r>
      <w:proofErr w:type="spellEnd"/>
      <w:r w:rsidRPr="00B67DFC">
        <w:rPr>
          <w:rFonts w:ascii="Garamond" w:hAnsi="Garamond"/>
          <w:lang w:val="sq-AL" w:bidi="en-US"/>
        </w:rPr>
        <w:t xml:space="preserve"> sizmik;</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v) </w:t>
      </w:r>
      <w:proofErr w:type="spellStart"/>
      <w:r w:rsidRPr="00B67DFC">
        <w:rPr>
          <w:rFonts w:ascii="Garamond" w:hAnsi="Garamond"/>
          <w:lang w:val="sq-AL" w:bidi="en-US"/>
        </w:rPr>
        <w:t>bonitetin</w:t>
      </w:r>
      <w:proofErr w:type="spellEnd"/>
      <w:r w:rsidRPr="00B67DFC">
        <w:rPr>
          <w:rFonts w:ascii="Garamond" w:hAnsi="Garamond"/>
          <w:lang w:val="sq-AL" w:bidi="en-US"/>
        </w:rPr>
        <w:t xml:space="preserve"> e tokave, bazuar në vërtetimin e lëshuar nga autoriteti përkatës sipas përcaktimit të ligjit të posaçëm, nëse në territorin e njësisë së qeverisjes vendore ka zona bujqësore; </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vi</w:t>
      </w:r>
      <w:proofErr w:type="spellEnd"/>
      <w:r w:rsidRPr="00B67DFC">
        <w:rPr>
          <w:rFonts w:ascii="Garamond" w:hAnsi="Garamond"/>
          <w:lang w:val="sq-AL" w:bidi="en-US"/>
        </w:rPr>
        <w:t>) burimet natyrore dhe mjediset pyjore;</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vii</w:t>
      </w:r>
      <w:proofErr w:type="spellEnd"/>
      <w:r w:rsidRPr="00B67DFC">
        <w:rPr>
          <w:rFonts w:ascii="Garamond" w:hAnsi="Garamond"/>
          <w:lang w:val="sq-AL" w:bidi="en-US"/>
        </w:rPr>
        <w:t>) nëse në territorin e njësisë së qeverisjes vendore ka pyje, kullota, sipërfaqe ujore, rezervate, miniera, dhe të tjera të kësaj natyre;</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lastRenderedPageBreak/>
        <w:t>viii</w:t>
      </w:r>
      <w:proofErr w:type="spellEnd"/>
      <w:r w:rsidRPr="00B67DFC">
        <w:rPr>
          <w:rFonts w:ascii="Garamond" w:hAnsi="Garamond"/>
          <w:lang w:val="sq-AL" w:bidi="en-US"/>
        </w:rPr>
        <w:t>) nëse në territorin e njësisë së qeverisjes vendore ka zona të mbrojtura natyrore dhe ato të trashëgimisë kulturore dhe historike, dhe të tjera të kësaj natyre.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b) Analizën dhe vlerësimin e pozicionimit strategjik të njësisë së qeverisjes vendore në raport me rajonin ku ajo shtrihet, përfshirë identitetin e saj historik, urban dhe ekonomik, si dhe kufijtë territorialë të rajonit të marrë në studim dhe të qarkut;</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c) Analizën dhe vlerësimin ekonomik dhe social, përfshirë çështje të punësimit, mundësive lokale apo pengesave për zhvillim ekonomik, aspekteve të </w:t>
      </w:r>
      <w:proofErr w:type="spellStart"/>
      <w:r w:rsidRPr="00B67DFC">
        <w:rPr>
          <w:rFonts w:ascii="Garamond" w:hAnsi="Garamond"/>
          <w:lang w:val="sq-AL" w:bidi="en-US"/>
        </w:rPr>
        <w:t>konkurrueshmërisë</w:t>
      </w:r>
      <w:proofErr w:type="spellEnd"/>
      <w:r w:rsidRPr="00B67DFC">
        <w:rPr>
          <w:rFonts w:ascii="Garamond" w:hAnsi="Garamond"/>
          <w:lang w:val="sq-AL" w:bidi="en-US"/>
        </w:rPr>
        <w:t xml:space="preserve"> ekonomike apo rajonale, pozicionimit dhe përqendrimit të poleve ekonomike lokale, cilësisë së kapitalit dhe burimeve njerëzore dhe të pikave të forta apo të dobëta për zhvillimin e ardhshëm ekonomik dhe social të njësisë së qeverisjes vendore;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ç) Analizën dhe vlerësimin demografik dhe përqendrimin e popullsisë në territor, tendencat e lëvizjeve të popullsisë në vite dhe shpërndarjen e popullsisë në nivel banese dhe për tipologji banesash, e përshkruar sipas sipërfaqes së banimit për banesë, numrit të banesave në një ndërtesë banimi, mënyrës së vendosjes në parcelë dhe në territor të grupeve të ndryshme të banesave, sipërfaqeve të bashkëpronësisë nëse ka të tilla, dhe të dhëna të tjera të kësaj natyre;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d) Analizën e planeve të përgjithshme vendore për planifikimin e territorit të hartuara më parë, përfshirë </w:t>
      </w:r>
      <w:proofErr w:type="spellStart"/>
      <w:r w:rsidRPr="00B67DFC">
        <w:rPr>
          <w:rFonts w:ascii="Garamond" w:hAnsi="Garamond"/>
          <w:lang w:val="sq-AL" w:bidi="en-US"/>
        </w:rPr>
        <w:t>zbatueshmërinë</w:t>
      </w:r>
      <w:proofErr w:type="spellEnd"/>
      <w:r w:rsidRPr="00B67DFC">
        <w:rPr>
          <w:rFonts w:ascii="Garamond" w:hAnsi="Garamond"/>
          <w:lang w:val="sq-AL" w:bidi="en-US"/>
        </w:rPr>
        <w:t xml:space="preserve"> e tyre dhe çështje që duhet të vlerësohen gjatë hartimit të planit të ri;</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dh) Analizën e mënyrës së përdorimit të pronave publike, përfshirë vendndodhjen funksionet dhe marrëdhëniet e pronësisë;</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e) Çështjet e rëndësisë kombëtare dhe zonat e rëndësisë kombëtare që ndodhen në territorin e njësisë së qeverisjes vendore dhe kufizimet që rrjedhin nga këto çështje në planifikimin dhe zhvillimin e territorit;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ë) Analizën e problematikës mjedisore, duke marrë në konsideratë vendndodhjen e elementeve që ndikojnë negativisht mjedisin, vlerat e trashëgimisë kulturore dhe shëndetin e njeriut, si dhe përcaktimin e shkallës së ndikimit negativ të tyre;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f) Analizën e problematikës së pronësisë mbi tokën;</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g) Analizën e përdorimit ekzistues të tokës, bazuar në kategoritë bazë dhe nënkategoritë e përdorimit të tokës dhe të strukturave në të, </w:t>
      </w:r>
      <w:proofErr w:type="spellStart"/>
      <w:r w:rsidRPr="00B67DFC">
        <w:rPr>
          <w:rFonts w:ascii="Garamond" w:hAnsi="Garamond"/>
          <w:lang w:val="sq-AL" w:bidi="en-US"/>
        </w:rPr>
        <w:t>detajimeve</w:t>
      </w:r>
      <w:proofErr w:type="spellEnd"/>
      <w:r w:rsidRPr="00B67DFC">
        <w:rPr>
          <w:rFonts w:ascii="Garamond" w:hAnsi="Garamond"/>
          <w:lang w:val="sq-AL" w:bidi="en-US"/>
        </w:rPr>
        <w:t xml:space="preserve"> të njësisë vendore, si edhe duke identifikuar dhe analizuar funksionet dhe aktivitetet e strukturave dhe parcelave, dhe lidhjen e territorit të njësisë së qeverisjes vendore me rrjetet e infrastrukturave kombëtare;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gj) Analizën e përgjithshme të kushteve dhe cilësisë fizike të strukturave dhe territoreve, si bazë për hartimin e planeve të riparimit, rinovimit, rigjenerimit dhe/ose </w:t>
      </w:r>
      <w:proofErr w:type="spellStart"/>
      <w:r w:rsidRPr="00B67DFC">
        <w:rPr>
          <w:rFonts w:ascii="Garamond" w:hAnsi="Garamond"/>
          <w:lang w:val="sq-AL" w:bidi="en-US"/>
        </w:rPr>
        <w:t>rizhvillimit</w:t>
      </w:r>
      <w:proofErr w:type="spellEnd"/>
      <w:r w:rsidRPr="00B67DFC">
        <w:rPr>
          <w:rFonts w:ascii="Garamond" w:hAnsi="Garamond"/>
          <w:lang w:val="sq-AL" w:bidi="en-US"/>
        </w:rPr>
        <w: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h) Analizën e tipologjisë hapësinore ekzistuese, bazuar në njëtrajtshmërinë e llojit dhe volumit të strukturave, mënyrës së vendosjes së tyre në territor, skemës rrugore dhe të hapësirave publike, si dhe të lartësisë së strukturave;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i) Analizën e “</w:t>
      </w:r>
      <w:proofErr w:type="spellStart"/>
      <w:r w:rsidRPr="00B67DFC">
        <w:rPr>
          <w:rFonts w:ascii="Garamond" w:hAnsi="Garamond"/>
          <w:lang w:val="sq-AL" w:bidi="en-US"/>
        </w:rPr>
        <w:t>periferalitetit</w:t>
      </w:r>
      <w:proofErr w:type="spellEnd"/>
      <w:r w:rsidRPr="00B67DFC">
        <w:rPr>
          <w:rFonts w:ascii="Garamond" w:hAnsi="Garamond"/>
          <w:lang w:val="sq-AL" w:bidi="en-US"/>
        </w:rPr>
        <w:t xml:space="preserve">”, duke e ndarë territorin në zona sipas një grupi kriteresh, që përfshijnë: </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i) largësinë nga qendra e zonës së banuar; </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ii</w:t>
      </w:r>
      <w:proofErr w:type="spellEnd"/>
      <w:r w:rsidRPr="00B67DFC">
        <w:rPr>
          <w:rFonts w:ascii="Garamond" w:hAnsi="Garamond"/>
          <w:lang w:val="sq-AL" w:bidi="en-US"/>
        </w:rPr>
        <w:t>) largësinë nga qendra e punësimit;</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iii</w:t>
      </w:r>
      <w:proofErr w:type="spellEnd"/>
      <w:r w:rsidRPr="00B67DFC">
        <w:rPr>
          <w:rFonts w:ascii="Garamond" w:hAnsi="Garamond"/>
          <w:lang w:val="sq-AL" w:bidi="en-US"/>
        </w:rPr>
        <w:t>) lidhjen me sistemin rrugor sipas kategorive të përcaktuara në Kodin Rrugor;</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iv</w:t>
      </w:r>
      <w:proofErr w:type="spellEnd"/>
      <w:r w:rsidRPr="00B67DFC">
        <w:rPr>
          <w:rFonts w:ascii="Garamond" w:hAnsi="Garamond"/>
          <w:lang w:val="sq-AL" w:bidi="en-US"/>
        </w:rPr>
        <w:t>) furnizimin me rrjete infrastrukture dhe shërbime sociale;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v) nivelin e përafërt të </w:t>
      </w:r>
      <w:proofErr w:type="spellStart"/>
      <w:r w:rsidRPr="00B67DFC">
        <w:rPr>
          <w:rFonts w:ascii="Garamond" w:hAnsi="Garamond"/>
          <w:lang w:val="sq-AL" w:bidi="en-US"/>
        </w:rPr>
        <w:t>të</w:t>
      </w:r>
      <w:proofErr w:type="spellEnd"/>
      <w:r w:rsidRPr="00B67DFC">
        <w:rPr>
          <w:rFonts w:ascii="Garamond" w:hAnsi="Garamond"/>
          <w:lang w:val="sq-AL" w:bidi="en-US"/>
        </w:rPr>
        <w:t xml:space="preserve"> ardhurave të shtresave shoqërore që ushtrojnë aktivitetin e tyre në zona të caktuara;</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vi</w:t>
      </w:r>
      <w:proofErr w:type="spellEnd"/>
      <w:r w:rsidRPr="00B67DFC">
        <w:rPr>
          <w:rFonts w:ascii="Garamond" w:hAnsi="Garamond"/>
          <w:lang w:val="sq-AL" w:bidi="en-US"/>
        </w:rPr>
        <w:t xml:space="preserve">) plotësimin me funksione sipas kategorive bazë të përdorimeve bazuar në këtë rregullore; </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lastRenderedPageBreak/>
        <w:t>vii</w:t>
      </w:r>
      <w:proofErr w:type="spellEnd"/>
      <w:r w:rsidRPr="00B67DFC">
        <w:rPr>
          <w:rFonts w:ascii="Garamond" w:hAnsi="Garamond"/>
          <w:lang w:val="sq-AL" w:bidi="en-US"/>
        </w:rPr>
        <w:t>) nivelin e kriminalitetit dhe sigurinë e jetës;</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viii</w:t>
      </w:r>
      <w:proofErr w:type="spellEnd"/>
      <w:r w:rsidRPr="00B67DFC">
        <w:rPr>
          <w:rFonts w:ascii="Garamond" w:hAnsi="Garamond"/>
          <w:lang w:val="sq-AL" w:bidi="en-US"/>
        </w:rPr>
        <w:t>) probleme të ndryshme sociale përfshirë përjashtimin social.</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j) Analizën e </w:t>
      </w:r>
      <w:proofErr w:type="spellStart"/>
      <w:r w:rsidRPr="00B67DFC">
        <w:rPr>
          <w:rFonts w:ascii="Garamond" w:hAnsi="Garamond"/>
          <w:lang w:val="sq-AL" w:bidi="en-US"/>
        </w:rPr>
        <w:t>elemeneteve</w:t>
      </w:r>
      <w:proofErr w:type="spellEnd"/>
      <w:r w:rsidRPr="00B67DFC">
        <w:rPr>
          <w:rFonts w:ascii="Garamond" w:hAnsi="Garamond"/>
          <w:lang w:val="sq-AL" w:bidi="en-US"/>
        </w:rPr>
        <w:t xml:space="preserve"> të forta dhe të rëndësishme territoriale, duke evidentuar shenjat apo elementet e veçanta territoriale, natyrore apo artificiale që kanë ndikuar ose ndikojnë në strukturimin dhe formimin historik të territorit në studim;</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k) Analizën e nevojave për strehim për të gjitha grupet shoqërore të territorit të njësisë së qeverisjes vendore, analizën e tipologjive të ndryshme të banesave ekzistuese, shpërndarjen e tyre në territor, analizën e cilësisë dhe sasisë së banesave ekzistuese, të shërbimeve urbane dhe sociale, të nevojshme për të plotësuar kërkesat e popullsisë së tashme dhe të ardhme për 10 vitet në vazhdim.</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3. Njësia e qeverisjes vendore harton dokumentin e analizës dhe vlerësimit të thelluar të gjendjes ekzistuese në të njëjtën kohë me hartimin e politikës së zhvillimit të territorit, nëse nuk ka hartuar dokumentin e politikës më parë sipas përcaktimeve të kësaj rregulloreje, dhe në çdo rast hartimi i analizës i paraprin hartimit të projektplanit.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 </w:t>
      </w:r>
    </w:p>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t>Neni 19</w:t>
      </w:r>
    </w:p>
    <w:p w:rsidR="00F020CC" w:rsidRPr="00B67DFC" w:rsidRDefault="00F020CC" w:rsidP="00F020CC">
      <w:pPr>
        <w:widowControl w:val="0"/>
        <w:jc w:val="center"/>
        <w:outlineLvl w:val="2"/>
        <w:rPr>
          <w:rFonts w:ascii="Garamond" w:hAnsi="Garamond"/>
          <w:b/>
          <w:lang w:val="sq-AL" w:bidi="en-US"/>
        </w:rPr>
      </w:pPr>
      <w:r w:rsidRPr="00B67DFC">
        <w:rPr>
          <w:rFonts w:ascii="Garamond" w:hAnsi="Garamond"/>
          <w:b/>
          <w:lang w:val="sq-AL" w:bidi="en-US"/>
        </w:rPr>
        <w:t xml:space="preserve">Vlerësimi strategjik mjedisor </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1. Vlerësimi strategjik mjedisor hartohet paralelisht me PPV-në sipas përcaktimit të legjislacionit të posaçëm në fuqi. </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t>Neni 20</w:t>
      </w:r>
    </w:p>
    <w:p w:rsidR="00F020CC" w:rsidRPr="00B67DFC" w:rsidRDefault="00F020CC" w:rsidP="00F020CC">
      <w:pPr>
        <w:widowControl w:val="0"/>
        <w:jc w:val="center"/>
        <w:outlineLvl w:val="2"/>
        <w:rPr>
          <w:rFonts w:ascii="Garamond" w:hAnsi="Garamond"/>
          <w:b/>
          <w:lang w:val="sq-AL" w:bidi="en-US"/>
        </w:rPr>
      </w:pPr>
      <w:r w:rsidRPr="00B67DFC">
        <w:rPr>
          <w:rFonts w:ascii="Garamond" w:hAnsi="Garamond"/>
          <w:b/>
          <w:lang w:val="sq-AL" w:bidi="en-US"/>
        </w:rPr>
        <w:t>Struktura dhe formati i projektplanit të PPV-së</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1. Projektplani përmban:</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a) objektivat e planit të përgjithshëm vendor të planifikimit të territorit;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b) përmbledhjen dhe gjetjet kryesore të analizës dhe vlerësimit të thelluar të gjendjes ekzistuese. Materiali i plotë i analizës i bashkëngjitet projektplanit si shtojcë e tij;</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c) përmbledhjen e dokumentit të politikave të zhvillimit të territorit të njësisë së qeverisjes vendore (PZHTNJV). Dokumenti i plotë së bashku me hartat i bashkëngjitet projektplanit si shtojcë e tij;</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ç) planin e propozuar të përdorimit të tokës dhe të strukturave në të, i cili përmban:</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i) kategoritë dhe nënkategoritë e përdorimit të propozuar të tokës dhe të strukturave në të, bazuar në kategoritë bazë sipas instrumenteve kombëtare të planifikimit, dhe të detajuara më tej sipas veçorive të njësisë së qeverisjes vendore;</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ii</w:t>
      </w:r>
      <w:proofErr w:type="spellEnd"/>
      <w:r w:rsidRPr="00B67DFC">
        <w:rPr>
          <w:rFonts w:ascii="Garamond" w:hAnsi="Garamond"/>
          <w:lang w:val="sq-AL" w:bidi="en-US"/>
        </w:rPr>
        <w:t>) funksionet dhe aktivitetet e propozuara të strukturave dhe parcelave ose grupeve përkatëse të parcelave;</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iii</w:t>
      </w:r>
      <w:proofErr w:type="spellEnd"/>
      <w:r w:rsidRPr="00B67DFC">
        <w:rPr>
          <w:rFonts w:ascii="Garamond" w:hAnsi="Garamond"/>
          <w:lang w:val="sq-AL" w:bidi="en-US"/>
        </w:rPr>
        <w:t>) pozicionimin e shërbimeve dhe rrjeteve kryesore të infrastrukturave, përfshirë hapësirat e hapura publike kryesore, dhe kushte teknike për realizimin e infrastrukturave;</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iv</w:t>
      </w:r>
      <w:proofErr w:type="spellEnd"/>
      <w:r w:rsidRPr="00B67DFC">
        <w:rPr>
          <w:rFonts w:ascii="Garamond" w:hAnsi="Garamond"/>
          <w:lang w:val="sq-AL" w:bidi="en-US"/>
        </w:rPr>
        <w:t>) përcaktimin e qendrave kryesore të zhvillimit ekonomik dhe urban ose territorial, që sipas metodologjive të përdorura mund të rezultojnë në zona të tipit pole, qendra, fasha lineare dhe të tjera të kësaj natyre, të cilat drejtojnë zhvillimin në territorin e njësisë së qeverisjes vendore;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v) tipologjitë e propozuara hapësinore bazuar në njëtrajtshmërinë e llojit dhe volumit të strukturave, mënyrës së vendosjes së tyre në territor, skemës rrugore dhe të hapësirave publike, dhe të lartësisë së ndërtesave;</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vi</w:t>
      </w:r>
      <w:proofErr w:type="spellEnd"/>
      <w:r w:rsidRPr="00B67DFC">
        <w:rPr>
          <w:rFonts w:ascii="Garamond" w:hAnsi="Garamond"/>
          <w:lang w:val="sq-AL" w:bidi="en-US"/>
        </w:rPr>
        <w:t>) pozicionimin e zonave që mbartin çështje të rëndësisë kombëtare, nëse këto ekzistojnë në territorin e njësisë vendore, dhe kushtet përkatëse për zhvillim;</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lastRenderedPageBreak/>
        <w:t>vii</w:t>
      </w:r>
      <w:proofErr w:type="spellEnd"/>
      <w:r w:rsidRPr="00B67DFC">
        <w:rPr>
          <w:rFonts w:ascii="Garamond" w:hAnsi="Garamond"/>
          <w:lang w:val="sq-AL" w:bidi="en-US"/>
        </w:rPr>
        <w:t xml:space="preserve">) ndarjen në njësi dhe </w:t>
      </w:r>
      <w:proofErr w:type="spellStart"/>
      <w:r w:rsidRPr="00B67DFC">
        <w:rPr>
          <w:rFonts w:ascii="Garamond" w:hAnsi="Garamond"/>
          <w:lang w:val="sq-AL" w:bidi="en-US"/>
        </w:rPr>
        <w:t>nënnjësi</w:t>
      </w:r>
      <w:proofErr w:type="spellEnd"/>
      <w:r w:rsidRPr="00B67DFC">
        <w:rPr>
          <w:rFonts w:ascii="Garamond" w:hAnsi="Garamond"/>
          <w:lang w:val="sq-AL" w:bidi="en-US"/>
        </w:rPr>
        <w:t xml:space="preserve"> strukturore, sipas instrumenteve kombëtare të planifikimit dhe, sipas rastit, përcaktimin e “zonave me prioritet zhvillimi”;</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viii</w:t>
      </w:r>
      <w:proofErr w:type="spellEnd"/>
      <w:r w:rsidRPr="00B67DFC">
        <w:rPr>
          <w:rFonts w:ascii="Garamond" w:hAnsi="Garamond"/>
          <w:lang w:val="sq-AL" w:bidi="en-US"/>
        </w:rPr>
        <w:t xml:space="preserve">) mbështetur në përcaktimet e instrumenteve kombëtare të planifikimit, paracaktohen edhe </w:t>
      </w:r>
      <w:proofErr w:type="spellStart"/>
      <w:r w:rsidRPr="00B67DFC">
        <w:rPr>
          <w:rFonts w:ascii="Garamond" w:hAnsi="Garamond"/>
          <w:lang w:val="sq-AL" w:bidi="en-US"/>
        </w:rPr>
        <w:t>nënnjësitë</w:t>
      </w:r>
      <w:proofErr w:type="spellEnd"/>
      <w:r w:rsidRPr="00B67DFC">
        <w:rPr>
          <w:rFonts w:ascii="Garamond" w:hAnsi="Garamond"/>
          <w:lang w:val="sq-AL" w:bidi="en-US"/>
        </w:rPr>
        <w:t xml:space="preserve"> strukturore dhe zonat me prioritet zhvillimi, të cilat do t’i nënshtrohen hartimit të PDV-së;</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ix</w:t>
      </w:r>
      <w:proofErr w:type="spellEnd"/>
      <w:r w:rsidRPr="00B67DFC">
        <w:rPr>
          <w:rFonts w:ascii="Garamond" w:hAnsi="Garamond"/>
          <w:lang w:val="sq-AL" w:bidi="en-US"/>
        </w:rPr>
        <w:t xml:space="preserve">) propozimet për zonat e </w:t>
      </w:r>
      <w:proofErr w:type="spellStart"/>
      <w:r w:rsidRPr="00B67DFC">
        <w:rPr>
          <w:rFonts w:ascii="Garamond" w:hAnsi="Garamond"/>
          <w:lang w:val="sq-AL" w:bidi="en-US"/>
        </w:rPr>
        <w:t>preferimit</w:t>
      </w:r>
      <w:proofErr w:type="spellEnd"/>
      <w:r w:rsidRPr="00B67DFC">
        <w:rPr>
          <w:rFonts w:ascii="Garamond" w:hAnsi="Garamond"/>
          <w:lang w:val="sq-AL" w:bidi="en-US"/>
        </w:rPr>
        <w:t>, zonat e pezullimit të zhvillimit, zonat e rezervimit publik dhe zonat për kategori të caktuara servitutesh publike, dhe kushtet përkatëse për zbatimin e tyre, sipas rastit;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x) parashikimin demografik dhe shpërndarjen e popullsisë së pritshme në territor, specifikuar në nivel </w:t>
      </w:r>
      <w:proofErr w:type="spellStart"/>
      <w:r w:rsidRPr="00B67DFC">
        <w:rPr>
          <w:rFonts w:ascii="Garamond" w:hAnsi="Garamond"/>
          <w:lang w:val="sq-AL" w:bidi="en-US"/>
        </w:rPr>
        <w:t>nënnjësie</w:t>
      </w:r>
      <w:proofErr w:type="spellEnd"/>
      <w:r w:rsidRPr="00B67DFC">
        <w:rPr>
          <w:rFonts w:ascii="Garamond" w:hAnsi="Garamond"/>
          <w:lang w:val="sq-AL" w:bidi="en-US"/>
        </w:rPr>
        <w:t xml:space="preserve"> strukturore dhe për tipologji banese;</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xi</w:t>
      </w:r>
      <w:proofErr w:type="spellEnd"/>
      <w:r w:rsidRPr="00B67DFC">
        <w:rPr>
          <w:rFonts w:ascii="Garamond" w:hAnsi="Garamond"/>
          <w:lang w:val="sq-AL" w:bidi="en-US"/>
        </w:rPr>
        <w:t xml:space="preserve">) planin e strehimit, bazuar në nevojat e tashme dhe ato të projektuara, duke dendësuar zonat ekzistuese, rigjenerimin, </w:t>
      </w:r>
      <w:proofErr w:type="spellStart"/>
      <w:r w:rsidRPr="00B67DFC">
        <w:rPr>
          <w:rFonts w:ascii="Garamond" w:hAnsi="Garamond"/>
          <w:lang w:val="sq-AL" w:bidi="en-US"/>
        </w:rPr>
        <w:t>rizhvillimin</w:t>
      </w:r>
      <w:proofErr w:type="spellEnd"/>
      <w:r w:rsidRPr="00B67DFC">
        <w:rPr>
          <w:rFonts w:ascii="Garamond" w:hAnsi="Garamond"/>
          <w:lang w:val="sq-AL" w:bidi="en-US"/>
        </w:rPr>
        <w:t xml:space="preserve"> dhe/ose planifikimin e zonave të reja me funksion banimi për të gjitha shtresat e popullsisë, dhe duke dedikuar sipërfaqet e nevojshme për programet sociale të strehimit;</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xii</w:t>
      </w:r>
      <w:proofErr w:type="spellEnd"/>
      <w:r w:rsidRPr="00B67DFC">
        <w:rPr>
          <w:rFonts w:ascii="Garamond" w:hAnsi="Garamond"/>
          <w:lang w:val="sq-AL" w:bidi="en-US"/>
        </w:rPr>
        <w:t>) përcaktimin e zonave dhe kushteve për zbatimin e programit të intensitetit të ndërtimit me kushte dhe/ose të zonave marrëse dhe dhënëse të së drejtës së zhvillimit për programin e transferimit të këtyre të drejtave, në rast se njësia e qeverisjes vendore vendos të ndërmarrë që në këtë moment, njërin ose të dyja programet e përmendura në këtë pikë, në përputhje me përcaktimet e vendimit të Këshillit të Ministrave “Për miratimin e rregullores uniforme të kontrollit të zhvillimit”;</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xiii</w:t>
      </w:r>
      <w:proofErr w:type="spellEnd"/>
      <w:r w:rsidRPr="00B67DFC">
        <w:rPr>
          <w:rFonts w:ascii="Garamond" w:hAnsi="Garamond"/>
          <w:lang w:val="sq-AL" w:bidi="en-US"/>
        </w:rPr>
        <w:t xml:space="preserve">) çdo nënndarje tjetër, </w:t>
      </w:r>
      <w:proofErr w:type="spellStart"/>
      <w:r w:rsidRPr="00B67DFC">
        <w:rPr>
          <w:rFonts w:ascii="Garamond" w:hAnsi="Garamond"/>
          <w:lang w:val="sq-AL" w:bidi="en-US"/>
        </w:rPr>
        <w:t>zonim</w:t>
      </w:r>
      <w:proofErr w:type="spellEnd"/>
      <w:r w:rsidRPr="00B67DFC">
        <w:rPr>
          <w:rFonts w:ascii="Garamond" w:hAnsi="Garamond"/>
          <w:lang w:val="sq-AL" w:bidi="en-US"/>
        </w:rPr>
        <w:t xml:space="preserve"> apo analizë sipas rastit dhe sipas karakteristikave specifike të territorit që planifikohet.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d) planin e propozuar të shërbimeve dhe infrastrukturave publike, i cili përmban:</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i) rrjetet primare të infrastrukturës publike të propozuar, përfshirë skemat për rrugët dhe lëvizjen në përgjithësi, parkimin sipas nevojave të identifikuara, largimin e ujërave të ndotura dhe të mbeturinave të ngurta, furnizimin me ujë të pijshëm, impiantet kryesore të përpunimit, prodhimit dhe trajtimit të ujërave të ndotura sipas legjislacionit të posaçëm në fuqi, objektet e rëndësishme për shërbimet sociale që shtohen në territorin e njësisë vendore, dhe objekte të tjera që cilësohen si infrastrukturë publike sipas përcaktimit të pikës 30, neni 3 të ligjit nr.10 119, datë 23.4.2009 “Për planifikimin e territorit”; </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ii</w:t>
      </w:r>
      <w:proofErr w:type="spellEnd"/>
      <w:r w:rsidRPr="00B67DFC">
        <w:rPr>
          <w:rFonts w:ascii="Garamond" w:hAnsi="Garamond"/>
          <w:lang w:val="sq-AL" w:bidi="en-US"/>
        </w:rPr>
        <w:t>) tipologjinë, cilësinë, një shpërndarje të përafërt në territor dhe rrezet e mbulimit të shërbimeve sociale që propozohen;</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iii</w:t>
      </w:r>
      <w:proofErr w:type="spellEnd"/>
      <w:r w:rsidRPr="00B67DFC">
        <w:rPr>
          <w:rFonts w:ascii="Garamond" w:hAnsi="Garamond"/>
          <w:lang w:val="sq-AL" w:bidi="en-US"/>
        </w:rPr>
        <w:t>) studimin teknik të “</w:t>
      </w:r>
      <w:proofErr w:type="spellStart"/>
      <w:r w:rsidRPr="00B67DFC">
        <w:rPr>
          <w:rFonts w:ascii="Garamond" w:hAnsi="Garamond"/>
          <w:lang w:val="sq-AL" w:bidi="en-US"/>
        </w:rPr>
        <w:t>parafizibilitetit</w:t>
      </w:r>
      <w:proofErr w:type="spellEnd"/>
      <w:r w:rsidRPr="00B67DFC">
        <w:rPr>
          <w:rFonts w:ascii="Garamond" w:hAnsi="Garamond"/>
          <w:lang w:val="sq-AL" w:bidi="en-US"/>
        </w:rPr>
        <w:t>”, që mbështet zgjidhjen e propozuar, si dhe koston e përgjithshme të përafërt dhe aktivitetet kryesore të financuara (zërat përkatës).</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dh) planin e veprimeve për zbatimin e PPV-së, i cili përmban:</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i) fazat e zbatimit të zhvillimit, të ndara në periudha brenda vlefshmërisë kohore të planit, për njësitë dhe </w:t>
      </w:r>
      <w:proofErr w:type="spellStart"/>
      <w:r w:rsidRPr="00B67DFC">
        <w:rPr>
          <w:rFonts w:ascii="Garamond" w:hAnsi="Garamond"/>
          <w:lang w:val="sq-AL" w:bidi="en-US"/>
        </w:rPr>
        <w:t>nënnjësitë</w:t>
      </w:r>
      <w:proofErr w:type="spellEnd"/>
      <w:r w:rsidRPr="00B67DFC">
        <w:rPr>
          <w:rFonts w:ascii="Garamond" w:hAnsi="Garamond"/>
          <w:lang w:val="sq-AL" w:bidi="en-US"/>
        </w:rPr>
        <w:t xml:space="preserve"> strukturore përkatëse, zonat me prioritet zhvillimit dhe rrjetet kryesore të infrastrukturave publike, përfshirë </w:t>
      </w:r>
      <w:proofErr w:type="spellStart"/>
      <w:r w:rsidRPr="00B67DFC">
        <w:rPr>
          <w:rFonts w:ascii="Garamond" w:hAnsi="Garamond"/>
          <w:lang w:val="sq-AL" w:bidi="en-US"/>
        </w:rPr>
        <w:t>fazimin</w:t>
      </w:r>
      <w:proofErr w:type="spellEnd"/>
      <w:r w:rsidRPr="00B67DFC">
        <w:rPr>
          <w:rFonts w:ascii="Garamond" w:hAnsi="Garamond"/>
          <w:lang w:val="sq-AL" w:bidi="en-US"/>
        </w:rPr>
        <w:t xml:space="preserve"> e hartimit të PDV-ve, në përputhje me përcaktimet e vendimit të Këshillit të Ministrave “Për miratimin e rregullores uniforme të kontrollit të zhvillimit”;</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ii</w:t>
      </w:r>
      <w:proofErr w:type="spellEnd"/>
      <w:r w:rsidRPr="00B67DFC">
        <w:rPr>
          <w:rFonts w:ascii="Garamond" w:hAnsi="Garamond"/>
          <w:lang w:val="sq-AL" w:bidi="en-US"/>
        </w:rPr>
        <w:t>) planin e investimeve kapitale, i cili duhet të jetë në përputhje me programin buxhetor afatmesëm të njësisë së qeverisjes vendore;</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iii</w:t>
      </w:r>
      <w:proofErr w:type="spellEnd"/>
      <w:r w:rsidRPr="00B67DFC">
        <w:rPr>
          <w:rFonts w:ascii="Garamond" w:hAnsi="Garamond"/>
          <w:lang w:val="sq-AL" w:bidi="en-US"/>
        </w:rPr>
        <w:t>) Ndryshimet e nevojshme në kuadrin ligjor dhe administrativ në nivel vendor, përfshirë rishikime të mundshme të rregullores vendore të kontrollit të zhvillimit;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e) programin e rehabilitimit të personave të zhvendosur si rezultat i zbatimit të planit, duke përcaktuar në mënyrë të veçantë zonat ku do të kryhet rehabilitimi, kostot përkatëse, afatet kohore dhe instrumentet përkatëse për zbatim.</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lastRenderedPageBreak/>
        <w:t>Raportin e përpunimit dhe të ndryshimeve të propozuara për bazën e të dhënave GIS;</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ë) Dokumentin e përmbledhur për prezantimin e PPV-së në këshillin e njësisë së qeverisjes vendore dhe sipas rastit në KKT, i cili duhet të përmbajë materialin e shkruar, hartografik dhe prezantimin vizual. Nga pikëpamja </w:t>
      </w:r>
      <w:proofErr w:type="spellStart"/>
      <w:r w:rsidRPr="00B67DFC">
        <w:rPr>
          <w:rFonts w:ascii="Garamond" w:hAnsi="Garamond"/>
          <w:lang w:val="sq-AL" w:bidi="en-US"/>
        </w:rPr>
        <w:t>përmbajtësore</w:t>
      </w:r>
      <w:proofErr w:type="spellEnd"/>
      <w:r w:rsidRPr="00B67DFC">
        <w:rPr>
          <w:rFonts w:ascii="Garamond" w:hAnsi="Garamond"/>
          <w:lang w:val="sq-AL" w:bidi="en-US"/>
        </w:rPr>
        <w:t xml:space="preserve">, dokumenti i përmbledhur për prezantimin e PPV-së duhet të përmbajë </w:t>
      </w:r>
      <w:proofErr w:type="spellStart"/>
      <w:r w:rsidRPr="00B67DFC">
        <w:rPr>
          <w:rFonts w:ascii="Garamond" w:hAnsi="Garamond"/>
          <w:lang w:val="sq-AL" w:bidi="en-US"/>
        </w:rPr>
        <w:t>minimalisht</w:t>
      </w:r>
      <w:proofErr w:type="spellEnd"/>
      <w:r w:rsidRPr="00B67DFC">
        <w:rPr>
          <w:rFonts w:ascii="Garamond" w:hAnsi="Garamond"/>
          <w:lang w:val="sq-AL" w:bidi="en-US"/>
        </w:rPr>
        <w: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i) vizionin dhe objektivat e planifikimit dhe të zhvillimit të territorit;</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ii</w:t>
      </w:r>
      <w:proofErr w:type="spellEnd"/>
      <w:r w:rsidRPr="00B67DFC">
        <w:rPr>
          <w:rFonts w:ascii="Garamond" w:hAnsi="Garamond"/>
          <w:lang w:val="sq-AL" w:bidi="en-US"/>
        </w:rPr>
        <w:t>) gjetjet e analizës dhe vlerësimit të thelluar;</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iii</w:t>
      </w:r>
      <w:proofErr w:type="spellEnd"/>
      <w:r w:rsidRPr="00B67DFC">
        <w:rPr>
          <w:rFonts w:ascii="Garamond" w:hAnsi="Garamond"/>
          <w:lang w:val="sq-AL" w:bidi="en-US"/>
        </w:rPr>
        <w:t>) skenarin e përzgjedhur të zhvillimit hapësinor sipas dokumentit të politikës vendore;</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iv</w:t>
      </w:r>
      <w:proofErr w:type="spellEnd"/>
      <w:r w:rsidRPr="00B67DFC">
        <w:rPr>
          <w:rFonts w:ascii="Garamond" w:hAnsi="Garamond"/>
          <w:lang w:val="sq-AL" w:bidi="en-US"/>
        </w:rPr>
        <w:t>) përdorimin e propozuar të tokës dhe të strukturave në të;</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v) fazat e zbatimit të planit dhe burimet sipas përcaktimeve të planit të investimeve kapitale;</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vi</w:t>
      </w:r>
      <w:proofErr w:type="spellEnd"/>
      <w:r w:rsidRPr="00B67DFC">
        <w:rPr>
          <w:rFonts w:ascii="Garamond" w:hAnsi="Garamond"/>
          <w:lang w:val="sq-AL" w:bidi="en-US"/>
        </w:rPr>
        <w:t>) përmbledhjen e implikimeve kryesore ligjore dhe institucionale;</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vii</w:t>
      </w:r>
      <w:proofErr w:type="spellEnd"/>
      <w:r w:rsidRPr="00B67DFC">
        <w:rPr>
          <w:rFonts w:ascii="Garamond" w:hAnsi="Garamond"/>
          <w:lang w:val="sq-AL" w:bidi="en-US"/>
        </w:rPr>
        <w:t xml:space="preserve">) zonat për rehabilitim, koston totale dhe </w:t>
      </w:r>
      <w:proofErr w:type="spellStart"/>
      <w:r w:rsidRPr="00B67DFC">
        <w:rPr>
          <w:rFonts w:ascii="Garamond" w:hAnsi="Garamond"/>
          <w:lang w:val="sq-AL" w:bidi="en-US"/>
        </w:rPr>
        <w:t>listimin</w:t>
      </w:r>
      <w:proofErr w:type="spellEnd"/>
      <w:r w:rsidRPr="00B67DFC">
        <w:rPr>
          <w:rFonts w:ascii="Garamond" w:hAnsi="Garamond"/>
          <w:lang w:val="sq-AL" w:bidi="en-US"/>
        </w:rPr>
        <w:t xml:space="preserve"> e instrumenteve përkatëse për zbatimin e programit të rehabilitimit të personave të zhvendosur; </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f) Shtojcat e PPV-së, të cilat përmbajnë të gjitha dokumentet e përmendura për këtë qëllim, studimet ndihmëse që merren nga institucionet përgjegjëse për sektorë të caktuar, si edhe studime për qëllime specifike që ndërmerr vetë njësia vendore në mungesë të informacionit përkatës;</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g) Rregulloret e planifikimit, formati dhe struktura e të cilave përcaktohet në seksionin 3 të këtij kreu të rregullores;</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gj) Materiali hartografik i PPV-së shoqëron dhe reflekton të gjitha pjesët e strukturës së PPV-së të përcaktuara në këtë rregullore. Shkalla e hartës lëviz nga 1:5000 deri në 1:10,000 dhe sipas rastit 1:20,000 për komuna me territore me sipërfaqe shumë të madhe, përveç analizave në nivel rajoni apo hartave të infrastrukturave publike kur këto paraqesin elemente që ndodhen jashtë territorit të njësisë së qeverisjes vendore. Formatet tip për hartat e PPV-së dhe elemente të tjera të formës, përcaktohen në shtojcën 2 të këtij vendimi;</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h) Hartat përgatiten sipas specifikimeve për bazat e të dhënave të përcaktuara në vendimin nr.459, datë 16.6.2010 “Për miratimin e standardeve të përbashkëta gjeodezike dhe GIS” të Regjistrit të Territorit, dhe mund të përmbajnë edhe elemente të analizës në varësi të temës përkatëse. </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t>Neni 21</w:t>
      </w:r>
    </w:p>
    <w:p w:rsidR="00F020CC" w:rsidRPr="00B67DFC" w:rsidRDefault="00F020CC" w:rsidP="00F020CC">
      <w:pPr>
        <w:widowControl w:val="0"/>
        <w:jc w:val="center"/>
        <w:outlineLvl w:val="2"/>
        <w:rPr>
          <w:rFonts w:ascii="Garamond" w:hAnsi="Garamond"/>
          <w:b/>
          <w:lang w:val="sq-AL" w:bidi="en-US"/>
        </w:rPr>
      </w:pPr>
      <w:r w:rsidRPr="00B67DFC">
        <w:rPr>
          <w:rFonts w:ascii="Garamond" w:hAnsi="Garamond"/>
          <w:b/>
          <w:lang w:val="sq-AL" w:bidi="en-US"/>
        </w:rPr>
        <w:t>Struktura dhe formati i planeve të përdorimit të tokës (PPT)</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1. Planet e përdorimit të tokës (PPT) hartohen nga njësitë e qeverisjes vendore me popullsi 10 000 ose më pak banorë, sipas përcaktimit të nenit 89, pika 3 të ligjit nr.10 119, datë 23.4.2009 “Për planifikimin e territorit” dhe në përputhje me sa përcaktohet në nenet 17 deri në 20 të këtij vendimi, përmbajnë: </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a) kërkesën për hartimin e PPT-së;</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b) analizën dhe vlerësimin e gjendjes sociale, ekonomike, territoriale, mjedisore të njësisë së qeverisjes vendore;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c) objektivat strategjikë të zhvillimit territorial;</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ç) planin e propozuar të përdorimit të tokës për përgatitjen e të cilit përdoret si udhëzues ai i PPV-së;</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lastRenderedPageBreak/>
        <w:t>d) parashikimet për infrastrukturat kryesore;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dh) vlerësimin strategjik mjedisor;</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e) instrumentin financiar dhe fazat e zbatimit;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ë) politikat dhe kostot totale të realizimit të infrastrukturës;</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f) përmbledhësen e prezantimit për miratim, sipas përcaktimeve të kësaj rregulloreje.</w:t>
      </w:r>
    </w:p>
    <w:p w:rsidR="006909CF" w:rsidRPr="00B67DFC" w:rsidRDefault="006909CF" w:rsidP="00F020CC">
      <w:pPr>
        <w:widowControl w:val="0"/>
        <w:ind w:firstLine="720"/>
        <w:jc w:val="both"/>
        <w:rPr>
          <w:rFonts w:ascii="Garamond" w:hAnsi="Garamond"/>
          <w:lang w:val="sq-AL" w:bidi="en-US"/>
        </w:rPr>
      </w:pPr>
    </w:p>
    <w:p w:rsidR="006909CF" w:rsidRPr="00B67DFC" w:rsidRDefault="006909CF" w:rsidP="00F020CC">
      <w:pPr>
        <w:widowControl w:val="0"/>
        <w:ind w:firstLine="720"/>
        <w:jc w:val="both"/>
        <w:rPr>
          <w:rFonts w:ascii="Garamond" w:hAnsi="Garamond"/>
          <w:lang w:val="sq-AL" w:bidi="en-US"/>
        </w:rPr>
      </w:pPr>
    </w:p>
    <w:p w:rsidR="006909CF" w:rsidRPr="00B67DFC" w:rsidRDefault="006909CF" w:rsidP="006909CF">
      <w:pPr>
        <w:widowControl w:val="0"/>
        <w:jc w:val="center"/>
        <w:outlineLvl w:val="0"/>
        <w:rPr>
          <w:rFonts w:ascii="CG Times" w:eastAsia="MS Mincho" w:hAnsi="CG Times" w:cs="CG Times"/>
          <w:caps/>
          <w:sz w:val="22"/>
          <w:szCs w:val="22"/>
          <w:lang w:val="sq-AL"/>
        </w:rPr>
      </w:pPr>
      <w:r w:rsidRPr="00B67DFC">
        <w:rPr>
          <w:rFonts w:ascii="CG Times" w:eastAsia="MS Mincho" w:hAnsi="CG Times" w:cs="CG Times"/>
          <w:caps/>
          <w:sz w:val="22"/>
          <w:szCs w:val="22"/>
          <w:lang w:val="sq-AL"/>
        </w:rPr>
        <w:t>Seksioni 2/1</w:t>
      </w:r>
    </w:p>
    <w:p w:rsidR="006909CF" w:rsidRPr="00B67DFC" w:rsidRDefault="006909CF" w:rsidP="006909CF">
      <w:pPr>
        <w:widowControl w:val="0"/>
        <w:jc w:val="center"/>
        <w:outlineLvl w:val="0"/>
        <w:rPr>
          <w:rFonts w:ascii="CG Times" w:eastAsia="MS Mincho" w:hAnsi="CG Times" w:cs="CG Times"/>
          <w:caps/>
          <w:sz w:val="22"/>
          <w:szCs w:val="22"/>
          <w:lang w:val="sq-AL"/>
        </w:rPr>
      </w:pPr>
      <w:r w:rsidRPr="00B67DFC">
        <w:rPr>
          <w:rFonts w:ascii="CG Times" w:eastAsia="MS Mincho" w:hAnsi="CG Times" w:cs="CG Times"/>
          <w:caps/>
          <w:sz w:val="22"/>
          <w:szCs w:val="22"/>
          <w:lang w:val="sq-AL"/>
        </w:rPr>
        <w:t>Planet e detajuara vendore</w:t>
      </w:r>
    </w:p>
    <w:p w:rsidR="006909CF" w:rsidRPr="00B67DFC" w:rsidRDefault="006909CF" w:rsidP="006909CF">
      <w:pPr>
        <w:widowControl w:val="0"/>
        <w:jc w:val="center"/>
        <w:outlineLvl w:val="0"/>
        <w:rPr>
          <w:rFonts w:ascii="CG Times" w:eastAsia="MS Mincho" w:hAnsi="CG Times" w:cs="CG Times"/>
          <w:caps/>
          <w:sz w:val="22"/>
          <w:szCs w:val="22"/>
          <w:lang w:val="sq-AL"/>
        </w:rPr>
      </w:pPr>
      <w:r w:rsidRPr="00B67DFC">
        <w:rPr>
          <w:rFonts w:ascii="CG Times" w:eastAsia="MS Mincho" w:hAnsi="CG Times" w:cs="CG Times"/>
          <w:sz w:val="22"/>
          <w:szCs w:val="22"/>
          <w:lang w:val="sq-AL"/>
        </w:rPr>
        <w:t>(Shtuar nenet 21/1-21/8 me VKM nr. 312, datë 13.3</w:t>
      </w:r>
      <w:r w:rsidRPr="00B67DFC">
        <w:rPr>
          <w:rFonts w:ascii="CG Times" w:eastAsia="MS Mincho" w:hAnsi="CG Times" w:cs="CG Times"/>
          <w:caps/>
          <w:sz w:val="22"/>
          <w:szCs w:val="22"/>
          <w:lang w:val="sq-AL"/>
        </w:rPr>
        <w:t>.2013)</w:t>
      </w:r>
    </w:p>
    <w:p w:rsidR="006909CF" w:rsidRPr="00B67DFC" w:rsidRDefault="006909CF" w:rsidP="00F020CC">
      <w:pPr>
        <w:widowControl w:val="0"/>
        <w:ind w:firstLine="720"/>
        <w:jc w:val="both"/>
        <w:rPr>
          <w:rFonts w:ascii="Garamond" w:hAnsi="Garamond"/>
          <w:lang w:val="sq-AL" w:bidi="en-US"/>
        </w:rPr>
      </w:pPr>
    </w:p>
    <w:p w:rsidR="00F020CC" w:rsidRPr="00B67DFC" w:rsidRDefault="00F020CC" w:rsidP="00F020CC">
      <w:pPr>
        <w:widowControl w:val="0"/>
        <w:jc w:val="center"/>
        <w:rPr>
          <w:rFonts w:ascii="Garamond" w:eastAsia="MS Mincho" w:hAnsi="Garamond" w:cs="CG Times"/>
          <w:b/>
          <w:lang w:val="sq-AL"/>
        </w:rPr>
      </w:pPr>
    </w:p>
    <w:p w:rsidR="00F020CC" w:rsidRPr="00B67DFC" w:rsidRDefault="00F020CC" w:rsidP="00F020CC">
      <w:pPr>
        <w:widowControl w:val="0"/>
        <w:jc w:val="center"/>
        <w:rPr>
          <w:rFonts w:ascii="Garamond" w:eastAsia="MS Mincho" w:hAnsi="Garamond" w:cs="CG Times"/>
          <w:b/>
          <w:lang w:val="sq-AL"/>
        </w:rPr>
      </w:pPr>
      <w:r w:rsidRPr="00B67DFC">
        <w:rPr>
          <w:rFonts w:ascii="Garamond" w:eastAsia="MS Mincho" w:hAnsi="Garamond" w:cs="CG Times"/>
          <w:b/>
          <w:lang w:val="sq-AL"/>
        </w:rPr>
        <w:t>Neni 21/1</w:t>
      </w:r>
    </w:p>
    <w:p w:rsidR="00F020CC" w:rsidRPr="00B67DFC" w:rsidRDefault="00F020CC" w:rsidP="00F020CC">
      <w:pPr>
        <w:widowControl w:val="0"/>
        <w:jc w:val="center"/>
        <w:outlineLvl w:val="2"/>
        <w:rPr>
          <w:rFonts w:ascii="Garamond" w:eastAsia="MS Mincho" w:hAnsi="Garamond" w:cs="CG Times"/>
          <w:b/>
          <w:bCs/>
          <w:lang w:val="sq-AL"/>
        </w:rPr>
      </w:pPr>
      <w:r w:rsidRPr="00B67DFC">
        <w:rPr>
          <w:rFonts w:ascii="Garamond" w:eastAsia="MS Mincho" w:hAnsi="Garamond" w:cs="CG Times"/>
          <w:b/>
          <w:bCs/>
          <w:lang w:val="sq-AL"/>
        </w:rPr>
        <w:t>Emërtimi dhe qëllimi i planit të detajuar vendor</w:t>
      </w:r>
    </w:p>
    <w:p w:rsidR="00F020CC" w:rsidRPr="00B67DFC" w:rsidRDefault="00F020CC" w:rsidP="00F020CC">
      <w:pPr>
        <w:widowControl w:val="0"/>
        <w:ind w:firstLine="720"/>
        <w:jc w:val="both"/>
        <w:rPr>
          <w:rFonts w:ascii="Garamond" w:eastAsia="MS Mincho" w:hAnsi="Garamond" w:cs="CG Times"/>
          <w:lang w:val="sq-AL"/>
        </w:rPr>
      </w:pP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1. Plani i detajuar vendor (PDV) është instrumenti i detajuar vendor, që hartohet si </w:t>
      </w:r>
      <w:proofErr w:type="spellStart"/>
      <w:r w:rsidRPr="00B67DFC">
        <w:rPr>
          <w:rFonts w:ascii="Garamond" w:eastAsia="MS Mincho" w:hAnsi="Garamond" w:cs="CG Times"/>
          <w:lang w:val="sq-AL"/>
        </w:rPr>
        <w:t>detajim</w:t>
      </w:r>
      <w:proofErr w:type="spellEnd"/>
      <w:r w:rsidRPr="00B67DFC">
        <w:rPr>
          <w:rFonts w:ascii="Garamond" w:eastAsia="MS Mincho" w:hAnsi="Garamond" w:cs="CG Times"/>
          <w:lang w:val="sq-AL"/>
        </w:rPr>
        <w:t xml:space="preserve"> i PPV-së, mbi bazën dhe sipas përcaktimeve të tij. </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2. Një plan i detajuar vendor, në formën e tij të përgjithshme, ka për qëllim:</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a) të zbërthejë në detaje të përshtatshme për zbatim planin e përgjithshëm vendor dhe të detajojë për çdo </w:t>
      </w:r>
      <w:proofErr w:type="spellStart"/>
      <w:r w:rsidRPr="00B67DFC">
        <w:rPr>
          <w:rFonts w:ascii="Garamond" w:eastAsia="MS Mincho" w:hAnsi="Garamond" w:cs="CG Times"/>
          <w:lang w:val="sq-AL"/>
        </w:rPr>
        <w:t>nënnjësi</w:t>
      </w:r>
      <w:proofErr w:type="spellEnd"/>
      <w:r w:rsidRPr="00B67DFC">
        <w:rPr>
          <w:rFonts w:ascii="Garamond" w:eastAsia="MS Mincho" w:hAnsi="Garamond" w:cs="CG Times"/>
          <w:lang w:val="sq-AL"/>
        </w:rPr>
        <w:t xml:space="preserve"> strukturore parametrat e zhvillimit të përcaktuar në PPV;</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b) të harmonizojë interesat publikë dhe ato privatë në përdorimin e tokës;</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c) të shërbejë si një dokument referues për instrumentet e kontrollit të zhvillimit, që përfshihen në kërkesat për zhvillim, të cilat miratohen bazuar në këtë plan të detajuar vendor;</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ç) të garantojë shpërndarjen proporcionalisht të barabartë të përfitimeve të zhvillimit ndërmjet parcelave ndërtimore, pjesë të PDV-së përmes caktimit të kuotave të pjesëmarrjes në zhvillim të parcelave ndërtimore publike ose private, pavarësisht nga </w:t>
      </w:r>
      <w:proofErr w:type="spellStart"/>
      <w:r w:rsidRPr="00B67DFC">
        <w:rPr>
          <w:rFonts w:ascii="Garamond" w:eastAsia="MS Mincho" w:hAnsi="Garamond" w:cs="CG Times"/>
          <w:lang w:val="sq-AL"/>
        </w:rPr>
        <w:t>destinacioni</w:t>
      </w:r>
      <w:proofErr w:type="spellEnd"/>
      <w:r w:rsidRPr="00B67DFC">
        <w:rPr>
          <w:rFonts w:ascii="Garamond" w:eastAsia="MS Mincho" w:hAnsi="Garamond" w:cs="CG Times"/>
          <w:lang w:val="sq-AL"/>
        </w:rPr>
        <w:t xml:space="preserve"> funksional që parashikon PDV-ja, në kuptim të nenit 45/2 të ligjit nr. 10 119, datë 23.4.2009 “Për planifikimin e territorit”, të ndryshuar;</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d) të garantojë kompensimin proporcionalisht të barabartë të trojeve private me </w:t>
      </w:r>
      <w:proofErr w:type="spellStart"/>
      <w:r w:rsidRPr="00B67DFC">
        <w:rPr>
          <w:rFonts w:ascii="Garamond" w:eastAsia="MS Mincho" w:hAnsi="Garamond" w:cs="CG Times"/>
          <w:lang w:val="sq-AL"/>
        </w:rPr>
        <w:t>destinacion</w:t>
      </w:r>
      <w:proofErr w:type="spellEnd"/>
      <w:r w:rsidRPr="00B67DFC">
        <w:rPr>
          <w:rFonts w:ascii="Garamond" w:eastAsia="MS Mincho" w:hAnsi="Garamond" w:cs="CG Times"/>
          <w:lang w:val="sq-AL"/>
        </w:rPr>
        <w:t xml:space="preserve"> publik vetëm për nevojat e asaj </w:t>
      </w:r>
      <w:proofErr w:type="spellStart"/>
      <w:r w:rsidRPr="00B67DFC">
        <w:rPr>
          <w:rFonts w:ascii="Garamond" w:eastAsia="MS Mincho" w:hAnsi="Garamond" w:cs="CG Times"/>
          <w:lang w:val="sq-AL"/>
        </w:rPr>
        <w:t>nënnjësie</w:t>
      </w:r>
      <w:proofErr w:type="spellEnd"/>
      <w:r w:rsidRPr="00B67DFC">
        <w:rPr>
          <w:rFonts w:ascii="Garamond" w:eastAsia="MS Mincho" w:hAnsi="Garamond" w:cs="CG Times"/>
          <w:lang w:val="sq-AL"/>
        </w:rPr>
        <w:t xml:space="preserve"> strukturore, në zhvillimet private të parashikuara nga PDV-ja në të gjithë njësinë strukturore që mbulon ky plan, në kuptim të nenit 45/2 të ligjit nr. 10 119, datë 23.4.2009 “Për planifikimin e territorit”, të ndryshuar.</w:t>
      </w:r>
    </w:p>
    <w:p w:rsidR="00F020CC" w:rsidRPr="00B67DFC" w:rsidRDefault="00F020CC" w:rsidP="00F020CC">
      <w:pPr>
        <w:widowControl w:val="0"/>
        <w:jc w:val="center"/>
        <w:rPr>
          <w:rFonts w:ascii="Garamond" w:eastAsia="MS Mincho" w:hAnsi="Garamond" w:cs="CG Times"/>
          <w:b/>
          <w:lang w:val="sq-AL"/>
        </w:rPr>
      </w:pPr>
    </w:p>
    <w:p w:rsidR="00F020CC" w:rsidRPr="00B67DFC" w:rsidRDefault="00F020CC" w:rsidP="00F020CC">
      <w:pPr>
        <w:widowControl w:val="0"/>
        <w:jc w:val="center"/>
        <w:rPr>
          <w:rFonts w:ascii="Garamond" w:eastAsia="MS Mincho" w:hAnsi="Garamond" w:cs="CG Times"/>
          <w:b/>
          <w:lang w:val="sq-AL"/>
        </w:rPr>
      </w:pPr>
      <w:r w:rsidRPr="00B67DFC">
        <w:rPr>
          <w:rFonts w:ascii="Garamond" w:eastAsia="MS Mincho" w:hAnsi="Garamond" w:cs="CG Times"/>
          <w:b/>
          <w:lang w:val="sq-AL"/>
        </w:rPr>
        <w:t>Neni 21/2</w:t>
      </w:r>
    </w:p>
    <w:p w:rsidR="00F020CC" w:rsidRPr="00B67DFC" w:rsidRDefault="00F020CC" w:rsidP="00F020CC">
      <w:pPr>
        <w:widowControl w:val="0"/>
        <w:jc w:val="center"/>
        <w:outlineLvl w:val="2"/>
        <w:rPr>
          <w:rFonts w:ascii="Garamond" w:eastAsia="MS Mincho" w:hAnsi="Garamond" w:cs="CG Times"/>
          <w:b/>
          <w:bCs/>
          <w:lang w:val="sq-AL"/>
        </w:rPr>
      </w:pPr>
      <w:r w:rsidRPr="00B67DFC">
        <w:rPr>
          <w:rFonts w:ascii="Garamond" w:eastAsia="MS Mincho" w:hAnsi="Garamond" w:cs="CG Times"/>
          <w:b/>
          <w:bCs/>
          <w:lang w:val="sq-AL"/>
        </w:rPr>
        <w:t>Objekti i planit të detajuar vendor</w:t>
      </w:r>
    </w:p>
    <w:p w:rsidR="00F020CC" w:rsidRPr="00B67DFC" w:rsidRDefault="00F020CC" w:rsidP="00F020CC">
      <w:pPr>
        <w:widowControl w:val="0"/>
        <w:ind w:firstLine="720"/>
        <w:jc w:val="both"/>
        <w:rPr>
          <w:rFonts w:ascii="Garamond" w:eastAsia="MS Mincho" w:hAnsi="Garamond" w:cs="CG Times"/>
          <w:lang w:val="sq-AL"/>
        </w:rPr>
      </w:pP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1. Zona që trajtohet nga një plan i detajuar vendor, në kuptim të paragrafit të tretë të pikës 1 të nenit 27 të ligjit nr. 10 119, datë 23.4.2009, është e njëjtë me:</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a) një </w:t>
      </w:r>
      <w:proofErr w:type="spellStart"/>
      <w:r w:rsidRPr="00B67DFC">
        <w:rPr>
          <w:rFonts w:ascii="Garamond" w:eastAsia="MS Mincho" w:hAnsi="Garamond" w:cs="CG Times"/>
          <w:lang w:val="sq-AL"/>
        </w:rPr>
        <w:t>nënnjësi</w:t>
      </w:r>
      <w:proofErr w:type="spellEnd"/>
      <w:r w:rsidRPr="00B67DFC">
        <w:rPr>
          <w:rFonts w:ascii="Garamond" w:eastAsia="MS Mincho" w:hAnsi="Garamond" w:cs="CG Times"/>
          <w:lang w:val="sq-AL"/>
        </w:rPr>
        <w:t xml:space="preserve"> strukturore;</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b) një </w:t>
      </w:r>
      <w:proofErr w:type="spellStart"/>
      <w:r w:rsidRPr="00B67DFC">
        <w:rPr>
          <w:rFonts w:ascii="Garamond" w:eastAsia="MS Mincho" w:hAnsi="Garamond" w:cs="CG Times"/>
          <w:lang w:val="sq-AL"/>
        </w:rPr>
        <w:t>shumatore</w:t>
      </w:r>
      <w:proofErr w:type="spellEnd"/>
      <w:r w:rsidRPr="00B67DFC">
        <w:rPr>
          <w:rFonts w:ascii="Garamond" w:eastAsia="MS Mincho" w:hAnsi="Garamond" w:cs="CG Times"/>
          <w:lang w:val="sq-AL"/>
        </w:rPr>
        <w:t xml:space="preserve"> të disa </w:t>
      </w:r>
      <w:proofErr w:type="spellStart"/>
      <w:r w:rsidRPr="00B67DFC">
        <w:rPr>
          <w:rFonts w:ascii="Garamond" w:eastAsia="MS Mincho" w:hAnsi="Garamond" w:cs="CG Times"/>
          <w:lang w:val="sq-AL"/>
        </w:rPr>
        <w:t>nënnjësive</w:t>
      </w:r>
      <w:proofErr w:type="spellEnd"/>
      <w:r w:rsidRPr="00B67DFC">
        <w:rPr>
          <w:rFonts w:ascii="Garamond" w:eastAsia="MS Mincho" w:hAnsi="Garamond" w:cs="CG Times"/>
          <w:lang w:val="sq-AL"/>
        </w:rPr>
        <w:t xml:space="preserve"> strukturore, sipas rastit;</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c) një zonë me prioritet zhvillimi.</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2. Nuk konsiderohet hartim i planit të detajuar vendor rishqyrtimi i PPV-së vetëm për një pjesë të territorit të njësisë vendore nga autoriteti përkatës i planifikimit. Njësia e qeverisjes vendore, për rishikimin e planit vendor, zbaton procedurën e thjeshtuar vetëm në përputhje me kushtet dhe sipas përcaktimit të nenit 50 të ligjit nr. 10 119, datë 23.4.2009 “Për planifikimin e territorit”, të ndryshuar.</w:t>
      </w:r>
    </w:p>
    <w:p w:rsidR="00F020CC" w:rsidRPr="00B67DFC" w:rsidRDefault="00F020CC" w:rsidP="00F020CC">
      <w:pPr>
        <w:widowControl w:val="0"/>
        <w:ind w:firstLine="720"/>
        <w:jc w:val="both"/>
        <w:rPr>
          <w:rFonts w:ascii="Garamond" w:eastAsia="MS Mincho" w:hAnsi="Garamond" w:cs="CG Times"/>
          <w:lang w:val="sq-AL"/>
        </w:rPr>
      </w:pPr>
    </w:p>
    <w:p w:rsidR="006909CF" w:rsidRPr="00B67DFC" w:rsidRDefault="006909CF" w:rsidP="00F020CC">
      <w:pPr>
        <w:widowControl w:val="0"/>
        <w:jc w:val="center"/>
        <w:rPr>
          <w:rFonts w:ascii="Garamond" w:eastAsia="MS Mincho" w:hAnsi="Garamond" w:cs="CG Times"/>
          <w:b/>
          <w:lang w:val="sq-AL"/>
        </w:rPr>
      </w:pPr>
    </w:p>
    <w:p w:rsidR="00F020CC" w:rsidRPr="00B67DFC" w:rsidRDefault="00F020CC" w:rsidP="00F020CC">
      <w:pPr>
        <w:widowControl w:val="0"/>
        <w:jc w:val="center"/>
        <w:rPr>
          <w:rFonts w:ascii="Garamond" w:eastAsia="MS Mincho" w:hAnsi="Garamond" w:cs="CG Times"/>
          <w:b/>
          <w:lang w:val="sq-AL"/>
        </w:rPr>
      </w:pPr>
      <w:r w:rsidRPr="00B67DFC">
        <w:rPr>
          <w:rFonts w:ascii="Garamond" w:eastAsia="MS Mincho" w:hAnsi="Garamond" w:cs="CG Times"/>
          <w:b/>
          <w:lang w:val="sq-AL"/>
        </w:rPr>
        <w:lastRenderedPageBreak/>
        <w:t>Neni 21/3</w:t>
      </w:r>
    </w:p>
    <w:p w:rsidR="00F020CC" w:rsidRPr="00B67DFC" w:rsidRDefault="00F020CC" w:rsidP="00F020CC">
      <w:pPr>
        <w:widowControl w:val="0"/>
        <w:jc w:val="center"/>
        <w:outlineLvl w:val="2"/>
        <w:rPr>
          <w:rFonts w:ascii="Garamond" w:eastAsia="MS Mincho" w:hAnsi="Garamond" w:cs="CG Times"/>
          <w:b/>
          <w:bCs/>
          <w:lang w:val="sq-AL"/>
        </w:rPr>
      </w:pPr>
      <w:r w:rsidRPr="00B67DFC">
        <w:rPr>
          <w:rFonts w:ascii="Garamond" w:eastAsia="MS Mincho" w:hAnsi="Garamond" w:cs="CG Times"/>
          <w:b/>
          <w:bCs/>
          <w:lang w:val="sq-AL"/>
        </w:rPr>
        <w:t>Nisma për hartimin e planit të detajuar vendor</w:t>
      </w:r>
    </w:p>
    <w:p w:rsidR="00F020CC" w:rsidRPr="00B67DFC" w:rsidRDefault="00F020CC" w:rsidP="00F020CC">
      <w:pPr>
        <w:widowControl w:val="0"/>
        <w:ind w:firstLine="720"/>
        <w:jc w:val="both"/>
        <w:rPr>
          <w:rFonts w:ascii="Garamond" w:eastAsia="MS Mincho" w:hAnsi="Garamond" w:cs="CG Times"/>
          <w:lang w:val="sq-AL"/>
        </w:rPr>
      </w:pP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1. Plani i detajuar vendor hartohet nga subjekte, ente, publike ose private, në përputhje me pikën 1 të nenit 45/1 të ligjit nr. 10 119, datë 23.4.2009 “Për planifikimin e territorit”, të ndryshuar. Në procesin e hartimit të PDV-së marrin pjesë grupe me ekspertë të specializuar në arkitekturë, projektim ose planifikim urban, inxhinierë ndërtimi dhe hidroteknikë dhe ekspertë të fushave të tjera, sipas nevojës.</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2. Kryetari i bashkisë ose komunës, mbështetur në prioritetet e planifikimit dhe të zhvillimit të territorit, të përcaktuara në instrumentin e përgjithshëm vendor të planifikimit, koordinon procesin e mbulimit të territorit me PDV, duke publikuar në Regjistrin e Planifikimit brenda 5 (pesë) ditëve nga dorëzimi, çdo deklaratë për shprehje interesi për hartimin e PDV-së nga palë të interesuara.</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3. Institucionet që ndodhen nën varësinë e njësisë së qeverisjes vendore dhe palët e interesuara të sektorit publik, i kërkojnë kryetarit të njësisë së qeverisjes vendore hartimin e PDV-së, nëse e vlerësojnë të nevojshëm.</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4. Palët e interesuara të sektorit privat, persona, fizikë apo juridikë, në mbështetje të kërkesës ose kërkesave të tyre për zhvillim, i kërkojnë kryetarit të njësisë së qeverisjes vendore hartimin e PDV-së, nëse e vlerësojnë të nevojshëm, ose i deklarojnë kryetarit të njësisë së qeverisjes vendore fillimin e hartimit të PDV-së për njësinë strukturore ku kanë interes duke </w:t>
      </w:r>
      <w:proofErr w:type="spellStart"/>
      <w:r w:rsidRPr="00B67DFC">
        <w:rPr>
          <w:rFonts w:ascii="Garamond" w:eastAsia="MS Mincho" w:hAnsi="Garamond" w:cs="CG Times"/>
          <w:lang w:val="sq-AL"/>
        </w:rPr>
        <w:t>indikuar</w:t>
      </w:r>
      <w:proofErr w:type="spellEnd"/>
      <w:r w:rsidRPr="00B67DFC">
        <w:rPr>
          <w:rFonts w:ascii="Garamond" w:eastAsia="MS Mincho" w:hAnsi="Garamond" w:cs="CG Times"/>
          <w:lang w:val="sq-AL"/>
        </w:rPr>
        <w:t xml:space="preserve"> brenda PDV-së dhe zonën e interesit të palës.</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5. Deklarata për nisjen e procesit për hartimin e PDV-së përmban:</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a) kufijtë e territorit, për të cilin hartohet PDV-ja, të cilat paraqiten në sistemet e </w:t>
      </w:r>
      <w:proofErr w:type="spellStart"/>
      <w:r w:rsidRPr="00B67DFC">
        <w:rPr>
          <w:rFonts w:ascii="Garamond" w:eastAsia="MS Mincho" w:hAnsi="Garamond" w:cs="CG Times"/>
          <w:lang w:val="sq-AL"/>
        </w:rPr>
        <w:t>gjeoreferimit</w:t>
      </w:r>
      <w:proofErr w:type="spellEnd"/>
      <w:r w:rsidRPr="00B67DFC">
        <w:rPr>
          <w:rFonts w:ascii="Garamond" w:eastAsia="MS Mincho" w:hAnsi="Garamond" w:cs="CG Times"/>
          <w:lang w:val="sq-AL"/>
        </w:rPr>
        <w:t>, të përcaktuara në vendimin nr. 459, datë 16.6.2010 të Këshillit të Ministrave “Për miratimin e standardeve të përbashkëta gjeodezike dhe GIS”, për regjistrin e territorit;</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b) planin e veprimeve për sigurimin e bashkërendimit horizontal dhe përfshirjen e palëve të interesuara në procesin e hartimit të PDV-së.</w:t>
      </w:r>
    </w:p>
    <w:p w:rsidR="00F020CC" w:rsidRPr="00B67DFC" w:rsidRDefault="00F020CC" w:rsidP="00F020CC">
      <w:pPr>
        <w:widowControl w:val="0"/>
        <w:ind w:firstLine="720"/>
        <w:jc w:val="both"/>
        <w:rPr>
          <w:rFonts w:ascii="Garamond" w:eastAsia="MS Mincho" w:hAnsi="Garamond" w:cs="CG Times"/>
          <w:lang w:val="sq-AL"/>
        </w:rPr>
      </w:pPr>
    </w:p>
    <w:p w:rsidR="00F020CC" w:rsidRPr="00B67DFC" w:rsidRDefault="00F020CC" w:rsidP="00F020CC">
      <w:pPr>
        <w:widowControl w:val="0"/>
        <w:jc w:val="center"/>
        <w:rPr>
          <w:rFonts w:ascii="Garamond" w:eastAsia="MS Mincho" w:hAnsi="Garamond" w:cs="CG Times"/>
          <w:b/>
          <w:lang w:val="sq-AL"/>
        </w:rPr>
      </w:pPr>
      <w:r w:rsidRPr="00B67DFC">
        <w:rPr>
          <w:rFonts w:ascii="Garamond" w:eastAsia="MS Mincho" w:hAnsi="Garamond" w:cs="CG Times"/>
          <w:b/>
          <w:lang w:val="sq-AL"/>
        </w:rPr>
        <w:t>Neni 21/4</w:t>
      </w:r>
    </w:p>
    <w:p w:rsidR="00F020CC" w:rsidRPr="00B67DFC" w:rsidRDefault="00F020CC" w:rsidP="00F020CC">
      <w:pPr>
        <w:widowControl w:val="0"/>
        <w:jc w:val="center"/>
        <w:outlineLvl w:val="2"/>
        <w:rPr>
          <w:rFonts w:ascii="Garamond" w:eastAsia="MS Mincho" w:hAnsi="Garamond" w:cs="CG Times"/>
          <w:b/>
          <w:bCs/>
          <w:lang w:val="sq-AL"/>
        </w:rPr>
      </w:pPr>
      <w:r w:rsidRPr="00B67DFC">
        <w:rPr>
          <w:rFonts w:ascii="Garamond" w:eastAsia="MS Mincho" w:hAnsi="Garamond" w:cs="CG Times"/>
          <w:b/>
          <w:bCs/>
          <w:lang w:val="sq-AL"/>
        </w:rPr>
        <w:t>Aktorët dhe procesi i hartimit të planit të detajuar vendor</w:t>
      </w:r>
    </w:p>
    <w:p w:rsidR="00F020CC" w:rsidRPr="00B67DFC" w:rsidRDefault="00F020CC" w:rsidP="00F020CC">
      <w:pPr>
        <w:widowControl w:val="0"/>
        <w:ind w:firstLine="720"/>
        <w:jc w:val="both"/>
        <w:rPr>
          <w:rFonts w:ascii="Garamond" w:eastAsia="MS Mincho" w:hAnsi="Garamond" w:cs="CG Times"/>
          <w:lang w:val="sq-AL"/>
        </w:rPr>
      </w:pPr>
    </w:p>
    <w:p w:rsidR="00F020CC" w:rsidRPr="00B67DFC" w:rsidRDefault="00F020CC" w:rsidP="006909CF">
      <w:pPr>
        <w:widowControl w:val="0"/>
        <w:ind w:firstLine="720"/>
        <w:jc w:val="both"/>
        <w:rPr>
          <w:rFonts w:ascii="Garamond" w:eastAsia="MS Mincho" w:hAnsi="Garamond" w:cs="CG Times"/>
        </w:rPr>
      </w:pPr>
      <w:r w:rsidRPr="00B67DFC">
        <w:rPr>
          <w:rFonts w:ascii="Garamond" w:eastAsia="MS Mincho" w:hAnsi="Garamond" w:cs="CG Times"/>
        </w:rPr>
        <w:t xml:space="preserve">1. </w:t>
      </w:r>
      <w:proofErr w:type="spellStart"/>
      <w:r w:rsidRPr="00B67DFC">
        <w:rPr>
          <w:rFonts w:ascii="Garamond" w:eastAsia="MS Mincho" w:hAnsi="Garamond" w:cs="CG Times"/>
        </w:rPr>
        <w:t>Autoriteti</w:t>
      </w:r>
      <w:proofErr w:type="spellEnd"/>
      <w:r w:rsidRPr="00B67DFC">
        <w:rPr>
          <w:rFonts w:ascii="Garamond" w:eastAsia="MS Mincho" w:hAnsi="Garamond" w:cs="CG Times"/>
        </w:rPr>
        <w:t xml:space="preserve"> </w:t>
      </w:r>
      <w:proofErr w:type="spellStart"/>
      <w:r w:rsidRPr="00B67DFC">
        <w:rPr>
          <w:rFonts w:ascii="Garamond" w:eastAsia="MS Mincho" w:hAnsi="Garamond" w:cs="CG Times"/>
        </w:rPr>
        <w:t>përgjegjës</w:t>
      </w:r>
      <w:proofErr w:type="spellEnd"/>
      <w:r w:rsidRPr="00B67DFC">
        <w:rPr>
          <w:rFonts w:ascii="Garamond" w:eastAsia="MS Mincho" w:hAnsi="Garamond" w:cs="CG Times"/>
        </w:rPr>
        <w:t xml:space="preserve"> </w:t>
      </w:r>
      <w:proofErr w:type="spellStart"/>
      <w:r w:rsidRPr="00B67DFC">
        <w:rPr>
          <w:rFonts w:ascii="Garamond" w:eastAsia="MS Mincho" w:hAnsi="Garamond" w:cs="CG Times"/>
        </w:rPr>
        <w:t>për</w:t>
      </w:r>
      <w:proofErr w:type="spellEnd"/>
      <w:r w:rsidRPr="00B67DFC">
        <w:rPr>
          <w:rFonts w:ascii="Garamond" w:eastAsia="MS Mincho" w:hAnsi="Garamond" w:cs="CG Times"/>
        </w:rPr>
        <w:t xml:space="preserve"> </w:t>
      </w:r>
      <w:proofErr w:type="spellStart"/>
      <w:r w:rsidRPr="00B67DFC">
        <w:rPr>
          <w:rFonts w:ascii="Garamond" w:eastAsia="MS Mincho" w:hAnsi="Garamond" w:cs="CG Times"/>
        </w:rPr>
        <w:t>hartimin</w:t>
      </w:r>
      <w:proofErr w:type="spellEnd"/>
      <w:r w:rsidRPr="00B67DFC">
        <w:rPr>
          <w:rFonts w:ascii="Garamond" w:eastAsia="MS Mincho" w:hAnsi="Garamond" w:cs="CG Times"/>
        </w:rPr>
        <w:t xml:space="preserve"> e PDV-</w:t>
      </w:r>
      <w:proofErr w:type="spellStart"/>
      <w:r w:rsidRPr="00B67DFC">
        <w:rPr>
          <w:rFonts w:ascii="Garamond" w:eastAsia="MS Mincho" w:hAnsi="Garamond" w:cs="CG Times"/>
        </w:rPr>
        <w:t>së</w:t>
      </w:r>
      <w:proofErr w:type="spellEnd"/>
      <w:r w:rsidRPr="00B67DFC">
        <w:rPr>
          <w:rFonts w:ascii="Garamond" w:eastAsia="MS Mincho" w:hAnsi="Garamond" w:cs="CG Times"/>
        </w:rPr>
        <w:t xml:space="preserve"> </w:t>
      </w:r>
      <w:proofErr w:type="spellStart"/>
      <w:r w:rsidRPr="00B67DFC">
        <w:rPr>
          <w:rFonts w:ascii="Garamond" w:eastAsia="MS Mincho" w:hAnsi="Garamond" w:cs="CG Times"/>
        </w:rPr>
        <w:t>siguron</w:t>
      </w:r>
      <w:proofErr w:type="spellEnd"/>
      <w:r w:rsidRPr="00B67DFC">
        <w:rPr>
          <w:rFonts w:ascii="Garamond" w:eastAsia="MS Mincho" w:hAnsi="Garamond" w:cs="CG Times"/>
        </w:rPr>
        <w:t xml:space="preserve"> </w:t>
      </w:r>
      <w:proofErr w:type="spellStart"/>
      <w:r w:rsidRPr="00B67DFC">
        <w:rPr>
          <w:rFonts w:ascii="Garamond" w:eastAsia="MS Mincho" w:hAnsi="Garamond" w:cs="CG Times"/>
        </w:rPr>
        <w:t>që</w:t>
      </w:r>
      <w:proofErr w:type="spellEnd"/>
      <w:r w:rsidRPr="00B67DFC">
        <w:rPr>
          <w:rFonts w:ascii="Garamond" w:eastAsia="MS Mincho" w:hAnsi="Garamond" w:cs="CG Times"/>
        </w:rPr>
        <w:t xml:space="preserve"> </w:t>
      </w:r>
      <w:proofErr w:type="spellStart"/>
      <w:r w:rsidRPr="00B67DFC">
        <w:rPr>
          <w:rFonts w:ascii="Garamond" w:eastAsia="MS Mincho" w:hAnsi="Garamond" w:cs="CG Times"/>
        </w:rPr>
        <w:t>të</w:t>
      </w:r>
      <w:proofErr w:type="spellEnd"/>
      <w:r w:rsidRPr="00B67DFC">
        <w:rPr>
          <w:rFonts w:ascii="Garamond" w:eastAsia="MS Mincho" w:hAnsi="Garamond" w:cs="CG Times"/>
        </w:rPr>
        <w:t xml:space="preserve"> </w:t>
      </w:r>
      <w:proofErr w:type="spellStart"/>
      <w:r w:rsidRPr="00B67DFC">
        <w:rPr>
          <w:rFonts w:ascii="Garamond" w:eastAsia="MS Mincho" w:hAnsi="Garamond" w:cs="CG Times"/>
        </w:rPr>
        <w:t>realizohet</w:t>
      </w:r>
      <w:proofErr w:type="spellEnd"/>
      <w:r w:rsidRPr="00B67DFC">
        <w:rPr>
          <w:rFonts w:ascii="Garamond" w:eastAsia="MS Mincho" w:hAnsi="Garamond" w:cs="CG Times"/>
        </w:rPr>
        <w:t xml:space="preserve"> </w:t>
      </w:r>
      <w:proofErr w:type="spellStart"/>
      <w:r w:rsidRPr="00B67DFC">
        <w:rPr>
          <w:rFonts w:ascii="Garamond" w:eastAsia="MS Mincho" w:hAnsi="Garamond" w:cs="CG Times"/>
        </w:rPr>
        <w:t>një</w:t>
      </w:r>
      <w:proofErr w:type="spellEnd"/>
      <w:r w:rsidRPr="00B67DFC">
        <w:rPr>
          <w:rFonts w:ascii="Garamond" w:eastAsia="MS Mincho" w:hAnsi="Garamond" w:cs="CG Times"/>
        </w:rPr>
        <w:t xml:space="preserve"> </w:t>
      </w:r>
      <w:proofErr w:type="spellStart"/>
      <w:r w:rsidRPr="00B67DFC">
        <w:rPr>
          <w:rFonts w:ascii="Garamond" w:eastAsia="MS Mincho" w:hAnsi="Garamond" w:cs="CG Times"/>
        </w:rPr>
        <w:t>proces</w:t>
      </w:r>
      <w:proofErr w:type="spellEnd"/>
      <w:r w:rsidRPr="00B67DFC">
        <w:rPr>
          <w:rFonts w:ascii="Garamond" w:eastAsia="MS Mincho" w:hAnsi="Garamond" w:cs="CG Times"/>
        </w:rPr>
        <w:t xml:space="preserve"> </w:t>
      </w:r>
      <w:proofErr w:type="spellStart"/>
      <w:r w:rsidRPr="00B67DFC">
        <w:rPr>
          <w:rFonts w:ascii="Garamond" w:eastAsia="MS Mincho" w:hAnsi="Garamond" w:cs="CG Times"/>
        </w:rPr>
        <w:t>bashkëpunimi</w:t>
      </w:r>
      <w:proofErr w:type="spellEnd"/>
      <w:r w:rsidRPr="00B67DFC">
        <w:rPr>
          <w:rFonts w:ascii="Garamond" w:eastAsia="MS Mincho" w:hAnsi="Garamond" w:cs="CG Times"/>
        </w:rPr>
        <w:t xml:space="preserve"> </w:t>
      </w:r>
      <w:proofErr w:type="spellStart"/>
      <w:r w:rsidRPr="00B67DFC">
        <w:rPr>
          <w:rFonts w:ascii="Garamond" w:eastAsia="MS Mincho" w:hAnsi="Garamond" w:cs="CG Times"/>
        </w:rPr>
        <w:t>dhe</w:t>
      </w:r>
      <w:proofErr w:type="spellEnd"/>
      <w:r w:rsidRPr="00B67DFC">
        <w:rPr>
          <w:rFonts w:ascii="Garamond" w:eastAsia="MS Mincho" w:hAnsi="Garamond" w:cs="CG Times"/>
        </w:rPr>
        <w:t xml:space="preserve"> </w:t>
      </w:r>
      <w:proofErr w:type="spellStart"/>
      <w:r w:rsidRPr="00B67DFC">
        <w:rPr>
          <w:rFonts w:ascii="Garamond" w:eastAsia="MS Mincho" w:hAnsi="Garamond" w:cs="CG Times"/>
        </w:rPr>
        <w:t>bashkërendimi</w:t>
      </w:r>
      <w:proofErr w:type="spellEnd"/>
      <w:r w:rsidRPr="00B67DFC">
        <w:rPr>
          <w:rFonts w:ascii="Garamond" w:eastAsia="MS Mincho" w:hAnsi="Garamond" w:cs="CG Times"/>
        </w:rPr>
        <w:t xml:space="preserve"> me </w:t>
      </w:r>
      <w:proofErr w:type="spellStart"/>
      <w:r w:rsidRPr="00B67DFC">
        <w:rPr>
          <w:rFonts w:ascii="Garamond" w:eastAsia="MS Mincho" w:hAnsi="Garamond" w:cs="CG Times"/>
        </w:rPr>
        <w:t>autoritetet</w:t>
      </w:r>
      <w:proofErr w:type="spellEnd"/>
      <w:r w:rsidRPr="00B67DFC">
        <w:rPr>
          <w:rFonts w:ascii="Garamond" w:eastAsia="MS Mincho" w:hAnsi="Garamond" w:cs="CG Times"/>
        </w:rPr>
        <w:t xml:space="preserve"> e </w:t>
      </w:r>
      <w:proofErr w:type="spellStart"/>
      <w:r w:rsidRPr="00B67DFC">
        <w:rPr>
          <w:rFonts w:ascii="Garamond" w:eastAsia="MS Mincho" w:hAnsi="Garamond" w:cs="CG Times"/>
        </w:rPr>
        <w:t>planifikimit</w:t>
      </w:r>
      <w:proofErr w:type="spellEnd"/>
      <w:r w:rsidRPr="00B67DFC">
        <w:rPr>
          <w:rFonts w:ascii="Garamond" w:eastAsia="MS Mincho" w:hAnsi="Garamond" w:cs="CG Times"/>
        </w:rPr>
        <w:t xml:space="preserve"> </w:t>
      </w:r>
      <w:proofErr w:type="spellStart"/>
      <w:r w:rsidRPr="00B67DFC">
        <w:rPr>
          <w:rFonts w:ascii="Garamond" w:eastAsia="MS Mincho" w:hAnsi="Garamond" w:cs="CG Times"/>
        </w:rPr>
        <w:t>dhe</w:t>
      </w:r>
      <w:proofErr w:type="spellEnd"/>
      <w:r w:rsidRPr="00B67DFC">
        <w:rPr>
          <w:rFonts w:ascii="Garamond" w:eastAsia="MS Mincho" w:hAnsi="Garamond" w:cs="CG Times"/>
        </w:rPr>
        <w:t xml:space="preserve"> </w:t>
      </w:r>
      <w:proofErr w:type="spellStart"/>
      <w:r w:rsidRPr="00B67DFC">
        <w:rPr>
          <w:rFonts w:ascii="Garamond" w:eastAsia="MS Mincho" w:hAnsi="Garamond" w:cs="CG Times"/>
        </w:rPr>
        <w:t>palë</w:t>
      </w:r>
      <w:proofErr w:type="spellEnd"/>
      <w:r w:rsidRPr="00B67DFC">
        <w:rPr>
          <w:rFonts w:ascii="Garamond" w:eastAsia="MS Mincho" w:hAnsi="Garamond" w:cs="CG Times"/>
        </w:rPr>
        <w:t xml:space="preserve"> </w:t>
      </w:r>
      <w:proofErr w:type="spellStart"/>
      <w:r w:rsidRPr="00B67DFC">
        <w:rPr>
          <w:rFonts w:ascii="Garamond" w:eastAsia="MS Mincho" w:hAnsi="Garamond" w:cs="CG Times"/>
        </w:rPr>
        <w:t>të</w:t>
      </w:r>
      <w:proofErr w:type="spellEnd"/>
      <w:r w:rsidRPr="00B67DFC">
        <w:rPr>
          <w:rFonts w:ascii="Garamond" w:eastAsia="MS Mincho" w:hAnsi="Garamond" w:cs="CG Times"/>
        </w:rPr>
        <w:t xml:space="preserve"> </w:t>
      </w:r>
      <w:proofErr w:type="spellStart"/>
      <w:r w:rsidRPr="00B67DFC">
        <w:rPr>
          <w:rFonts w:ascii="Garamond" w:eastAsia="MS Mincho" w:hAnsi="Garamond" w:cs="CG Times"/>
        </w:rPr>
        <w:t>interesuara</w:t>
      </w:r>
      <w:proofErr w:type="spellEnd"/>
      <w:r w:rsidRPr="00B67DFC">
        <w:rPr>
          <w:rFonts w:ascii="Garamond" w:eastAsia="MS Mincho" w:hAnsi="Garamond" w:cs="CG Times"/>
        </w:rPr>
        <w:t xml:space="preserve"> </w:t>
      </w:r>
      <w:proofErr w:type="spellStart"/>
      <w:r w:rsidRPr="00B67DFC">
        <w:rPr>
          <w:rFonts w:ascii="Garamond" w:eastAsia="MS Mincho" w:hAnsi="Garamond" w:cs="CG Times"/>
        </w:rPr>
        <w:t>gjatë</w:t>
      </w:r>
      <w:proofErr w:type="spellEnd"/>
      <w:r w:rsidRPr="00B67DFC">
        <w:rPr>
          <w:rFonts w:ascii="Garamond" w:eastAsia="MS Mincho" w:hAnsi="Garamond" w:cs="CG Times"/>
        </w:rPr>
        <w:t xml:space="preserve"> </w:t>
      </w:r>
      <w:proofErr w:type="spellStart"/>
      <w:r w:rsidRPr="00B67DFC">
        <w:rPr>
          <w:rFonts w:ascii="Garamond" w:eastAsia="MS Mincho" w:hAnsi="Garamond" w:cs="CG Times"/>
        </w:rPr>
        <w:t>hartimit</w:t>
      </w:r>
      <w:proofErr w:type="spellEnd"/>
      <w:r w:rsidRPr="00B67DFC">
        <w:rPr>
          <w:rFonts w:ascii="Garamond" w:eastAsia="MS Mincho" w:hAnsi="Garamond" w:cs="CG Times"/>
        </w:rPr>
        <w:t xml:space="preserve"> </w:t>
      </w:r>
      <w:proofErr w:type="spellStart"/>
      <w:r w:rsidRPr="00B67DFC">
        <w:rPr>
          <w:rFonts w:ascii="Garamond" w:eastAsia="MS Mincho" w:hAnsi="Garamond" w:cs="CG Times"/>
        </w:rPr>
        <w:t>të</w:t>
      </w:r>
      <w:proofErr w:type="spellEnd"/>
      <w:r w:rsidRPr="00B67DFC">
        <w:rPr>
          <w:rFonts w:ascii="Garamond" w:eastAsia="MS Mincho" w:hAnsi="Garamond" w:cs="CG Times"/>
        </w:rPr>
        <w:t xml:space="preserve"> PDV-</w:t>
      </w:r>
      <w:proofErr w:type="spellStart"/>
      <w:r w:rsidRPr="00B67DFC">
        <w:rPr>
          <w:rFonts w:ascii="Garamond" w:eastAsia="MS Mincho" w:hAnsi="Garamond" w:cs="CG Times"/>
        </w:rPr>
        <w:t>së</w:t>
      </w:r>
      <w:proofErr w:type="spellEnd"/>
      <w:r w:rsidRPr="00B67DFC">
        <w:rPr>
          <w:rFonts w:ascii="Garamond" w:eastAsia="MS Mincho" w:hAnsi="Garamond" w:cs="CG Times"/>
        </w:rPr>
        <w:t>.</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2. Afatet e shprehjes së qëndrimit nga autoritetet e tjera të planifikimit dhe palët e interesuara fillojnë të nesërmen e datës së botimit në regjistër dhe në mjetet tradicionale të informimit zyrtar të kërkesës së miratuar dhe realizohen përmes hapësirave të krijuara nga procesi i bashkërendimit dhe këshillimit gjatë hartimit të projektit të PDV-së, sipas planit të veprimeve për këtë qëllim. Gjatë kësaj periudhe, çdo palë e interesuar ka të drejtë të paraqesë vërejtje apo propozime, si edhe të negociojë për përmbajtjen e PDV-së dhe për të gjitha të drejtat dhe detyrimet që rrjedhin nga propozimet e PDV-së.</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3. Çdo autoritet i planifikimit, sipas sferës së juridiksionit dhe përgjegjësisë së përcaktuar nga legjislacioni në fuqi, ka, gjithashtu, të drejtë të shprehet për projektin e PDV-së gjatë periudhës së bashkërendimit e këshillimit të tij. Vërejtjet apo propozimet e autoriteteve të planifikimit botohen në regjistër dhe sipas mjeteve tradicionale të informimit zyrtar.</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4. Çdo vërejtje e bërë sipas pikës 6 të këtij neni, duhet të jetë e argumentuar dhe të shoqërohet me sugjerime </w:t>
      </w:r>
      <w:proofErr w:type="spellStart"/>
      <w:r w:rsidRPr="00B67DFC">
        <w:rPr>
          <w:rFonts w:ascii="Garamond" w:eastAsia="MS Mincho" w:hAnsi="Garamond" w:cs="CG Times"/>
          <w:lang w:val="sq-AL"/>
        </w:rPr>
        <w:t>mjaftueshmërisht</w:t>
      </w:r>
      <w:proofErr w:type="spellEnd"/>
      <w:r w:rsidRPr="00B67DFC">
        <w:rPr>
          <w:rFonts w:ascii="Garamond" w:eastAsia="MS Mincho" w:hAnsi="Garamond" w:cs="CG Times"/>
          <w:lang w:val="sq-AL"/>
        </w:rPr>
        <w:t xml:space="preserve"> të qarta, për t’i dhënë mundësi autoritetit përgjegjës për hartimin e PDV-së të kuptojë përmbajtjen e saj.</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lastRenderedPageBreak/>
        <w:t>5. Projekti i PDV-së i propozuar botohet në regjistër dhe sipas mjeteve tradicionale të informimit publik dhe zyrtar dhe është objekt për vërejtje dhe sugjerime nga palët e interesuara dhe autoritetet e interesuara të planifikimit brenda periudhës 10-ditore para shqyrtimit nga autoritetet miratuese.</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6. Në rastet kur nisma për hartimin e PDV-së merret nga subjekte private në kuptim të shkronjës “c” të pikës 1 të nenit 45/1, njësia vendore mbart detyrimin për organizimin e këshillimeve publike në zonë dhe detyrimin e publikimit të PDV-së së propozuar në Regjistrin e Planifikimit.</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7. Autoriteti përgjegjës për hartimin e PDV-së shqyrton vërejtjet ose propozimet e autoriteteve dhe palëve të interesuara, vlerëson reflektimin e tyre dhe e dorëzon PDV-në për miratim pranë autoritetit miratues.</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8. Përmbledhja e vërejtjeve, propozimeve dhe vendimeve sipas pikës 10 të këtij neni, botohen në regjistër dhe në mjetet tradicionale të informimit zyrtar.</w:t>
      </w:r>
    </w:p>
    <w:p w:rsidR="00F020CC" w:rsidRPr="00B67DFC" w:rsidRDefault="00F020CC" w:rsidP="00F020CC">
      <w:pPr>
        <w:widowControl w:val="0"/>
        <w:ind w:firstLine="720"/>
        <w:jc w:val="both"/>
        <w:rPr>
          <w:rFonts w:ascii="Garamond" w:eastAsia="MS Mincho" w:hAnsi="Garamond" w:cs="CG Times"/>
          <w:lang w:val="sq-AL"/>
        </w:rPr>
      </w:pPr>
    </w:p>
    <w:p w:rsidR="00F020CC" w:rsidRPr="00B67DFC" w:rsidRDefault="00F020CC" w:rsidP="00F020CC">
      <w:pPr>
        <w:widowControl w:val="0"/>
        <w:jc w:val="center"/>
        <w:rPr>
          <w:rFonts w:ascii="Garamond" w:eastAsia="MS Mincho" w:hAnsi="Garamond" w:cs="CG Times"/>
          <w:b/>
          <w:lang w:val="sq-AL"/>
        </w:rPr>
      </w:pPr>
      <w:r w:rsidRPr="00B67DFC">
        <w:rPr>
          <w:rFonts w:ascii="Garamond" w:eastAsia="MS Mincho" w:hAnsi="Garamond" w:cs="CG Times"/>
          <w:b/>
          <w:lang w:val="sq-AL"/>
        </w:rPr>
        <w:t>Neni 21/5</w:t>
      </w:r>
    </w:p>
    <w:p w:rsidR="00F020CC" w:rsidRPr="00B67DFC" w:rsidRDefault="00F020CC" w:rsidP="00F020CC">
      <w:pPr>
        <w:widowControl w:val="0"/>
        <w:jc w:val="center"/>
        <w:outlineLvl w:val="2"/>
        <w:rPr>
          <w:rFonts w:ascii="Garamond" w:eastAsia="MS Mincho" w:hAnsi="Garamond" w:cs="CG Times"/>
          <w:b/>
          <w:bCs/>
          <w:lang w:val="sq-AL"/>
        </w:rPr>
      </w:pPr>
      <w:r w:rsidRPr="00B67DFC">
        <w:rPr>
          <w:rFonts w:ascii="Garamond" w:eastAsia="MS Mincho" w:hAnsi="Garamond" w:cs="CG Times"/>
          <w:b/>
          <w:bCs/>
          <w:lang w:val="sq-AL"/>
        </w:rPr>
        <w:t>Miratimi i planit të detajuar vendor</w:t>
      </w:r>
    </w:p>
    <w:p w:rsidR="00F020CC" w:rsidRPr="00B67DFC" w:rsidRDefault="00F020CC" w:rsidP="00F020CC">
      <w:pPr>
        <w:widowControl w:val="0"/>
        <w:ind w:firstLine="720"/>
        <w:jc w:val="both"/>
        <w:rPr>
          <w:rFonts w:ascii="Garamond" w:eastAsia="MS Mincho" w:hAnsi="Garamond" w:cs="CG Times"/>
          <w:lang w:val="sq-AL"/>
        </w:rPr>
      </w:pP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1. Këshilli Teknik sipas përcaktimit të pikës 3 të nenit 45/1 të ligjit nr. 10 119, datë 23.4.2009 “Për planifikimin e territorit”, të ndryshuar, brenda 45 (dyzet e pesë) ditëve nga dorëzimi i PDV-së prej hartuesve, sipas përcaktimit të pikës 1 të nenit 45/1 të ligjit nr. 10 119, datë 23.4.2009 “Për planifikimin e territorit”, të ndryshuar, shqyrton PDV-në, duke u shprehur me shkrim brenda 5 (pesë) ditëve për çështje të formës. Në rast të </w:t>
      </w:r>
      <w:proofErr w:type="spellStart"/>
      <w:r w:rsidRPr="00B67DFC">
        <w:rPr>
          <w:rFonts w:ascii="Garamond" w:eastAsia="MS Mincho" w:hAnsi="Garamond" w:cs="CG Times"/>
          <w:lang w:val="sq-AL"/>
        </w:rPr>
        <w:t>mosshprehjes</w:t>
      </w:r>
      <w:proofErr w:type="spellEnd"/>
      <w:r w:rsidRPr="00B67DFC">
        <w:rPr>
          <w:rFonts w:ascii="Garamond" w:eastAsia="MS Mincho" w:hAnsi="Garamond" w:cs="CG Times"/>
          <w:lang w:val="sq-AL"/>
        </w:rPr>
        <w:t xml:space="preserve"> me shkrim, PDV-ja konsiderohet e pranuar në heshtje për çështje të formës dhe vijohet me shqyrtimin për çështje të përmbajtjes. Këshilli Teknik, brenda 45 (dyzet e pesë) ditëve nga dorëzimi i PDV-së pranë bashkisë ose komunës, shpreh opinionin me shkrim. Opinioni i Këshillit Teknik bëhet pjesë e dosjes dhe botohet në Regjistrin e Planifikimit.</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2. Kryetari i njësisë së qeverisjes vendore, brenda 10 (dhjetë) ditëve pune nga shprehja e opinionit me shkrim të Këshillit Teknik, por jo më vonë se 45 (dyzet e pesë) ditë nga dorëzimi i PDV-së në njësinë e qeverisjes vendore, merr vendim për:</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a) miratimin e PDV-së; </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b) miratimin me vërejtje të PDV-së; </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c) refuzimin e PDV-së.</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Baza e gjykimit për vendimmarrje për miratimin, miratimin me vërejtje ose refuzimin e PDV-së është respektimi nga ky instrument i parametrave të zhvillimit, të përcaktuar nga PPV-ja dhe legjislacioni në fuqi për projektimin.</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Në rast të </w:t>
      </w:r>
      <w:proofErr w:type="spellStart"/>
      <w:r w:rsidRPr="00B67DFC">
        <w:rPr>
          <w:rFonts w:ascii="Garamond" w:eastAsia="MS Mincho" w:hAnsi="Garamond" w:cs="CG Times"/>
          <w:lang w:val="sq-AL"/>
        </w:rPr>
        <w:t>mosmarrjes</w:t>
      </w:r>
      <w:proofErr w:type="spellEnd"/>
      <w:r w:rsidRPr="00B67DFC">
        <w:rPr>
          <w:rFonts w:ascii="Garamond" w:eastAsia="MS Mincho" w:hAnsi="Garamond" w:cs="CG Times"/>
          <w:lang w:val="sq-AL"/>
        </w:rPr>
        <w:t xml:space="preserve"> së një vendimi brenda këtij afati, PDV-ja konsiderohet e miratuar në heshtje.</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3. Vendimi i kryetarit të njësisë së qeverisjes vendore është i detyrueshëm për botim në Regjistrin e Planifikimit brenda 5 (pesë) ditëve nga marrja e tij.</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4. Palët e interesuara, autoritetet e planifikimit dhe publiku kanë të drejtë që gjatë gjithë periudhës së hartimit, bashkërendimit dhe këshillimit të PDV-së të kenë </w:t>
      </w:r>
      <w:proofErr w:type="spellStart"/>
      <w:r w:rsidRPr="00B67DFC">
        <w:rPr>
          <w:rFonts w:ascii="Garamond" w:eastAsia="MS Mincho" w:hAnsi="Garamond" w:cs="CG Times"/>
          <w:lang w:val="sq-AL"/>
        </w:rPr>
        <w:t>akses</w:t>
      </w:r>
      <w:proofErr w:type="spellEnd"/>
      <w:r w:rsidRPr="00B67DFC">
        <w:rPr>
          <w:rFonts w:ascii="Garamond" w:eastAsia="MS Mincho" w:hAnsi="Garamond" w:cs="CG Times"/>
          <w:lang w:val="sq-AL"/>
        </w:rPr>
        <w:t xml:space="preserve"> në materialet e informacionet që lidhen me PDV-në, përfshirë përmbledhëset e vlerësimeve dhe sugjerimeve, si dhe mbi vendimet zyrtare për PDV-në. </w:t>
      </w:r>
      <w:proofErr w:type="spellStart"/>
      <w:r w:rsidRPr="00B67DFC">
        <w:rPr>
          <w:rFonts w:ascii="Garamond" w:eastAsia="MS Mincho" w:hAnsi="Garamond" w:cs="CG Times"/>
          <w:lang w:val="sq-AL"/>
        </w:rPr>
        <w:t>Aksesi</w:t>
      </w:r>
      <w:proofErr w:type="spellEnd"/>
      <w:r w:rsidRPr="00B67DFC">
        <w:rPr>
          <w:rFonts w:ascii="Garamond" w:eastAsia="MS Mincho" w:hAnsi="Garamond" w:cs="CG Times"/>
          <w:lang w:val="sq-AL"/>
        </w:rPr>
        <w:t xml:space="preserve"> i tyre sigurohet paraprakisht në kohë të mjaftueshme e në mënyrë të efektshme nëpërmjet regjistrit, sipas mjeteve tradicionale të informimit zyrtar dhe publik dhe në mjediset e autoritetit përgjegjës gjatë orarit zyrtar.</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5. Personat, fizikë apo juridikë, që banojnë, qëndrojnë apo ushtrojnë aktivitetin e tyre ekonomik dhe social në zonën që është subjekt i PDV-së ose që kanë informacion apo të dhëna për të, i japin autoritetit përkatës të planifikimit ose çdo personi të autorizuar, pa </w:t>
      </w:r>
      <w:proofErr w:type="spellStart"/>
      <w:r w:rsidRPr="00B67DFC">
        <w:rPr>
          <w:rFonts w:ascii="Garamond" w:eastAsia="MS Mincho" w:hAnsi="Garamond" w:cs="CG Times"/>
          <w:lang w:val="sq-AL"/>
        </w:rPr>
        <w:lastRenderedPageBreak/>
        <w:t>kundërshpërblim</w:t>
      </w:r>
      <w:proofErr w:type="spellEnd"/>
      <w:r w:rsidRPr="00B67DFC">
        <w:rPr>
          <w:rFonts w:ascii="Garamond" w:eastAsia="MS Mincho" w:hAnsi="Garamond" w:cs="CG Times"/>
          <w:lang w:val="sq-AL"/>
        </w:rPr>
        <w:t>, informacionin që disponojnë, i cili mund të nevojitet gjatë procesit të hartimit të PDV-së, kur u kërkohet dhe për aq sa kanë mundësi. Autoriteti i planifikimit ose personi i autorizuar siguron ruajtjen dhe administrimin e informacionit të marrë gjatë procesit të hartimit të PDV-së dhe mundëson marrjen e këtij informacioni për palët e interesuara dhe publikun.</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6. Për PDV-të që hartohen në zona të bashkëpunimit ndërkufitar, procesi i bashkërendimit dhe i këshillimit parashikon edhe përfshirjen e autoriteteve përkatëse të shtetit fqinj, sipas dispozitave të legjislacionit të posaçëm në fuqi për çështje të bashkëpunimit ndërkufitar.</w:t>
      </w:r>
    </w:p>
    <w:p w:rsidR="00F020CC" w:rsidRPr="00B67DFC" w:rsidRDefault="00F020CC" w:rsidP="00F020CC">
      <w:pPr>
        <w:widowControl w:val="0"/>
        <w:ind w:firstLine="720"/>
        <w:jc w:val="both"/>
        <w:rPr>
          <w:rFonts w:ascii="Garamond" w:eastAsia="MS Mincho" w:hAnsi="Garamond" w:cs="CG Times"/>
          <w:lang w:val="sq-AL"/>
        </w:rPr>
      </w:pPr>
    </w:p>
    <w:p w:rsidR="00F020CC" w:rsidRPr="00B67DFC" w:rsidRDefault="00F020CC" w:rsidP="00F020CC">
      <w:pPr>
        <w:widowControl w:val="0"/>
        <w:jc w:val="center"/>
        <w:rPr>
          <w:rFonts w:ascii="Garamond" w:eastAsia="MS Mincho" w:hAnsi="Garamond" w:cs="CG Times"/>
          <w:b/>
          <w:lang w:val="sq-AL"/>
        </w:rPr>
      </w:pPr>
      <w:r w:rsidRPr="00B67DFC">
        <w:rPr>
          <w:rFonts w:ascii="Garamond" w:eastAsia="MS Mincho" w:hAnsi="Garamond" w:cs="CG Times"/>
          <w:b/>
          <w:lang w:val="sq-AL"/>
        </w:rPr>
        <w:t>Neni 21/6</w:t>
      </w:r>
    </w:p>
    <w:p w:rsidR="00F020CC" w:rsidRPr="00B67DFC" w:rsidRDefault="00F020CC" w:rsidP="00F020CC">
      <w:pPr>
        <w:widowControl w:val="0"/>
        <w:jc w:val="center"/>
        <w:outlineLvl w:val="2"/>
        <w:rPr>
          <w:rFonts w:ascii="Garamond" w:eastAsia="MS Mincho" w:hAnsi="Garamond" w:cs="CG Times"/>
          <w:b/>
          <w:bCs/>
          <w:lang w:val="sq-AL"/>
        </w:rPr>
      </w:pPr>
      <w:r w:rsidRPr="00B67DFC">
        <w:rPr>
          <w:rFonts w:ascii="Garamond" w:eastAsia="MS Mincho" w:hAnsi="Garamond" w:cs="CG Times"/>
          <w:b/>
          <w:bCs/>
          <w:lang w:val="sq-AL"/>
        </w:rPr>
        <w:t>Struktura dhe formati i planit të detajuar vendor</w:t>
      </w:r>
    </w:p>
    <w:p w:rsidR="00F020CC" w:rsidRPr="00B67DFC" w:rsidRDefault="00F020CC" w:rsidP="00F020CC">
      <w:pPr>
        <w:widowControl w:val="0"/>
        <w:ind w:firstLine="720"/>
        <w:jc w:val="both"/>
        <w:rPr>
          <w:rFonts w:ascii="Garamond" w:eastAsia="MS Mincho" w:hAnsi="Garamond" w:cs="CG Times"/>
          <w:lang w:val="sq-AL"/>
        </w:rPr>
      </w:pP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1. Dokumentet, të cilat dorëzohen për miratimin e PDV-së, janë:</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a) Deklarata për marrjen e nismës së hartimit të PDV-së në përputhje me nenin 21/3 të kësaj rregulloreje;</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b) Pjesë dhe ekstrakte të PPV-së që kanë të bëjnë me zhvillimin e territorit të njësisë strukturore për të cilën hartohet PDV-ja;</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c) Dokumenti i analizës së gjendjes ekzistuese në përputhje me nenin 21/7 të kësaj rregulloreje;</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ç) Projektplani, relacioni shoqërues dhe rregullorja e PDV-së në përputhje me nenin 21/8 të kësaj rregulloreje;</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d) Materiali hartografik që shoqëron dokumentet e përcaktuara në shkronjat “a” deri në “ç” të kësaj pike.</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2. Dokumentet e PDV-së sipas përcaktimit të pikës 1 të këtij neni, përfshijnë përcaktimet në shkronjat e kësaj pike, por pa u kufizuar vetëm në to, si dhe:</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a) të dhënat që shprehin nevojën për hartimin e PDV-së, përfshirë analizën dhe argumentimin e tyre;</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b) orientimet dhe detyrimet që rrjedhin nga PPV-ja, përfshirë rregullat, normat dhe standardet e rregulloreve përkatëse të planifikimit dhe përshkrimin e konceptit të zhvillimit të zonës;</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c) planin e detajuar të përdorimit të tokës dhe të strukturave në të, në përputhje me rregulloren e PPV-së;</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ç) hapësirat për strukturat me interes publik, të tipit: sheshe publike, zona të gjelbra, shkolla etj.</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3. PDV-ja përmban edhe hartat e gjendjes ekzistuese të infrastrukturave, si dhe informacione të tjera zyrtare të rëndësishme për të, të marra nga PPV-ja dhe/ose nga institucionet publike vendore dhe qendrore që i disponojnë këto informacione.</w:t>
      </w:r>
    </w:p>
    <w:p w:rsidR="00F020CC" w:rsidRPr="00B67DFC" w:rsidRDefault="00F020CC" w:rsidP="00F020CC">
      <w:pPr>
        <w:widowControl w:val="0"/>
        <w:ind w:firstLine="720"/>
        <w:jc w:val="both"/>
        <w:rPr>
          <w:rFonts w:ascii="Garamond" w:eastAsia="MS Mincho" w:hAnsi="Garamond" w:cs="CG Times"/>
          <w:lang w:val="sq-AL"/>
        </w:rPr>
      </w:pPr>
    </w:p>
    <w:p w:rsidR="00F020CC" w:rsidRPr="00B67DFC" w:rsidRDefault="00F020CC" w:rsidP="00F020CC">
      <w:pPr>
        <w:widowControl w:val="0"/>
        <w:jc w:val="center"/>
        <w:rPr>
          <w:rFonts w:ascii="Garamond" w:eastAsia="MS Mincho" w:hAnsi="Garamond" w:cs="CG Times"/>
          <w:b/>
          <w:lang w:val="sq-AL"/>
        </w:rPr>
      </w:pPr>
      <w:r w:rsidRPr="00B67DFC">
        <w:rPr>
          <w:rFonts w:ascii="Garamond" w:eastAsia="MS Mincho" w:hAnsi="Garamond" w:cs="CG Times"/>
          <w:b/>
          <w:lang w:val="sq-AL"/>
        </w:rPr>
        <w:t>Neni 21/7</w:t>
      </w:r>
    </w:p>
    <w:p w:rsidR="00F020CC" w:rsidRPr="00B67DFC" w:rsidRDefault="00F020CC" w:rsidP="00F020CC">
      <w:pPr>
        <w:widowControl w:val="0"/>
        <w:jc w:val="center"/>
        <w:outlineLvl w:val="2"/>
        <w:rPr>
          <w:rFonts w:ascii="Garamond" w:eastAsia="MS Mincho" w:hAnsi="Garamond" w:cs="CG Times"/>
          <w:b/>
          <w:bCs/>
          <w:lang w:val="sq-AL"/>
        </w:rPr>
      </w:pPr>
      <w:r w:rsidRPr="00B67DFC">
        <w:rPr>
          <w:rFonts w:ascii="Garamond" w:eastAsia="MS Mincho" w:hAnsi="Garamond" w:cs="CG Times"/>
          <w:b/>
          <w:bCs/>
          <w:lang w:val="sq-AL"/>
        </w:rPr>
        <w:t xml:space="preserve">Struktura dhe formati i dokumentit të analizës </w:t>
      </w:r>
    </w:p>
    <w:p w:rsidR="00F020CC" w:rsidRPr="00B67DFC" w:rsidRDefault="00F020CC" w:rsidP="00F020CC">
      <w:pPr>
        <w:widowControl w:val="0"/>
        <w:ind w:firstLine="720"/>
        <w:jc w:val="both"/>
        <w:rPr>
          <w:rFonts w:ascii="Garamond" w:eastAsia="MS Mincho" w:hAnsi="Garamond" w:cs="CG Times"/>
          <w:lang w:val="sq-AL"/>
        </w:rPr>
      </w:pP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1. Bazuar në deklaratën e nismës të hartimit të PDV-së dhe planin e veprimit sipas përcaktimeve të kësaj rregulloreje, përgatitet dokumenti i analizës dhe vlerësimit të thelluar të gjendjes ekzistuese territoriale e mjedisore në territorin e njësisë strukturore. Ky dokument hartohet dhe i bashkëngjitet projektplanit në dokumentin përfundimtar që shkon për miratim. Ky dokument shoqërohet me paraqitjen hartografike përkatëse sipas hapave të përcaktuar në pikën 2 të këtij neni.</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lastRenderedPageBreak/>
        <w:t>2. Dokumenti i analizës dhe vlerësimit të thelluar dhe hartat përkatëse përmbajnë:</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a) Analizën e elementeve ekzistuese të territorit, si ekstrakt i gjetjeve të PPV-së për </w:t>
      </w:r>
      <w:proofErr w:type="spellStart"/>
      <w:r w:rsidRPr="00B67DFC">
        <w:rPr>
          <w:rFonts w:ascii="Garamond" w:eastAsia="MS Mincho" w:hAnsi="Garamond" w:cs="CG Times"/>
          <w:lang w:val="sq-AL"/>
        </w:rPr>
        <w:t>nënnjësinë</w:t>
      </w:r>
      <w:proofErr w:type="spellEnd"/>
      <w:r w:rsidRPr="00B67DFC">
        <w:rPr>
          <w:rFonts w:ascii="Garamond" w:eastAsia="MS Mincho" w:hAnsi="Garamond" w:cs="CG Times"/>
          <w:lang w:val="sq-AL"/>
        </w:rPr>
        <w:t xml:space="preserve"> strukturore, për të cilën hartohet PDV-ja, nëse përmban të dhëna të tilla si, por pa u kufizuar në:</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i) informacionin për topografinë bazuar në hartat ekzistuese të PPV-së për </w:t>
      </w:r>
      <w:proofErr w:type="spellStart"/>
      <w:r w:rsidRPr="00B67DFC">
        <w:rPr>
          <w:rFonts w:ascii="Garamond" w:eastAsia="MS Mincho" w:hAnsi="Garamond" w:cs="CG Times"/>
          <w:lang w:val="sq-AL"/>
        </w:rPr>
        <w:t>nënnjësinë</w:t>
      </w:r>
      <w:proofErr w:type="spellEnd"/>
      <w:r w:rsidRPr="00B67DFC">
        <w:rPr>
          <w:rFonts w:ascii="Garamond" w:eastAsia="MS Mincho" w:hAnsi="Garamond" w:cs="CG Times"/>
          <w:lang w:val="sq-AL"/>
        </w:rPr>
        <w:t xml:space="preserve"> strukturore për të cilën hartohet PDV-ja;</w:t>
      </w:r>
    </w:p>
    <w:p w:rsidR="00F020CC" w:rsidRPr="00B67DFC" w:rsidRDefault="00F020CC" w:rsidP="00F020CC">
      <w:pPr>
        <w:widowControl w:val="0"/>
        <w:ind w:firstLine="720"/>
        <w:jc w:val="both"/>
        <w:rPr>
          <w:rFonts w:ascii="Garamond" w:eastAsia="MS Mincho" w:hAnsi="Garamond" w:cs="CG Times"/>
          <w:lang w:val="sq-AL"/>
        </w:rPr>
      </w:pPr>
      <w:proofErr w:type="spellStart"/>
      <w:r w:rsidRPr="00B67DFC">
        <w:rPr>
          <w:rFonts w:ascii="Garamond" w:eastAsia="MS Mincho" w:hAnsi="Garamond" w:cs="CG Times"/>
          <w:lang w:val="sq-AL"/>
        </w:rPr>
        <w:t>ii</w:t>
      </w:r>
      <w:proofErr w:type="spellEnd"/>
      <w:r w:rsidRPr="00B67DFC">
        <w:rPr>
          <w:rFonts w:ascii="Garamond" w:eastAsia="MS Mincho" w:hAnsi="Garamond" w:cs="CG Times"/>
          <w:lang w:val="sq-AL"/>
        </w:rPr>
        <w:t xml:space="preserve">) harta </w:t>
      </w:r>
      <w:proofErr w:type="spellStart"/>
      <w:r w:rsidRPr="00B67DFC">
        <w:rPr>
          <w:rFonts w:ascii="Garamond" w:eastAsia="MS Mincho" w:hAnsi="Garamond" w:cs="CG Times"/>
          <w:lang w:val="sq-AL"/>
        </w:rPr>
        <w:t>gjeologo-inxhinierike</w:t>
      </w:r>
      <w:proofErr w:type="spellEnd"/>
      <w:r w:rsidRPr="00B67DFC">
        <w:rPr>
          <w:rFonts w:ascii="Garamond" w:eastAsia="MS Mincho" w:hAnsi="Garamond" w:cs="CG Times"/>
          <w:lang w:val="sq-AL"/>
        </w:rPr>
        <w:t>, nëse ka;</w:t>
      </w:r>
    </w:p>
    <w:p w:rsidR="00F020CC" w:rsidRPr="00B67DFC" w:rsidRDefault="00F020CC" w:rsidP="00F020CC">
      <w:pPr>
        <w:widowControl w:val="0"/>
        <w:ind w:firstLine="720"/>
        <w:jc w:val="both"/>
        <w:rPr>
          <w:rFonts w:ascii="Garamond" w:eastAsia="MS Mincho" w:hAnsi="Garamond" w:cs="CG Times"/>
          <w:lang w:val="sq-AL"/>
        </w:rPr>
      </w:pPr>
      <w:proofErr w:type="spellStart"/>
      <w:r w:rsidRPr="00B67DFC">
        <w:rPr>
          <w:rFonts w:ascii="Garamond" w:eastAsia="MS Mincho" w:hAnsi="Garamond" w:cs="CG Times"/>
          <w:lang w:val="sq-AL"/>
        </w:rPr>
        <w:t>iii</w:t>
      </w:r>
      <w:proofErr w:type="spellEnd"/>
      <w:r w:rsidRPr="00B67DFC">
        <w:rPr>
          <w:rFonts w:ascii="Garamond" w:eastAsia="MS Mincho" w:hAnsi="Garamond" w:cs="CG Times"/>
          <w:lang w:val="sq-AL"/>
        </w:rPr>
        <w:t xml:space="preserve">) harta </w:t>
      </w:r>
      <w:proofErr w:type="spellStart"/>
      <w:r w:rsidRPr="00B67DFC">
        <w:rPr>
          <w:rFonts w:ascii="Garamond" w:eastAsia="MS Mincho" w:hAnsi="Garamond" w:cs="CG Times"/>
          <w:lang w:val="sq-AL"/>
        </w:rPr>
        <w:t>hidro</w:t>
      </w:r>
      <w:proofErr w:type="spellEnd"/>
      <w:r w:rsidRPr="00B67DFC">
        <w:rPr>
          <w:rFonts w:ascii="Garamond" w:eastAsia="MS Mincho" w:hAnsi="Garamond" w:cs="CG Times"/>
          <w:lang w:val="sq-AL"/>
        </w:rPr>
        <w:t>-gjeologjike, nëse ka;</w:t>
      </w:r>
    </w:p>
    <w:p w:rsidR="00F020CC" w:rsidRPr="00B67DFC" w:rsidRDefault="00F020CC" w:rsidP="00F020CC">
      <w:pPr>
        <w:widowControl w:val="0"/>
        <w:ind w:firstLine="720"/>
        <w:jc w:val="both"/>
        <w:rPr>
          <w:rFonts w:ascii="Garamond" w:eastAsia="MS Mincho" w:hAnsi="Garamond" w:cs="CG Times"/>
          <w:lang w:val="sq-AL"/>
        </w:rPr>
      </w:pPr>
      <w:proofErr w:type="spellStart"/>
      <w:r w:rsidRPr="00B67DFC">
        <w:rPr>
          <w:rFonts w:ascii="Garamond" w:eastAsia="MS Mincho" w:hAnsi="Garamond" w:cs="CG Times"/>
          <w:lang w:val="sq-AL"/>
        </w:rPr>
        <w:t>iv</w:t>
      </w:r>
      <w:proofErr w:type="spellEnd"/>
      <w:r w:rsidRPr="00B67DFC">
        <w:rPr>
          <w:rFonts w:ascii="Garamond" w:eastAsia="MS Mincho" w:hAnsi="Garamond" w:cs="CG Times"/>
          <w:lang w:val="sq-AL"/>
        </w:rPr>
        <w:t xml:space="preserve">) burimet natyrore dhe mjediset pyjore, nëse PPV-ja ka evidentuar të tilla në </w:t>
      </w:r>
      <w:proofErr w:type="spellStart"/>
      <w:r w:rsidRPr="00B67DFC">
        <w:rPr>
          <w:rFonts w:ascii="Garamond" w:eastAsia="MS Mincho" w:hAnsi="Garamond" w:cs="CG Times"/>
          <w:lang w:val="sq-AL"/>
        </w:rPr>
        <w:t>nënnjësinë</w:t>
      </w:r>
      <w:proofErr w:type="spellEnd"/>
      <w:r w:rsidRPr="00B67DFC">
        <w:rPr>
          <w:rFonts w:ascii="Garamond" w:eastAsia="MS Mincho" w:hAnsi="Garamond" w:cs="CG Times"/>
          <w:lang w:val="sq-AL"/>
        </w:rPr>
        <w:t xml:space="preserve"> strukturore për të cilën hartohet PDV-ja;</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v) informacion mbi zona të mbrojtura natyrore dhe ato të trashëgimisë kulturore dhe historike, nëse PPV-ja ka evidentuar të tilla në </w:t>
      </w:r>
      <w:proofErr w:type="spellStart"/>
      <w:r w:rsidRPr="00B67DFC">
        <w:rPr>
          <w:rFonts w:ascii="Garamond" w:eastAsia="MS Mincho" w:hAnsi="Garamond" w:cs="CG Times"/>
          <w:lang w:val="sq-AL"/>
        </w:rPr>
        <w:t>nënnjësinë</w:t>
      </w:r>
      <w:proofErr w:type="spellEnd"/>
      <w:r w:rsidRPr="00B67DFC">
        <w:rPr>
          <w:rFonts w:ascii="Garamond" w:eastAsia="MS Mincho" w:hAnsi="Garamond" w:cs="CG Times"/>
          <w:lang w:val="sq-AL"/>
        </w:rPr>
        <w:t xml:space="preserve"> strukturore për të cilën hartohet PDV-ja.</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b) Analizën dhe vlerësimin demografik dhe përqendrimin e popullsisë në </w:t>
      </w:r>
      <w:proofErr w:type="spellStart"/>
      <w:r w:rsidRPr="00B67DFC">
        <w:rPr>
          <w:rFonts w:ascii="Garamond" w:eastAsia="MS Mincho" w:hAnsi="Garamond" w:cs="CG Times"/>
          <w:lang w:val="sq-AL"/>
        </w:rPr>
        <w:t>nënnjësinë</w:t>
      </w:r>
      <w:proofErr w:type="spellEnd"/>
      <w:r w:rsidRPr="00B67DFC">
        <w:rPr>
          <w:rFonts w:ascii="Garamond" w:eastAsia="MS Mincho" w:hAnsi="Garamond" w:cs="CG Times"/>
          <w:lang w:val="sq-AL"/>
        </w:rPr>
        <w:t xml:space="preserve"> strukturore tendencat e lëvizjeve të popullsisë në vite dhe shpërndarjen e popullsisë në nivel banese, bazuar në PPV-në, nëse ka, për </w:t>
      </w:r>
      <w:proofErr w:type="spellStart"/>
      <w:r w:rsidRPr="00B67DFC">
        <w:rPr>
          <w:rFonts w:ascii="Garamond" w:eastAsia="MS Mincho" w:hAnsi="Garamond" w:cs="CG Times"/>
          <w:lang w:val="sq-AL"/>
        </w:rPr>
        <w:t>nënnjësinë</w:t>
      </w:r>
      <w:proofErr w:type="spellEnd"/>
      <w:r w:rsidRPr="00B67DFC">
        <w:rPr>
          <w:rFonts w:ascii="Garamond" w:eastAsia="MS Mincho" w:hAnsi="Garamond" w:cs="CG Times"/>
          <w:lang w:val="sq-AL"/>
        </w:rPr>
        <w:t xml:space="preserve"> strukturore për të cilën hartohet PDV-ja.</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c) Analizën e problematikës së pronësisë mbi tokën, nëse ka.</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ç) Analizën e përdorimit ekzistues të tokës, nëse PPV-ja ka të tillë për </w:t>
      </w:r>
      <w:proofErr w:type="spellStart"/>
      <w:r w:rsidRPr="00B67DFC">
        <w:rPr>
          <w:rFonts w:ascii="Garamond" w:eastAsia="MS Mincho" w:hAnsi="Garamond" w:cs="CG Times"/>
          <w:lang w:val="sq-AL"/>
        </w:rPr>
        <w:t>nënnjësinë</w:t>
      </w:r>
      <w:proofErr w:type="spellEnd"/>
      <w:r w:rsidRPr="00B67DFC">
        <w:rPr>
          <w:rFonts w:ascii="Garamond" w:eastAsia="MS Mincho" w:hAnsi="Garamond" w:cs="CG Times"/>
          <w:lang w:val="sq-AL"/>
        </w:rPr>
        <w:t xml:space="preserve"> strukturore për të cilën hartohet PDV-ja.</w:t>
      </w:r>
    </w:p>
    <w:p w:rsidR="00F020CC" w:rsidRPr="00B67DFC" w:rsidRDefault="00F020CC" w:rsidP="00F020CC">
      <w:pPr>
        <w:widowControl w:val="0"/>
        <w:ind w:firstLine="720"/>
        <w:jc w:val="both"/>
        <w:rPr>
          <w:rFonts w:ascii="Garamond" w:eastAsia="MS Mincho" w:hAnsi="Garamond" w:cs="CG Times"/>
          <w:lang w:val="sq-AL"/>
        </w:rPr>
      </w:pPr>
    </w:p>
    <w:p w:rsidR="00F020CC" w:rsidRPr="00B67DFC" w:rsidRDefault="00F020CC" w:rsidP="00F020CC">
      <w:pPr>
        <w:widowControl w:val="0"/>
        <w:jc w:val="center"/>
        <w:rPr>
          <w:rFonts w:ascii="Garamond" w:eastAsia="MS Mincho" w:hAnsi="Garamond" w:cs="CG Times"/>
          <w:b/>
          <w:lang w:val="sq-AL"/>
        </w:rPr>
      </w:pPr>
      <w:r w:rsidRPr="00B67DFC">
        <w:rPr>
          <w:rFonts w:ascii="Garamond" w:eastAsia="MS Mincho" w:hAnsi="Garamond" w:cs="CG Times"/>
          <w:b/>
          <w:lang w:val="sq-AL"/>
        </w:rPr>
        <w:t>Neni 21/8</w:t>
      </w:r>
    </w:p>
    <w:p w:rsidR="00F020CC" w:rsidRPr="00B67DFC" w:rsidRDefault="00F020CC" w:rsidP="00F020CC">
      <w:pPr>
        <w:widowControl w:val="0"/>
        <w:jc w:val="center"/>
        <w:outlineLvl w:val="2"/>
        <w:rPr>
          <w:rFonts w:ascii="Garamond" w:eastAsia="MS Mincho" w:hAnsi="Garamond" w:cs="CG Times"/>
          <w:b/>
          <w:bCs/>
          <w:lang w:val="sq-AL"/>
        </w:rPr>
      </w:pPr>
      <w:r w:rsidRPr="00B67DFC">
        <w:rPr>
          <w:rFonts w:ascii="Garamond" w:eastAsia="MS Mincho" w:hAnsi="Garamond" w:cs="CG Times"/>
          <w:b/>
          <w:bCs/>
          <w:lang w:val="sq-AL"/>
        </w:rPr>
        <w:t>Struktura dhe formati i projektplanit të PDV-së</w:t>
      </w:r>
    </w:p>
    <w:p w:rsidR="00F020CC" w:rsidRPr="00B67DFC" w:rsidRDefault="00F020CC" w:rsidP="00F020CC">
      <w:pPr>
        <w:widowControl w:val="0"/>
        <w:ind w:firstLine="720"/>
        <w:jc w:val="both"/>
        <w:rPr>
          <w:rFonts w:ascii="Garamond" w:eastAsia="MS Mincho" w:hAnsi="Garamond" w:cs="CG Times"/>
          <w:lang w:val="sq-AL"/>
        </w:rPr>
      </w:pP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1. Projektplani përmban:</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 a) objektivat e planit të përgjithshëm vendor të planifikimit të territorit për </w:t>
      </w:r>
      <w:proofErr w:type="spellStart"/>
      <w:r w:rsidRPr="00B67DFC">
        <w:rPr>
          <w:rFonts w:ascii="Garamond" w:eastAsia="MS Mincho" w:hAnsi="Garamond" w:cs="CG Times"/>
          <w:lang w:val="sq-AL"/>
        </w:rPr>
        <w:t>nënnjësinë</w:t>
      </w:r>
      <w:proofErr w:type="spellEnd"/>
      <w:r w:rsidRPr="00B67DFC">
        <w:rPr>
          <w:rFonts w:ascii="Garamond" w:eastAsia="MS Mincho" w:hAnsi="Garamond" w:cs="CG Times"/>
          <w:lang w:val="sq-AL"/>
        </w:rPr>
        <w:t xml:space="preserve"> strukturore për të cilën hartohet PDV-ja;</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b) përmbledhjen dhe gjetjet kryesore të analizës të gjendjes ekzistuese. Materiali i plotë i analizës i bashkëngjitet projektplanit si shtojcë e tij. Dokumenti i plotë, së bashku me hartat, i bashkëngjitet projektplanit si shtojcë e tij;</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c) planin e propozuar të përdorimit të tokës dhe të strukturave në të, i cili përmban:</w:t>
      </w:r>
    </w:p>
    <w:p w:rsidR="00F020CC" w:rsidRPr="00B67DFC" w:rsidRDefault="00F020CC" w:rsidP="00F020CC">
      <w:pPr>
        <w:widowControl w:val="0"/>
        <w:ind w:firstLine="720"/>
        <w:jc w:val="both"/>
        <w:rPr>
          <w:rFonts w:ascii="Garamond" w:eastAsia="MS Mincho" w:hAnsi="Garamond" w:cs="CG Times"/>
          <w:lang w:val="sq-AL"/>
        </w:rPr>
      </w:pPr>
      <w:r w:rsidRPr="00B67DFC">
        <w:rPr>
          <w:rFonts w:ascii="Garamond" w:eastAsia="MS Mincho" w:hAnsi="Garamond" w:cs="CG Times"/>
          <w:lang w:val="sq-AL"/>
        </w:rPr>
        <w:t>i) funksionet dhe aktivitetet e propozuara të strukturave dhe të parcelave ose grupeve përkatëse të parcelave;</w:t>
      </w:r>
    </w:p>
    <w:p w:rsidR="00F020CC" w:rsidRPr="00B67DFC" w:rsidRDefault="00F020CC" w:rsidP="00F020CC">
      <w:pPr>
        <w:widowControl w:val="0"/>
        <w:ind w:firstLine="720"/>
        <w:jc w:val="both"/>
        <w:rPr>
          <w:rFonts w:ascii="Garamond" w:eastAsia="MS Mincho" w:hAnsi="Garamond" w:cs="CG Times"/>
          <w:lang w:val="sq-AL"/>
        </w:rPr>
      </w:pPr>
      <w:proofErr w:type="spellStart"/>
      <w:r w:rsidRPr="00B67DFC">
        <w:rPr>
          <w:rFonts w:ascii="Garamond" w:eastAsia="MS Mincho" w:hAnsi="Garamond" w:cs="CG Times"/>
          <w:lang w:val="sq-AL"/>
        </w:rPr>
        <w:t>ii</w:t>
      </w:r>
      <w:proofErr w:type="spellEnd"/>
      <w:r w:rsidRPr="00B67DFC">
        <w:rPr>
          <w:rFonts w:ascii="Garamond" w:eastAsia="MS Mincho" w:hAnsi="Garamond" w:cs="CG Times"/>
          <w:lang w:val="sq-AL"/>
        </w:rPr>
        <w:t>) pozicionimin e shërbimeve dhe rrjeteve kryesore të infrastrukturave, përfshirë hapësirat e hapura publike kryesore, si dhe planin e propozuar të shërbimeve dhe të infrastrukturave publike;</w:t>
      </w:r>
    </w:p>
    <w:p w:rsidR="00F020CC" w:rsidRPr="00B67DFC" w:rsidRDefault="00F020CC" w:rsidP="00F020CC">
      <w:pPr>
        <w:widowControl w:val="0"/>
        <w:ind w:firstLine="720"/>
        <w:jc w:val="both"/>
        <w:rPr>
          <w:rFonts w:ascii="Garamond" w:eastAsia="MS Mincho" w:hAnsi="Garamond" w:cs="CG Times"/>
          <w:lang w:val="sq-AL"/>
        </w:rPr>
      </w:pPr>
      <w:proofErr w:type="spellStart"/>
      <w:r w:rsidRPr="00B67DFC">
        <w:rPr>
          <w:rFonts w:ascii="Garamond" w:eastAsia="MS Mincho" w:hAnsi="Garamond" w:cs="CG Times"/>
          <w:lang w:val="sq-AL"/>
        </w:rPr>
        <w:t>iii</w:t>
      </w:r>
      <w:proofErr w:type="spellEnd"/>
      <w:r w:rsidRPr="00B67DFC">
        <w:rPr>
          <w:rFonts w:ascii="Garamond" w:eastAsia="MS Mincho" w:hAnsi="Garamond" w:cs="CG Times"/>
          <w:lang w:val="sq-AL"/>
        </w:rPr>
        <w:t>) përcaktimin e treguesve për zhvillim për secilën parcelë;</w:t>
      </w:r>
    </w:p>
    <w:p w:rsidR="00F020CC" w:rsidRPr="00B67DFC" w:rsidRDefault="00F020CC" w:rsidP="00F020CC">
      <w:pPr>
        <w:widowControl w:val="0"/>
        <w:ind w:firstLine="720"/>
        <w:jc w:val="both"/>
        <w:rPr>
          <w:rFonts w:ascii="Garamond" w:eastAsia="MS Mincho" w:hAnsi="Garamond" w:cs="CG Times"/>
          <w:lang w:val="sq-AL"/>
        </w:rPr>
      </w:pPr>
      <w:proofErr w:type="spellStart"/>
      <w:r w:rsidRPr="00B67DFC">
        <w:rPr>
          <w:rFonts w:ascii="Garamond" w:eastAsia="MS Mincho" w:hAnsi="Garamond" w:cs="CG Times"/>
          <w:lang w:val="sq-AL"/>
        </w:rPr>
        <w:t>iv</w:t>
      </w:r>
      <w:proofErr w:type="spellEnd"/>
      <w:r w:rsidRPr="00B67DFC">
        <w:rPr>
          <w:rFonts w:ascii="Garamond" w:eastAsia="MS Mincho" w:hAnsi="Garamond" w:cs="CG Times"/>
          <w:lang w:val="sq-AL"/>
        </w:rPr>
        <w:t>) rregullat e zhvillimit, kuotat e pjesëmarrjes së parcelave ndërtimore në përputhje me nenin 45/2 të ligjit nr. 10 119, datë 23.4.2009 “Për planifikimin e territorit”, të ndryshuar.</w:t>
      </w:r>
    </w:p>
    <w:p w:rsidR="00F020CC" w:rsidRPr="00B67DFC" w:rsidRDefault="00F020CC" w:rsidP="00F020CC">
      <w:pPr>
        <w:widowControl w:val="0"/>
        <w:ind w:firstLine="720"/>
        <w:jc w:val="both"/>
        <w:rPr>
          <w:rFonts w:ascii="Garamond" w:hAnsi="Garamond"/>
          <w:lang w:val="sq-AL" w:bidi="en-US"/>
        </w:rPr>
      </w:pPr>
      <w:r w:rsidRPr="00B67DFC">
        <w:rPr>
          <w:rFonts w:ascii="Garamond" w:eastAsia="MS Mincho" w:hAnsi="Garamond"/>
          <w:lang w:val="sq-AL"/>
        </w:rPr>
        <w:t>2. Hartat përgatiten sipas specifikimeve për bazat e të dhënave të përcaktuara në vendimin nr. 459, datë 16.6.2010 të Këshillit të Ministrave “Për miratimin e standardeve të përbashkëta gjeodezike dhe GIS”, të regjistrit të territorit dhe mund të përmbajnë edhe elemente të analizës në varësi të temës përkatëse.</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outlineLvl w:val="0"/>
        <w:rPr>
          <w:rFonts w:ascii="Garamond" w:hAnsi="Garamond"/>
          <w:caps/>
          <w:lang w:val="sq-AL" w:bidi="en-US"/>
        </w:rPr>
      </w:pPr>
      <w:r w:rsidRPr="00B67DFC">
        <w:rPr>
          <w:rFonts w:ascii="Garamond" w:hAnsi="Garamond"/>
          <w:caps/>
          <w:lang w:val="sq-AL" w:bidi="en-US"/>
        </w:rPr>
        <w:t>SEKSIONI 3</w:t>
      </w:r>
    </w:p>
    <w:p w:rsidR="00F020CC" w:rsidRPr="00B67DFC" w:rsidRDefault="00F020CC" w:rsidP="00F020CC">
      <w:pPr>
        <w:widowControl w:val="0"/>
        <w:jc w:val="center"/>
        <w:outlineLvl w:val="0"/>
        <w:rPr>
          <w:rFonts w:ascii="Garamond" w:hAnsi="Garamond"/>
          <w:caps/>
          <w:lang w:val="sq-AL" w:bidi="en-US"/>
        </w:rPr>
      </w:pPr>
      <w:r w:rsidRPr="00B67DFC">
        <w:rPr>
          <w:rFonts w:ascii="Garamond" w:hAnsi="Garamond"/>
          <w:caps/>
          <w:lang w:val="sq-AL" w:bidi="en-US"/>
        </w:rPr>
        <w:t>RREGULLORET VENDORE TË PLANIFIKIMIT</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t>Neni 22</w:t>
      </w:r>
    </w:p>
    <w:p w:rsidR="00F020CC" w:rsidRPr="00B67DFC" w:rsidRDefault="00F020CC" w:rsidP="00F020CC">
      <w:pPr>
        <w:widowControl w:val="0"/>
        <w:jc w:val="center"/>
        <w:outlineLvl w:val="2"/>
        <w:rPr>
          <w:rFonts w:ascii="Garamond" w:hAnsi="Garamond"/>
          <w:b/>
          <w:lang w:val="sq-AL" w:bidi="en-US"/>
        </w:rPr>
      </w:pPr>
      <w:r w:rsidRPr="00B67DFC">
        <w:rPr>
          <w:rFonts w:ascii="Garamond" w:hAnsi="Garamond"/>
          <w:b/>
          <w:lang w:val="sq-AL" w:bidi="en-US"/>
        </w:rPr>
        <w:t>Rregullorja vendore e planifikimit</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1. Qëllimi i rregullores vendore të planifikimit është të përcaktojë rregullat, normat, standardet dhe instrumentet e zbatueshme, si dhe të orientojë procedurat, për përdorimin dhe zhvillimin ekzistues dhe të ardhshëm të tokës dhe të garantojë se propozimet për zhvillim të sektorit publik dhe privat janë të balancuara dhe përmbushin qëllimet dhe objektivat e planeve territoriale. </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t>Neni 23</w:t>
      </w:r>
    </w:p>
    <w:p w:rsidR="00F020CC" w:rsidRPr="00B67DFC" w:rsidRDefault="00F020CC" w:rsidP="00F020CC">
      <w:pPr>
        <w:widowControl w:val="0"/>
        <w:jc w:val="center"/>
        <w:outlineLvl w:val="2"/>
        <w:rPr>
          <w:rFonts w:ascii="Garamond" w:hAnsi="Garamond"/>
          <w:b/>
          <w:lang w:val="sq-AL" w:bidi="en-US"/>
        </w:rPr>
      </w:pPr>
      <w:r w:rsidRPr="00B67DFC">
        <w:rPr>
          <w:rFonts w:ascii="Garamond" w:hAnsi="Garamond"/>
          <w:b/>
          <w:lang w:val="sq-AL" w:bidi="en-US"/>
        </w:rPr>
        <w:t>Objekti i rregullores vendore të planifikimit</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1. Objekt i rregulloreve vendore të planifikimit janë:</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a) Përcaktimet, objekt rregullimi i nenit 22 të ligjit nr.10 119, datë 23.4.2009 “Për planifikimin e territorit”;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b) Sistemi rrugor dhe i transportit, në përputhje me përcaktimet e legjislacionit të posaçëm në fuqi;</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c) Ruajtja e zonave dhe vlerave të trashëgimisë kulturore dhe mjedisit, në përputhje me përcaktimet e legjislacionit të posaçëm në fuqi;</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ç) Rregullat vendore të ndërtimit, në përputhje me përcaktimet e legjislacionit të posaçëm në fuqi;</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d) Rregullore të tjera sipas rastit.</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t>Neni 24</w:t>
      </w:r>
    </w:p>
    <w:p w:rsidR="00F020CC" w:rsidRPr="00B67DFC" w:rsidRDefault="00F020CC" w:rsidP="00F020CC">
      <w:pPr>
        <w:widowControl w:val="0"/>
        <w:jc w:val="center"/>
        <w:outlineLvl w:val="2"/>
        <w:rPr>
          <w:rFonts w:ascii="Garamond" w:hAnsi="Garamond"/>
          <w:b/>
          <w:lang w:val="sq-AL" w:bidi="en-US"/>
        </w:rPr>
      </w:pPr>
      <w:r w:rsidRPr="00B67DFC">
        <w:rPr>
          <w:rFonts w:ascii="Garamond" w:hAnsi="Garamond"/>
          <w:b/>
          <w:lang w:val="sq-AL" w:bidi="en-US"/>
        </w:rPr>
        <w:t>Procesi dhe autoritetet gjatë hartimit të rregullores vendore të planifikimit</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1. Hartimi, shqyrtimi dhe miratimi i rregullores vendore të planifikimit kryhet njëkohësisht me PPV-në, sipas përcaktimit të nenit 13 të kësaj rregulloreje. </w:t>
      </w:r>
    </w:p>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t>Neni 25</w:t>
      </w:r>
    </w:p>
    <w:p w:rsidR="00F020CC" w:rsidRPr="00B67DFC" w:rsidRDefault="00F020CC" w:rsidP="00F020CC">
      <w:pPr>
        <w:widowControl w:val="0"/>
        <w:jc w:val="center"/>
        <w:outlineLvl w:val="2"/>
        <w:rPr>
          <w:rFonts w:ascii="Garamond" w:hAnsi="Garamond"/>
          <w:b/>
          <w:lang w:val="sq-AL" w:bidi="en-US"/>
        </w:rPr>
      </w:pPr>
      <w:r w:rsidRPr="00B67DFC">
        <w:rPr>
          <w:rFonts w:ascii="Garamond" w:hAnsi="Garamond"/>
          <w:b/>
          <w:lang w:val="sq-AL" w:bidi="en-US"/>
        </w:rPr>
        <w:t xml:space="preserve">Struktura e rregullores vendore të planifikimit </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1. Struktura e rregulloreve vendore të planifikimit përbëhet nga:</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a) Dokumenti bazë i rregullores vendore të planifikimit;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b) Rregulla mbi përdorimin e tokës;</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c) Rregulla mbi intensitetin e zhvillimit;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ç) Rregulla mbi ndarjen dhe bashkimin e parcelave;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d) Rregulla mbi sistemin rrugor dhe të transportit;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dh) Rregulla mbi ruajtjen e zonave dhe vlerat e trashëgimisë kulturore dhe mjedisit;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e) Rregulla mbi ndërtimit;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ë) Rregulla të tjera sipas nevojës;</w:t>
      </w:r>
    </w:p>
    <w:p w:rsidR="00F020CC" w:rsidRPr="00B67DFC" w:rsidRDefault="00F020CC" w:rsidP="00F020CC">
      <w:pPr>
        <w:widowControl w:val="0"/>
        <w:jc w:val="both"/>
        <w:rPr>
          <w:rFonts w:ascii="Garamond" w:hAnsi="Garamond"/>
          <w:lang w:val="sq-AL" w:bidi="en-US"/>
        </w:rPr>
      </w:pPr>
    </w:p>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t>Neni 26</w:t>
      </w:r>
    </w:p>
    <w:p w:rsidR="00F020CC" w:rsidRPr="00B67DFC" w:rsidRDefault="00F020CC" w:rsidP="00F020CC">
      <w:pPr>
        <w:widowControl w:val="0"/>
        <w:jc w:val="center"/>
        <w:outlineLvl w:val="2"/>
        <w:rPr>
          <w:rFonts w:ascii="Garamond" w:hAnsi="Garamond"/>
          <w:b/>
          <w:lang w:val="sq-AL" w:bidi="en-US"/>
        </w:rPr>
      </w:pPr>
      <w:r w:rsidRPr="00B67DFC">
        <w:rPr>
          <w:rFonts w:ascii="Garamond" w:hAnsi="Garamond"/>
          <w:b/>
          <w:lang w:val="sq-AL" w:bidi="en-US"/>
        </w:rPr>
        <w:t>Struktura dhe formati i dokumentit bazë të rregullores vendore të planifikimit</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1. Dokumenti bazë i rregullores vendore të planifikimit përmban, por pa u kufizuar vetëm në:</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a) Qëllimin dhe objektin e rregullores vendore të planifikimit;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b) Përkufizimet e termave të përdorur në këtë rregullore;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c) Shpjegimin e metodologjisë së përdorur ose që duhet të përdoret për hartimin dhe zbatimin e instrumenteve të propozuara të financimit të zhvillimit dhe të kontrollit të zhvillimit </w:t>
      </w:r>
      <w:r w:rsidRPr="00B67DFC">
        <w:rPr>
          <w:rFonts w:ascii="Garamond" w:hAnsi="Garamond"/>
          <w:lang w:val="sq-AL" w:bidi="en-US"/>
        </w:rPr>
        <w:lastRenderedPageBreak/>
        <w:t xml:space="preserve">që parashikon PPV-ja, veçanërisht të instrumenteve speciale të kontrollit të zhvillimit, duke përfshirë edhe </w:t>
      </w:r>
      <w:proofErr w:type="spellStart"/>
      <w:r w:rsidRPr="00B67DFC">
        <w:rPr>
          <w:rFonts w:ascii="Garamond" w:hAnsi="Garamond"/>
          <w:lang w:val="sq-AL" w:bidi="en-US"/>
        </w:rPr>
        <w:t>listimin</w:t>
      </w:r>
      <w:proofErr w:type="spellEnd"/>
      <w:r w:rsidRPr="00B67DFC">
        <w:rPr>
          <w:rFonts w:ascii="Garamond" w:hAnsi="Garamond"/>
          <w:lang w:val="sq-AL" w:bidi="en-US"/>
        </w:rPr>
        <w:t xml:space="preserve"> dhe shpjegimin e treguesve të propozuar të zhvillimit, mënyrën e zbërthimit të kritereve për përcaktimin e njësive dhe </w:t>
      </w:r>
      <w:proofErr w:type="spellStart"/>
      <w:r w:rsidRPr="00B67DFC">
        <w:rPr>
          <w:rFonts w:ascii="Garamond" w:hAnsi="Garamond"/>
          <w:lang w:val="sq-AL" w:bidi="en-US"/>
        </w:rPr>
        <w:t>nënnjësive</w:t>
      </w:r>
      <w:proofErr w:type="spellEnd"/>
      <w:r w:rsidRPr="00B67DFC">
        <w:rPr>
          <w:rFonts w:ascii="Garamond" w:hAnsi="Garamond"/>
          <w:lang w:val="sq-AL" w:bidi="en-US"/>
        </w:rPr>
        <w:t xml:space="preserve"> strukturore, përkufizimet specifike për nënndarjen dhe bashkimin e parcelave, si edhe referencat ligjore të përdorura;</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ç) Shpjegimin e kodeve të përdorura për:</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i) kategoritë e përdorimit të tokës dhe të strukturave në të dhe detaje të nevojshme sipas rastit, dhe kategoritë e sistemit rrugor, në përputhje me përcaktimet e Kodit Rrugor;</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ii</w:t>
      </w:r>
      <w:proofErr w:type="spellEnd"/>
      <w:r w:rsidRPr="00B67DFC">
        <w:rPr>
          <w:rFonts w:ascii="Garamond" w:hAnsi="Garamond"/>
          <w:lang w:val="sq-AL" w:bidi="en-US"/>
        </w:rPr>
        <w:t xml:space="preserve">) njësitë dhe </w:t>
      </w:r>
      <w:proofErr w:type="spellStart"/>
      <w:r w:rsidRPr="00B67DFC">
        <w:rPr>
          <w:rFonts w:ascii="Garamond" w:hAnsi="Garamond"/>
          <w:lang w:val="sq-AL" w:bidi="en-US"/>
        </w:rPr>
        <w:t>nënnjësitë</w:t>
      </w:r>
      <w:proofErr w:type="spellEnd"/>
      <w:r w:rsidRPr="00B67DFC">
        <w:rPr>
          <w:rFonts w:ascii="Garamond" w:hAnsi="Garamond"/>
          <w:lang w:val="sq-AL" w:bidi="en-US"/>
        </w:rPr>
        <w:t xml:space="preserve"> strukturore, zonat me prioritet zhvillimi, dhe çdo ndarje tjetër territoriale të nevojshme të përdorur nga PPV-ja;</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iii</w:t>
      </w:r>
      <w:proofErr w:type="spellEnd"/>
      <w:r w:rsidRPr="00B67DFC">
        <w:rPr>
          <w:rFonts w:ascii="Garamond" w:hAnsi="Garamond"/>
          <w:lang w:val="sq-AL" w:bidi="en-US"/>
        </w:rPr>
        <w:t>) zonat për plan të detajuar vendor (PDV);</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iv</w:t>
      </w:r>
      <w:proofErr w:type="spellEnd"/>
      <w:r w:rsidRPr="00B67DFC">
        <w:rPr>
          <w:rFonts w:ascii="Garamond" w:hAnsi="Garamond"/>
          <w:lang w:val="sq-AL" w:bidi="en-US"/>
        </w:rPr>
        <w:t>) kode të tjera sipas rastit.</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t>Neni 27</w:t>
      </w:r>
    </w:p>
    <w:p w:rsidR="00F020CC" w:rsidRPr="00B67DFC" w:rsidRDefault="00F020CC" w:rsidP="00F020CC">
      <w:pPr>
        <w:widowControl w:val="0"/>
        <w:jc w:val="center"/>
        <w:outlineLvl w:val="2"/>
        <w:rPr>
          <w:rFonts w:ascii="Garamond" w:hAnsi="Garamond"/>
          <w:b/>
          <w:lang w:val="sq-AL" w:bidi="en-US"/>
        </w:rPr>
      </w:pPr>
      <w:r w:rsidRPr="00B67DFC">
        <w:rPr>
          <w:rFonts w:ascii="Garamond" w:hAnsi="Garamond"/>
          <w:b/>
          <w:lang w:val="sq-AL" w:bidi="en-US"/>
        </w:rPr>
        <w:t>Rregullat përbërëse të rregullores vendore të planifikimit</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1. Rregullat e përdorimit të tokës përmbajnë </w:t>
      </w:r>
      <w:proofErr w:type="spellStart"/>
      <w:r w:rsidRPr="00B67DFC">
        <w:rPr>
          <w:rFonts w:ascii="Garamond" w:hAnsi="Garamond"/>
          <w:lang w:val="sq-AL" w:bidi="en-US"/>
        </w:rPr>
        <w:t>minimalisht</w:t>
      </w:r>
      <w:proofErr w:type="spellEnd"/>
      <w:r w:rsidRPr="00B67DFC">
        <w:rPr>
          <w:rFonts w:ascii="Garamond" w:hAnsi="Garamond"/>
          <w:lang w:val="sq-AL" w:bidi="en-US"/>
        </w:rPr>
        <w:t xml:space="preserve"> për çdo zonë të krijuar sipas planit të përdorimit të tokës, përcaktimin, rregullat dhe shpjegimin e: </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a) Kategorive të lejuara, të kushtëzuara dhe të ndaluara të përdorimit të tokës dhe të strukturave në të, në përputhje me kategoritë bazë të përdorimit të tokës dhe me kriteret për kategoritë e lejuara, të kushtëzuara dhe të ndaluara;</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b) Aktiviteteve dhe funksioneve në përputhje me kategoritë e përdorimit të tokës dhe të strukturave në të, sipas nevojës;</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c) Punimeve dhe veprimtarive që lejohen, kufizohen ose ndalohen, përfshirë kushtet përkatëse;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ç) Përdorimeve të papërputhshme; </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d) Proceseve të programeve të financimit të zhvillimit. Për çdo program përcaktohen të drejtat dhe kufizimet ligjore, private ose publike që rrjedhin prej tyre, në përputhje me legjislacionin në fuqi;</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dh) Rasteve të </w:t>
      </w:r>
      <w:proofErr w:type="spellStart"/>
      <w:r w:rsidRPr="00B67DFC">
        <w:rPr>
          <w:rFonts w:ascii="Garamond" w:hAnsi="Garamond"/>
          <w:lang w:val="sq-AL" w:bidi="en-US"/>
        </w:rPr>
        <w:t>nënnjësive</w:t>
      </w:r>
      <w:proofErr w:type="spellEnd"/>
      <w:r w:rsidRPr="00B67DFC">
        <w:rPr>
          <w:rFonts w:ascii="Garamond" w:hAnsi="Garamond"/>
          <w:lang w:val="sq-AL" w:bidi="en-US"/>
        </w:rPr>
        <w:t xml:space="preserve"> dhe zonave me prioritet zhvillimi për të cilat hartohet PDV-ja, dhe kushtet përkatëse.</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2. Rregullat dhe treguesit e zhvillimit për çdo </w:t>
      </w:r>
      <w:proofErr w:type="spellStart"/>
      <w:r w:rsidRPr="00B67DFC">
        <w:rPr>
          <w:rFonts w:ascii="Garamond" w:hAnsi="Garamond"/>
          <w:lang w:val="sq-AL" w:bidi="en-US"/>
        </w:rPr>
        <w:t>nënnjësi</w:t>
      </w:r>
      <w:proofErr w:type="spellEnd"/>
      <w:r w:rsidRPr="00B67DFC">
        <w:rPr>
          <w:rFonts w:ascii="Garamond" w:hAnsi="Garamond"/>
          <w:lang w:val="sq-AL" w:bidi="en-US"/>
        </w:rPr>
        <w:t xml:space="preserve"> strukturore dhe sipas rastit edhe për zona me prioritet zhvillimi dhe nënndarje të tjera të propozuara nga PPV-ja, përmban:</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a) Kodin dhe përshkrimin e përgjithshëm të njësive strukturore;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b) Kodin dhe emërtimin e </w:t>
      </w:r>
      <w:proofErr w:type="spellStart"/>
      <w:r w:rsidRPr="00B67DFC">
        <w:rPr>
          <w:rFonts w:ascii="Garamond" w:hAnsi="Garamond"/>
          <w:lang w:val="sq-AL" w:bidi="en-US"/>
        </w:rPr>
        <w:t>nënnjësive</w:t>
      </w:r>
      <w:proofErr w:type="spellEnd"/>
      <w:r w:rsidRPr="00B67DFC">
        <w:rPr>
          <w:rFonts w:ascii="Garamond" w:hAnsi="Garamond"/>
          <w:lang w:val="sq-AL" w:bidi="en-US"/>
        </w:rPr>
        <w:t xml:space="preserve"> strukturore;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c) Përcaktimin e zhvillimeve, punimeve dhe veprimtarive, strukturave, aktiviteteve dhe funksioneve, të lejuara, të kushtëzuara dhe të ndaluara, përfshirë dhe përdorimet e papërputhshme; </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ç) Treguesit e planifikimit dhe të zhvillimit, sipas instrumenteve kombëtare të planifikimit;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d) Të drejtat dhe kufizimet ligjore, publike apo private, që rrjedhin nga përdorimi i treguesve të zhvillimit;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dh) Norma dhe standarde të përcaktuara nga legjislacioni i posaçëm në fuqi; </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e) Listën e instrumenteve që mund të përdoren për të arritur në treguesit e propozuar të zhvillimit dhe për të realizuar zhvillimin, përfshirë ato fiskale dhe financiare;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3. Rregullat e nënndarjes dhe të bashkimit të parcelave në çdo </w:t>
      </w:r>
      <w:proofErr w:type="spellStart"/>
      <w:r w:rsidRPr="00B67DFC">
        <w:rPr>
          <w:rFonts w:ascii="Garamond" w:hAnsi="Garamond"/>
          <w:lang w:val="sq-AL" w:bidi="en-US"/>
        </w:rPr>
        <w:t>nënnjësi</w:t>
      </w:r>
      <w:proofErr w:type="spellEnd"/>
      <w:r w:rsidRPr="00B67DFC">
        <w:rPr>
          <w:rFonts w:ascii="Garamond" w:hAnsi="Garamond"/>
          <w:lang w:val="sq-AL" w:bidi="en-US"/>
        </w:rPr>
        <w:t xml:space="preserve"> strukturore dhe, sipas rastit edhe për nënndarje të tjera të propozuara nga PPV-ja, përmbajnë:</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a) Rregullat dhe kushtet për nënndarje dhe bashkim të parcelave, sipas instrumenteve </w:t>
      </w:r>
      <w:r w:rsidRPr="00B67DFC">
        <w:rPr>
          <w:rFonts w:ascii="Garamond" w:hAnsi="Garamond"/>
          <w:lang w:val="sq-AL" w:bidi="en-US"/>
        </w:rPr>
        <w:lastRenderedPageBreak/>
        <w:t>kombëtare të planifikimit;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b) Përshkrimin e metodave për shpërndarjen dhe “</w:t>
      </w:r>
      <w:proofErr w:type="spellStart"/>
      <w:r w:rsidRPr="00B67DFC">
        <w:rPr>
          <w:rFonts w:ascii="Garamond" w:hAnsi="Garamond"/>
          <w:lang w:val="sq-AL" w:bidi="en-US"/>
        </w:rPr>
        <w:t>alokimin</w:t>
      </w:r>
      <w:proofErr w:type="spellEnd"/>
      <w:r w:rsidRPr="00B67DFC">
        <w:rPr>
          <w:rFonts w:ascii="Garamond" w:hAnsi="Garamond"/>
          <w:lang w:val="sq-AL" w:bidi="en-US"/>
        </w:rPr>
        <w:t>” e kostos dhe kompensimin e humbjeve apo shpërndarjen e fitimeve si rezultat i ndarjes apo bashkimit të parcelave, përfshirë edhe të drejta apo kufizime të tjera ligjore;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c) Përshkrimin e mënyrës së shpërndarjes së kostos së ndikimit në infrastrukturë në përputhje me dispozitat ligjore në fuqi, përfshirë edhe përdorimin e instrumenteve të tjera fiskale sipas rastit.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4. Rregullat e sistemit rrugor dhe transportit që përbëhen nga:</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a) Përcaktimi dhe përshkrimi i kategorive të sistemit rrugor në përputhje me Kodin Rrugor, përfshirë standardet dhe kushtet teknike përkatëse;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b) Përcaktimi i treguesve të propozuar të zhvillimit të sistemit rrugor;</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c) Përcaktimi i parametrave të skemës së transportit publik, përfshirë standardet teknike bazuar në legjislacionin e posaçëm në fuqi.</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5. Rregullat e ruajtjes së zonave dhe vlerave të trashëgimisë kulturore dhe mjedisit përbëhen nga:</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a) Përcaktimi i normave dhe standardeve të </w:t>
      </w:r>
      <w:proofErr w:type="spellStart"/>
      <w:r w:rsidRPr="00B67DFC">
        <w:rPr>
          <w:rFonts w:ascii="Garamond" w:hAnsi="Garamond"/>
          <w:lang w:val="sq-AL" w:bidi="en-US"/>
        </w:rPr>
        <w:t>të</w:t>
      </w:r>
      <w:proofErr w:type="spellEnd"/>
      <w:r w:rsidRPr="00B67DFC">
        <w:rPr>
          <w:rFonts w:ascii="Garamond" w:hAnsi="Garamond"/>
          <w:lang w:val="sq-AL" w:bidi="en-US"/>
        </w:rPr>
        <w:t xml:space="preserve"> gjitha zhvillimeve, të cilat kanë ndikim në mjedis, shëndet, dhe në vlerat ekzistuese të trashëgimisë kulturore, sipas përcaktimeve të legjislacionit të posaçëm në fuqi.</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b) Përcaktimi i normave, standardeve dhe rregullave për strukturat dhe punimet që parashikohen nga PPV-ja, me qëllim ruajtjen e mjedisit, shëndetit dhe vlerave të trashëgimisë kulturore, bazuar në rregulloren kombëtare të ndërtimit dhe sipas përcaktimeve të legjislacionit të posaçëm në fuqi.</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6. Rregullat e ndërtimit përgatiten sipas përcaktimeve të rregullores së ndërtimit. </w:t>
      </w:r>
    </w:p>
    <w:p w:rsidR="00F020CC" w:rsidRPr="00B67DFC" w:rsidRDefault="00F020CC" w:rsidP="00F020CC">
      <w:pPr>
        <w:widowControl w:val="0"/>
        <w:jc w:val="both"/>
        <w:rPr>
          <w:rFonts w:ascii="Garamond" w:hAnsi="Garamond"/>
          <w:lang w:val="sq-AL" w:bidi="en-US"/>
        </w:rPr>
      </w:pPr>
    </w:p>
    <w:p w:rsidR="00F020CC" w:rsidRPr="00B67DFC" w:rsidRDefault="00F020CC" w:rsidP="00F020CC">
      <w:pPr>
        <w:widowControl w:val="0"/>
        <w:jc w:val="center"/>
        <w:outlineLvl w:val="0"/>
        <w:rPr>
          <w:rFonts w:ascii="Garamond" w:hAnsi="Garamond"/>
          <w:caps/>
          <w:lang w:val="sq-AL" w:bidi="en-US"/>
        </w:rPr>
      </w:pPr>
      <w:r w:rsidRPr="00B67DFC">
        <w:rPr>
          <w:rFonts w:ascii="Garamond" w:hAnsi="Garamond"/>
          <w:caps/>
          <w:lang w:val="sq-AL" w:bidi="en-US"/>
        </w:rPr>
        <w:t>KREU IV</w:t>
      </w:r>
    </w:p>
    <w:p w:rsidR="00F020CC" w:rsidRPr="00B67DFC" w:rsidRDefault="00F020CC" w:rsidP="00F020CC">
      <w:pPr>
        <w:widowControl w:val="0"/>
        <w:jc w:val="center"/>
        <w:outlineLvl w:val="0"/>
        <w:rPr>
          <w:rFonts w:ascii="Garamond" w:hAnsi="Garamond"/>
          <w:caps/>
          <w:lang w:val="sq-AL" w:bidi="en-US"/>
        </w:rPr>
      </w:pPr>
      <w:r w:rsidRPr="00B67DFC">
        <w:rPr>
          <w:rFonts w:ascii="Garamond" w:hAnsi="Garamond"/>
          <w:caps/>
          <w:lang w:val="sq-AL" w:bidi="en-US"/>
        </w:rPr>
        <w:t>PLANIFIKIMI NDËRVENDOR</w:t>
      </w:r>
    </w:p>
    <w:p w:rsidR="00F020CC" w:rsidRPr="00B67DFC" w:rsidRDefault="00F020CC" w:rsidP="00F020CC">
      <w:pPr>
        <w:widowControl w:val="0"/>
        <w:jc w:val="center"/>
        <w:outlineLvl w:val="0"/>
        <w:rPr>
          <w:rFonts w:ascii="Garamond" w:hAnsi="Garamond"/>
          <w:caps/>
          <w:lang w:val="sq-AL" w:bidi="en-US"/>
        </w:rPr>
      </w:pPr>
    </w:p>
    <w:p w:rsidR="00F020CC" w:rsidRPr="00B67DFC" w:rsidRDefault="00F020CC" w:rsidP="00F020CC">
      <w:pPr>
        <w:widowControl w:val="0"/>
        <w:jc w:val="center"/>
        <w:outlineLvl w:val="0"/>
        <w:rPr>
          <w:rFonts w:ascii="Garamond" w:hAnsi="Garamond"/>
          <w:caps/>
          <w:lang w:val="sq-AL" w:bidi="en-US"/>
        </w:rPr>
      </w:pPr>
      <w:r w:rsidRPr="00B67DFC">
        <w:rPr>
          <w:rFonts w:ascii="Garamond" w:hAnsi="Garamond"/>
          <w:caps/>
          <w:lang w:val="sq-AL" w:bidi="en-US"/>
        </w:rPr>
        <w:t>SEKSIONI 1</w:t>
      </w:r>
    </w:p>
    <w:p w:rsidR="00F020CC" w:rsidRPr="00B67DFC" w:rsidRDefault="00F020CC" w:rsidP="00F020CC">
      <w:pPr>
        <w:widowControl w:val="0"/>
        <w:jc w:val="center"/>
        <w:outlineLvl w:val="0"/>
        <w:rPr>
          <w:rFonts w:ascii="Garamond" w:hAnsi="Garamond"/>
          <w:caps/>
          <w:lang w:val="sq-AL" w:bidi="en-US"/>
        </w:rPr>
      </w:pPr>
    </w:p>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t>Neni 28</w:t>
      </w:r>
    </w:p>
    <w:p w:rsidR="00F020CC" w:rsidRPr="00B67DFC" w:rsidRDefault="00F020CC" w:rsidP="00F020CC">
      <w:pPr>
        <w:widowControl w:val="0"/>
        <w:jc w:val="center"/>
        <w:outlineLvl w:val="2"/>
        <w:rPr>
          <w:rFonts w:ascii="Garamond" w:hAnsi="Garamond"/>
          <w:b/>
          <w:lang w:val="sq-AL" w:bidi="en-US"/>
        </w:rPr>
      </w:pPr>
      <w:r w:rsidRPr="00B67DFC">
        <w:rPr>
          <w:rFonts w:ascii="Garamond" w:hAnsi="Garamond"/>
          <w:b/>
          <w:lang w:val="sq-AL" w:bidi="en-US"/>
        </w:rPr>
        <w:t xml:space="preserve">Instrumentet </w:t>
      </w:r>
      <w:proofErr w:type="spellStart"/>
      <w:r w:rsidRPr="00B67DFC">
        <w:rPr>
          <w:rFonts w:ascii="Garamond" w:hAnsi="Garamond"/>
          <w:b/>
          <w:lang w:val="sq-AL" w:bidi="en-US"/>
        </w:rPr>
        <w:t>ndërvendore</w:t>
      </w:r>
      <w:proofErr w:type="spellEnd"/>
      <w:r w:rsidRPr="00B67DFC">
        <w:rPr>
          <w:rFonts w:ascii="Garamond" w:hAnsi="Garamond"/>
          <w:b/>
          <w:lang w:val="sq-AL" w:bidi="en-US"/>
        </w:rPr>
        <w:t xml:space="preserve"> të planifikimit</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1. Instrumentet </w:t>
      </w:r>
      <w:proofErr w:type="spellStart"/>
      <w:r w:rsidRPr="00B67DFC">
        <w:rPr>
          <w:rFonts w:ascii="Garamond" w:hAnsi="Garamond"/>
          <w:lang w:val="sq-AL" w:bidi="en-US"/>
        </w:rPr>
        <w:t>ndërvendore</w:t>
      </w:r>
      <w:proofErr w:type="spellEnd"/>
      <w:r w:rsidRPr="00B67DFC">
        <w:rPr>
          <w:rFonts w:ascii="Garamond" w:hAnsi="Garamond"/>
          <w:lang w:val="sq-AL" w:bidi="en-US"/>
        </w:rPr>
        <w:t xml:space="preserve"> të planifikimit janë politika territoriale </w:t>
      </w:r>
      <w:proofErr w:type="spellStart"/>
      <w:r w:rsidRPr="00B67DFC">
        <w:rPr>
          <w:rFonts w:ascii="Garamond" w:hAnsi="Garamond"/>
          <w:lang w:val="sq-AL" w:bidi="en-US"/>
        </w:rPr>
        <w:t>ndërvendore</w:t>
      </w:r>
      <w:proofErr w:type="spellEnd"/>
      <w:r w:rsidRPr="00B67DFC">
        <w:rPr>
          <w:rFonts w:ascii="Garamond" w:hAnsi="Garamond"/>
          <w:lang w:val="sq-AL" w:bidi="en-US"/>
        </w:rPr>
        <w:t xml:space="preserve">, plani </w:t>
      </w:r>
      <w:proofErr w:type="spellStart"/>
      <w:r w:rsidRPr="00B67DFC">
        <w:rPr>
          <w:rFonts w:ascii="Garamond" w:hAnsi="Garamond"/>
          <w:lang w:val="sq-AL" w:bidi="en-US"/>
        </w:rPr>
        <w:t>ndërvendor</w:t>
      </w:r>
      <w:proofErr w:type="spellEnd"/>
      <w:r w:rsidRPr="00B67DFC">
        <w:rPr>
          <w:rFonts w:ascii="Garamond" w:hAnsi="Garamond"/>
          <w:lang w:val="sq-AL" w:bidi="en-US"/>
        </w:rPr>
        <w:t xml:space="preserve"> dhe rregullorja e planit </w:t>
      </w:r>
      <w:proofErr w:type="spellStart"/>
      <w:r w:rsidRPr="00B67DFC">
        <w:rPr>
          <w:rFonts w:ascii="Garamond" w:hAnsi="Garamond"/>
          <w:lang w:val="sq-AL" w:bidi="en-US"/>
        </w:rPr>
        <w:t>ndërvendor</w:t>
      </w:r>
      <w:proofErr w:type="spellEnd"/>
      <w:r w:rsidRPr="00B67DFC">
        <w:rPr>
          <w:rFonts w:ascii="Garamond" w:hAnsi="Garamond"/>
          <w:lang w:val="sq-AL" w:bidi="en-US"/>
        </w:rPr>
        <w:t xml:space="preserve">, e cila në çdo rast shoqëron planin </w:t>
      </w:r>
      <w:proofErr w:type="spellStart"/>
      <w:r w:rsidRPr="00B67DFC">
        <w:rPr>
          <w:rFonts w:ascii="Garamond" w:hAnsi="Garamond"/>
          <w:lang w:val="sq-AL" w:bidi="en-US"/>
        </w:rPr>
        <w:t>ndërvendor</w:t>
      </w:r>
      <w:proofErr w:type="spellEnd"/>
      <w:r w:rsidRPr="00B67DFC">
        <w:rPr>
          <w:rFonts w:ascii="Garamond" w:hAnsi="Garamond"/>
          <w:lang w:val="sq-AL" w:bidi="en-US"/>
        </w:rPr>
        <w:t xml:space="preserve"> dhe është pjesë përbërëse e tij. </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2. Politika territoriale </w:t>
      </w:r>
      <w:proofErr w:type="spellStart"/>
      <w:r w:rsidRPr="00B67DFC">
        <w:rPr>
          <w:rFonts w:ascii="Garamond" w:hAnsi="Garamond"/>
          <w:lang w:val="sq-AL" w:bidi="en-US"/>
        </w:rPr>
        <w:t>ndërvendore</w:t>
      </w:r>
      <w:proofErr w:type="spellEnd"/>
      <w:r w:rsidRPr="00B67DFC">
        <w:rPr>
          <w:rFonts w:ascii="Garamond" w:hAnsi="Garamond"/>
          <w:lang w:val="sq-AL" w:bidi="en-US"/>
        </w:rPr>
        <w:t xml:space="preserve"> hartohet së bashku dhe është pjesë përbërëse e planit të përgjithshëm </w:t>
      </w:r>
      <w:proofErr w:type="spellStart"/>
      <w:r w:rsidRPr="00B67DFC">
        <w:rPr>
          <w:rFonts w:ascii="Garamond" w:hAnsi="Garamond"/>
          <w:lang w:val="sq-AL" w:bidi="en-US"/>
        </w:rPr>
        <w:t>ndërvendor</w:t>
      </w:r>
      <w:proofErr w:type="spellEnd"/>
      <w:r w:rsidRPr="00B67DFC">
        <w:rPr>
          <w:rFonts w:ascii="Garamond" w:hAnsi="Garamond"/>
          <w:lang w:val="sq-AL" w:bidi="en-US"/>
        </w:rPr>
        <w:t xml:space="preserve">, duke i paraprirë propozimeve të planit të përgjithshëm </w:t>
      </w:r>
      <w:proofErr w:type="spellStart"/>
      <w:r w:rsidRPr="00B67DFC">
        <w:rPr>
          <w:rFonts w:ascii="Garamond" w:hAnsi="Garamond"/>
          <w:lang w:val="sq-AL" w:bidi="en-US"/>
        </w:rPr>
        <w:t>ndërvendor</w:t>
      </w:r>
      <w:proofErr w:type="spellEnd"/>
      <w:r w:rsidRPr="00B67DFC">
        <w:rPr>
          <w:rFonts w:ascii="Garamond" w:hAnsi="Garamond"/>
          <w:lang w:val="sq-AL" w:bidi="en-US"/>
        </w:rPr>
        <w: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 </w:t>
      </w:r>
    </w:p>
    <w:p w:rsidR="00F020CC" w:rsidRPr="00B67DFC" w:rsidRDefault="00F020CC" w:rsidP="00F020CC">
      <w:pPr>
        <w:widowControl w:val="0"/>
        <w:jc w:val="center"/>
        <w:outlineLvl w:val="0"/>
        <w:rPr>
          <w:rFonts w:ascii="Garamond" w:hAnsi="Garamond"/>
          <w:caps/>
          <w:lang w:val="sq-AL" w:bidi="en-US"/>
        </w:rPr>
      </w:pPr>
      <w:r w:rsidRPr="00B67DFC">
        <w:rPr>
          <w:rFonts w:ascii="Garamond" w:hAnsi="Garamond"/>
          <w:caps/>
          <w:lang w:val="sq-AL" w:bidi="en-US"/>
        </w:rPr>
        <w:t>SEKSIONI 2</w:t>
      </w:r>
    </w:p>
    <w:p w:rsidR="00F020CC" w:rsidRPr="00B67DFC" w:rsidRDefault="00F020CC" w:rsidP="00F020CC">
      <w:pPr>
        <w:widowControl w:val="0"/>
        <w:jc w:val="center"/>
        <w:outlineLvl w:val="0"/>
        <w:rPr>
          <w:rFonts w:ascii="Garamond" w:hAnsi="Garamond"/>
          <w:caps/>
          <w:lang w:val="sq-AL" w:bidi="en-US"/>
        </w:rPr>
      </w:pPr>
      <w:r w:rsidRPr="00B67DFC">
        <w:rPr>
          <w:rFonts w:ascii="Garamond" w:hAnsi="Garamond"/>
          <w:caps/>
          <w:lang w:val="sq-AL" w:bidi="en-US"/>
        </w:rPr>
        <w:t>PLANI NDËRVENDOR</w:t>
      </w:r>
    </w:p>
    <w:p w:rsidR="00F020CC" w:rsidRPr="00B67DFC" w:rsidRDefault="00F020CC" w:rsidP="00F020CC">
      <w:pPr>
        <w:widowControl w:val="0"/>
        <w:jc w:val="center"/>
        <w:rPr>
          <w:rFonts w:ascii="Garamond" w:hAnsi="Garamond"/>
          <w:lang w:val="sq-AL" w:bidi="en-US"/>
        </w:rPr>
      </w:pPr>
    </w:p>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t>Neni 29</w:t>
      </w:r>
    </w:p>
    <w:p w:rsidR="00F020CC" w:rsidRPr="00B67DFC" w:rsidRDefault="00F020CC" w:rsidP="00F020CC">
      <w:pPr>
        <w:widowControl w:val="0"/>
        <w:jc w:val="center"/>
        <w:outlineLvl w:val="2"/>
        <w:rPr>
          <w:rFonts w:ascii="Garamond" w:hAnsi="Garamond"/>
          <w:b/>
          <w:lang w:val="sq-AL" w:bidi="en-US"/>
        </w:rPr>
      </w:pPr>
      <w:r w:rsidRPr="00B67DFC">
        <w:rPr>
          <w:rFonts w:ascii="Garamond" w:hAnsi="Garamond"/>
          <w:b/>
          <w:lang w:val="sq-AL" w:bidi="en-US"/>
        </w:rPr>
        <w:t>Qëllimi</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1. Plani </w:t>
      </w:r>
      <w:proofErr w:type="spellStart"/>
      <w:r w:rsidRPr="00B67DFC">
        <w:rPr>
          <w:rFonts w:ascii="Garamond" w:hAnsi="Garamond"/>
          <w:lang w:val="sq-AL" w:bidi="en-US"/>
        </w:rPr>
        <w:t>ndërvendor</w:t>
      </w:r>
      <w:proofErr w:type="spellEnd"/>
      <w:r w:rsidRPr="00B67DFC">
        <w:rPr>
          <w:rFonts w:ascii="Garamond" w:hAnsi="Garamond"/>
          <w:lang w:val="sq-AL" w:bidi="en-US"/>
        </w:rPr>
        <w:t xml:space="preserve"> hartohet për qëllime dhe në tërësinë ose pjesë të territoreve administrative të dy ose më shumë njësive vendore të interesuara. </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lastRenderedPageBreak/>
        <w:t>Neni 30</w:t>
      </w:r>
    </w:p>
    <w:p w:rsidR="00F020CC" w:rsidRPr="00B67DFC" w:rsidRDefault="00F020CC" w:rsidP="00F020CC">
      <w:pPr>
        <w:widowControl w:val="0"/>
        <w:jc w:val="center"/>
        <w:outlineLvl w:val="2"/>
        <w:rPr>
          <w:rFonts w:ascii="Garamond" w:hAnsi="Garamond"/>
          <w:b/>
          <w:lang w:val="sq-AL" w:bidi="en-US"/>
        </w:rPr>
      </w:pPr>
      <w:r w:rsidRPr="00B67DFC">
        <w:rPr>
          <w:rFonts w:ascii="Garamond" w:hAnsi="Garamond"/>
          <w:b/>
          <w:lang w:val="sq-AL" w:bidi="en-US"/>
        </w:rPr>
        <w:t xml:space="preserve">Klasifikimi i planeve </w:t>
      </w:r>
      <w:proofErr w:type="spellStart"/>
      <w:r w:rsidRPr="00B67DFC">
        <w:rPr>
          <w:rFonts w:ascii="Garamond" w:hAnsi="Garamond"/>
          <w:b/>
          <w:lang w:val="sq-AL" w:bidi="en-US"/>
        </w:rPr>
        <w:t>ndërvendore</w:t>
      </w:r>
      <w:proofErr w:type="spellEnd"/>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1. planet </w:t>
      </w:r>
      <w:proofErr w:type="spellStart"/>
      <w:r w:rsidRPr="00B67DFC">
        <w:rPr>
          <w:rFonts w:ascii="Garamond" w:hAnsi="Garamond"/>
          <w:lang w:val="sq-AL" w:bidi="en-US"/>
        </w:rPr>
        <w:t>ndërvendore</w:t>
      </w:r>
      <w:proofErr w:type="spellEnd"/>
      <w:r w:rsidRPr="00B67DFC">
        <w:rPr>
          <w:rFonts w:ascii="Garamond" w:hAnsi="Garamond"/>
          <w:lang w:val="sq-AL" w:bidi="en-US"/>
        </w:rPr>
        <w:t xml:space="preserve"> klasifikohen në:</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a) plan </w:t>
      </w:r>
      <w:proofErr w:type="spellStart"/>
      <w:r w:rsidRPr="00B67DFC">
        <w:rPr>
          <w:rFonts w:ascii="Garamond" w:hAnsi="Garamond"/>
          <w:lang w:val="sq-AL" w:bidi="en-US"/>
        </w:rPr>
        <w:t>ndërvendor</w:t>
      </w:r>
      <w:proofErr w:type="spellEnd"/>
      <w:r w:rsidRPr="00B67DFC">
        <w:rPr>
          <w:rFonts w:ascii="Garamond" w:hAnsi="Garamond"/>
          <w:lang w:val="sq-AL" w:bidi="en-US"/>
        </w:rPr>
        <w:t xml:space="preserve"> i përgjithshëm;</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b) plan </w:t>
      </w:r>
      <w:proofErr w:type="spellStart"/>
      <w:r w:rsidRPr="00B67DFC">
        <w:rPr>
          <w:rFonts w:ascii="Garamond" w:hAnsi="Garamond"/>
          <w:lang w:val="sq-AL" w:bidi="en-US"/>
        </w:rPr>
        <w:t>ndërvendor</w:t>
      </w:r>
      <w:proofErr w:type="spellEnd"/>
      <w:r w:rsidRPr="00B67DFC">
        <w:rPr>
          <w:rFonts w:ascii="Garamond" w:hAnsi="Garamond"/>
          <w:lang w:val="sq-AL" w:bidi="en-US"/>
        </w:rPr>
        <w:t xml:space="preserve"> </w:t>
      </w:r>
      <w:proofErr w:type="spellStart"/>
      <w:r w:rsidRPr="00B67DFC">
        <w:rPr>
          <w:rFonts w:ascii="Garamond" w:hAnsi="Garamond"/>
          <w:lang w:val="sq-AL" w:bidi="en-US"/>
        </w:rPr>
        <w:t>ndërsektorial</w:t>
      </w:r>
      <w:proofErr w:type="spellEnd"/>
      <w:r w:rsidRPr="00B67DFC">
        <w:rPr>
          <w:rFonts w:ascii="Garamond" w:hAnsi="Garamond"/>
          <w:lang w:val="sq-AL" w:bidi="en-US"/>
        </w:rPr>
        <w:t xml:space="preserve">; </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c) plan </w:t>
      </w:r>
      <w:proofErr w:type="spellStart"/>
      <w:r w:rsidRPr="00B67DFC">
        <w:rPr>
          <w:rFonts w:ascii="Garamond" w:hAnsi="Garamond"/>
          <w:lang w:val="sq-AL" w:bidi="en-US"/>
        </w:rPr>
        <w:t>ndërvendor</w:t>
      </w:r>
      <w:proofErr w:type="spellEnd"/>
      <w:r w:rsidRPr="00B67DFC">
        <w:rPr>
          <w:rFonts w:ascii="Garamond" w:hAnsi="Garamond"/>
          <w:lang w:val="sq-AL" w:bidi="en-US"/>
        </w:rPr>
        <w:t xml:space="preserve"> sektorial.</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t>Neni 31</w:t>
      </w:r>
    </w:p>
    <w:p w:rsidR="00F020CC" w:rsidRPr="00B67DFC" w:rsidRDefault="00F020CC" w:rsidP="00F020CC">
      <w:pPr>
        <w:widowControl w:val="0"/>
        <w:jc w:val="center"/>
        <w:outlineLvl w:val="2"/>
        <w:rPr>
          <w:rFonts w:ascii="Garamond" w:hAnsi="Garamond"/>
          <w:b/>
          <w:lang w:val="sq-AL" w:bidi="en-US"/>
        </w:rPr>
      </w:pPr>
      <w:r w:rsidRPr="00B67DFC">
        <w:rPr>
          <w:rFonts w:ascii="Garamond" w:hAnsi="Garamond"/>
          <w:b/>
          <w:lang w:val="sq-AL" w:bidi="en-US"/>
        </w:rPr>
        <w:t xml:space="preserve">Struktura dhe formati i planit </w:t>
      </w:r>
      <w:proofErr w:type="spellStart"/>
      <w:r w:rsidRPr="00B67DFC">
        <w:rPr>
          <w:rFonts w:ascii="Garamond" w:hAnsi="Garamond"/>
          <w:b/>
          <w:lang w:val="sq-AL" w:bidi="en-US"/>
        </w:rPr>
        <w:t>ndërvendor</w:t>
      </w:r>
      <w:proofErr w:type="spellEnd"/>
      <w:r w:rsidRPr="00B67DFC">
        <w:rPr>
          <w:rFonts w:ascii="Garamond" w:hAnsi="Garamond"/>
          <w:b/>
          <w:lang w:val="sq-AL" w:bidi="en-US"/>
        </w:rPr>
        <w:t xml:space="preserve"> të përgjithshëm (PNVP) </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1. Struktura dhe formati i politikës territoriale </w:t>
      </w:r>
      <w:proofErr w:type="spellStart"/>
      <w:r w:rsidRPr="00B67DFC">
        <w:rPr>
          <w:rFonts w:ascii="Garamond" w:hAnsi="Garamond"/>
          <w:lang w:val="sq-AL" w:bidi="en-US"/>
        </w:rPr>
        <w:t>ndërvendore</w:t>
      </w:r>
      <w:proofErr w:type="spellEnd"/>
      <w:r w:rsidRPr="00B67DFC">
        <w:rPr>
          <w:rFonts w:ascii="Garamond" w:hAnsi="Garamond"/>
          <w:lang w:val="sq-AL" w:bidi="en-US"/>
        </w:rPr>
        <w:t>, i PNVP-së dhe rregullores së planifikimit të PNVP, janë të njëjta me ato të përcaktuara për PPV-në sipas përcaktimit të neneve 13, 16 deri në 20 dhe 25 deri në 27 të kësaj rregulloreje.</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outlineLvl w:val="0"/>
        <w:rPr>
          <w:rFonts w:ascii="Garamond" w:hAnsi="Garamond"/>
          <w:caps/>
          <w:lang w:val="sq-AL" w:bidi="en-US"/>
        </w:rPr>
      </w:pPr>
      <w:r w:rsidRPr="00B67DFC">
        <w:rPr>
          <w:rFonts w:ascii="Garamond" w:hAnsi="Garamond"/>
          <w:caps/>
          <w:lang w:val="sq-AL" w:bidi="en-US"/>
        </w:rPr>
        <w:t>KREU V</w:t>
      </w:r>
    </w:p>
    <w:p w:rsidR="00F020CC" w:rsidRPr="00B67DFC" w:rsidRDefault="00F020CC" w:rsidP="00F020CC">
      <w:pPr>
        <w:widowControl w:val="0"/>
        <w:jc w:val="center"/>
        <w:outlineLvl w:val="0"/>
        <w:rPr>
          <w:rFonts w:ascii="Garamond" w:hAnsi="Garamond"/>
          <w:caps/>
          <w:lang w:val="sq-AL" w:bidi="en-US"/>
        </w:rPr>
      </w:pPr>
      <w:r w:rsidRPr="00B67DFC">
        <w:rPr>
          <w:rFonts w:ascii="Garamond" w:hAnsi="Garamond"/>
          <w:caps/>
          <w:lang w:val="sq-AL" w:bidi="en-US"/>
        </w:rPr>
        <w:t>PLANIFIKIMI I INTEGRUAR</w:t>
      </w:r>
    </w:p>
    <w:p w:rsidR="00F020CC" w:rsidRPr="00B67DFC" w:rsidRDefault="00F020CC" w:rsidP="00F020CC">
      <w:pPr>
        <w:widowControl w:val="0"/>
        <w:jc w:val="center"/>
        <w:outlineLvl w:val="0"/>
        <w:rPr>
          <w:rFonts w:ascii="Garamond" w:hAnsi="Garamond"/>
          <w:caps/>
          <w:lang w:val="sq-AL" w:bidi="en-US"/>
        </w:rPr>
      </w:pPr>
    </w:p>
    <w:p w:rsidR="00F020CC" w:rsidRPr="00B67DFC" w:rsidRDefault="00F020CC" w:rsidP="00F020CC">
      <w:pPr>
        <w:widowControl w:val="0"/>
        <w:jc w:val="center"/>
        <w:outlineLvl w:val="0"/>
        <w:rPr>
          <w:rFonts w:ascii="Garamond" w:hAnsi="Garamond"/>
          <w:caps/>
          <w:lang w:val="sq-AL" w:bidi="en-US"/>
        </w:rPr>
      </w:pPr>
      <w:r w:rsidRPr="00B67DFC">
        <w:rPr>
          <w:rFonts w:ascii="Garamond" w:hAnsi="Garamond"/>
          <w:caps/>
          <w:lang w:val="sq-AL" w:bidi="en-US"/>
        </w:rPr>
        <w:t>SEKSIONI 1</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t>Neni 32</w:t>
      </w:r>
    </w:p>
    <w:p w:rsidR="00F020CC" w:rsidRPr="00B67DFC" w:rsidRDefault="00F020CC" w:rsidP="00F020CC">
      <w:pPr>
        <w:widowControl w:val="0"/>
        <w:jc w:val="center"/>
        <w:outlineLvl w:val="2"/>
        <w:rPr>
          <w:rFonts w:ascii="Garamond" w:hAnsi="Garamond"/>
          <w:b/>
          <w:lang w:val="sq-AL" w:bidi="en-US"/>
        </w:rPr>
      </w:pPr>
      <w:r w:rsidRPr="00B67DFC">
        <w:rPr>
          <w:rFonts w:ascii="Garamond" w:hAnsi="Garamond"/>
          <w:b/>
          <w:lang w:val="sq-AL" w:bidi="en-US"/>
        </w:rPr>
        <w:t>Planifikimi i integruar</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1. Planifikimi i integruar është planifikimi, gjatë të cilit harmonizohen në një instrument planifikimi interesat e përbashkët të autoriteteve kombëtare dhe vendore të planifikimit.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2. Instrumentet e integruara të planifikimit janë politika e integruar territoriale, e cila hartohet së bashku me planin e integruar dhe i paraprin atij, plani i integruar dhe rregullorja e planit të integruar, e cila në çdo rast shoqëron planin e integruar. </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outlineLvl w:val="0"/>
        <w:rPr>
          <w:rFonts w:ascii="Garamond" w:hAnsi="Garamond"/>
          <w:caps/>
          <w:lang w:val="sq-AL" w:bidi="en-US"/>
        </w:rPr>
      </w:pPr>
      <w:r w:rsidRPr="00B67DFC">
        <w:rPr>
          <w:rFonts w:ascii="Garamond" w:hAnsi="Garamond"/>
          <w:caps/>
          <w:lang w:val="sq-AL" w:bidi="en-US"/>
        </w:rPr>
        <w:t xml:space="preserve">PLANI I INTEGRUAR </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t>Neni 33</w:t>
      </w:r>
    </w:p>
    <w:p w:rsidR="00F020CC" w:rsidRPr="00B67DFC" w:rsidRDefault="00F020CC" w:rsidP="00F020CC">
      <w:pPr>
        <w:widowControl w:val="0"/>
        <w:jc w:val="center"/>
        <w:outlineLvl w:val="2"/>
        <w:rPr>
          <w:rFonts w:ascii="Garamond" w:hAnsi="Garamond"/>
          <w:b/>
          <w:lang w:val="sq-AL" w:bidi="en-US"/>
        </w:rPr>
      </w:pPr>
      <w:r w:rsidRPr="00B67DFC">
        <w:rPr>
          <w:rFonts w:ascii="Garamond" w:hAnsi="Garamond"/>
          <w:b/>
          <w:lang w:val="sq-AL" w:bidi="en-US"/>
        </w:rPr>
        <w:t>Qëllimi</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1. Qëllimi i planit të integruar përcaktohet në përputhje me nenin 29 të ligjit nr.10 119, datë 23.4.2009 “Për planifikimin e territorit” dhe në asnjë rast nuk bie ndesh me qëllimet, objektivat dhe rezultatet e pritshme, të përcaktuara në instrumentet kombëtare të përgjithshme, sektoriale dhe </w:t>
      </w:r>
      <w:proofErr w:type="spellStart"/>
      <w:r w:rsidRPr="00B67DFC">
        <w:rPr>
          <w:rFonts w:ascii="Garamond" w:hAnsi="Garamond"/>
          <w:lang w:val="sq-AL" w:bidi="en-US"/>
        </w:rPr>
        <w:t>ndërsektoriale</w:t>
      </w:r>
      <w:proofErr w:type="spellEnd"/>
      <w:r w:rsidRPr="00B67DFC">
        <w:rPr>
          <w:rFonts w:ascii="Garamond" w:hAnsi="Garamond"/>
          <w:lang w:val="sq-AL" w:bidi="en-US"/>
        </w:rPr>
        <w:t xml:space="preserve">. </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t>Neni 34</w:t>
      </w:r>
    </w:p>
    <w:p w:rsidR="00F020CC" w:rsidRPr="00B67DFC" w:rsidRDefault="00F020CC" w:rsidP="00F020CC">
      <w:pPr>
        <w:widowControl w:val="0"/>
        <w:jc w:val="center"/>
        <w:outlineLvl w:val="2"/>
        <w:rPr>
          <w:rFonts w:ascii="Garamond" w:hAnsi="Garamond"/>
          <w:b/>
          <w:lang w:val="sq-AL" w:bidi="en-US"/>
        </w:rPr>
      </w:pPr>
      <w:r w:rsidRPr="00B67DFC">
        <w:rPr>
          <w:rFonts w:ascii="Garamond" w:hAnsi="Garamond"/>
          <w:b/>
          <w:lang w:val="sq-AL" w:bidi="en-US"/>
        </w:rPr>
        <w:t>Klasifikimi i planeve të integruara (PI)</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1. Planet e integruara sipas objektit ndahen në:</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a) plan i integruar i përgjithshëm;</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b) plan i integruar </w:t>
      </w:r>
      <w:proofErr w:type="spellStart"/>
      <w:r w:rsidRPr="00B67DFC">
        <w:rPr>
          <w:rFonts w:ascii="Garamond" w:hAnsi="Garamond"/>
          <w:lang w:val="sq-AL" w:bidi="en-US"/>
        </w:rPr>
        <w:t>ndërsektorial</w:t>
      </w:r>
      <w:proofErr w:type="spellEnd"/>
      <w:r w:rsidRPr="00B67DFC">
        <w:rPr>
          <w:rFonts w:ascii="Garamond" w:hAnsi="Garamond"/>
          <w:lang w:val="sq-AL" w:bidi="en-US"/>
        </w:rPr>
        <w: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c) plan i integruar sektorial;</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t>Neni 35</w:t>
      </w:r>
    </w:p>
    <w:p w:rsidR="00F020CC" w:rsidRPr="00B67DFC" w:rsidRDefault="00F020CC" w:rsidP="00F020CC">
      <w:pPr>
        <w:widowControl w:val="0"/>
        <w:jc w:val="center"/>
        <w:outlineLvl w:val="2"/>
        <w:rPr>
          <w:rFonts w:ascii="Garamond" w:hAnsi="Garamond"/>
          <w:b/>
          <w:lang w:val="sq-AL" w:bidi="en-US"/>
        </w:rPr>
      </w:pPr>
      <w:r w:rsidRPr="00B67DFC">
        <w:rPr>
          <w:rFonts w:ascii="Garamond" w:hAnsi="Garamond"/>
          <w:b/>
          <w:lang w:val="sq-AL" w:bidi="en-US"/>
        </w:rPr>
        <w:lastRenderedPageBreak/>
        <w:t>Struktura dhe formati i planit të integruar të përgjithshëm (PIP)</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1. PIP-ja përbëhet nga:</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a) Kërkesa për marrjen e nismës, e cila përmban:</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i) studimin që përcakton faktet dhe problemet, të cilat shprehin nevojën për plan të integruar territorial;</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ii</w:t>
      </w:r>
      <w:proofErr w:type="spellEnd"/>
      <w:r w:rsidRPr="00B67DFC">
        <w:rPr>
          <w:rFonts w:ascii="Garamond" w:hAnsi="Garamond"/>
          <w:lang w:val="sq-AL" w:bidi="en-US"/>
        </w:rPr>
        <w:t>) planin e veprimeve për hartimin e planit të integruar territorial, përfshirë afatet, përshkrimin e proceseve të pjesëmarrjes, bashkërendimit, dëgjimit publik, koordinimit dhe miratimit;</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iii</w:t>
      </w:r>
      <w:proofErr w:type="spellEnd"/>
      <w:r w:rsidRPr="00B67DFC">
        <w:rPr>
          <w:rFonts w:ascii="Garamond" w:hAnsi="Garamond"/>
          <w:lang w:val="sq-AL" w:bidi="en-US"/>
        </w:rPr>
        <w:t>) buxhetin për hartimin e planit të integruar territorial;</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iv</w:t>
      </w:r>
      <w:proofErr w:type="spellEnd"/>
      <w:r w:rsidRPr="00B67DFC">
        <w:rPr>
          <w:rFonts w:ascii="Garamond" w:hAnsi="Garamond"/>
          <w:lang w:val="sq-AL" w:bidi="en-US"/>
        </w:rPr>
        <w:t>) kufijtë dhe përcaktimin në hartë të zonës që do të studiohet, bazuar në përcaktimet e vendimin e Këshillit të Ministrave nr.459, datë 16.6.2010 “Për miratimin e standardeve të përbashkëta gjeodezike dhe GIS” të regjistrit të territorit.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b) vizioni strategjik i zhvillimit të territorit që do të studiohet, objektivat strategjikë dhe programet strategjike të zhvillimit, në përputhje me nevojat kombëtare dhe vendore, me instrumentet vendore të planifikimit nëse këto ekzistojnë, dhe me strategjitë dhe planet kombëtare, të përgjithshme, sektoriale dhe </w:t>
      </w:r>
      <w:proofErr w:type="spellStart"/>
      <w:r w:rsidRPr="00B67DFC">
        <w:rPr>
          <w:rFonts w:ascii="Garamond" w:hAnsi="Garamond"/>
          <w:lang w:val="sq-AL" w:bidi="en-US"/>
        </w:rPr>
        <w:t>ndërsektoriale</w:t>
      </w:r>
      <w:proofErr w:type="spellEnd"/>
      <w:r w:rsidRPr="00B67DFC">
        <w:rPr>
          <w:rFonts w:ascii="Garamond" w:hAnsi="Garamond"/>
          <w:lang w:val="sq-AL" w:bidi="en-US"/>
        </w:rPr>
        <w:t>, nëse këto ekzistojnë në momentin e hartimit të planit të integruar;</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c) analiza e thelluar sociale, ekonomike, territoriale, e pabarazive rajonale dhe veçanërisht ajo mjedisore, përfshirë:</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i) analiza për identifikimin e burimeve natyrore, monumenteve të kulturës, zonave të mbrojtura, dhe të rëndësisë kombëtare, mënyrën e përdorimit të tyre, vlerësimin e ndotjes aktuale në ujë, tokë, ajër dhe dëmin në shëndetin e njeriut dhe </w:t>
      </w:r>
      <w:proofErr w:type="spellStart"/>
      <w:r w:rsidRPr="00B67DFC">
        <w:rPr>
          <w:rFonts w:ascii="Garamond" w:hAnsi="Garamond"/>
          <w:lang w:val="sq-AL" w:bidi="en-US"/>
        </w:rPr>
        <w:t>biodiversitet</w:t>
      </w:r>
      <w:proofErr w:type="spellEnd"/>
      <w:r w:rsidRPr="00B67DFC">
        <w:rPr>
          <w:rFonts w:ascii="Garamond" w:hAnsi="Garamond"/>
          <w:lang w:val="sq-AL" w:bidi="en-US"/>
        </w:rPr>
        <w:t>, vlerësimin e kapacitetit mbajtës të territorit të studiuar, rrezikut dhe riskut mjedisor dhe të katastrofave natyrore, dhe analiza të tjera mjedisore sipas metodologjisë së përdorur nga hartuesit e planit;</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ii</w:t>
      </w:r>
      <w:proofErr w:type="spellEnd"/>
      <w:r w:rsidRPr="00B67DFC">
        <w:rPr>
          <w:rFonts w:ascii="Garamond" w:hAnsi="Garamond"/>
          <w:lang w:val="sq-AL" w:bidi="en-US"/>
        </w:rPr>
        <w:t>) identifikim dhe analiza të cilësisë, mbulimit dhe “</w:t>
      </w:r>
      <w:proofErr w:type="spellStart"/>
      <w:r w:rsidRPr="00B67DFC">
        <w:rPr>
          <w:rFonts w:ascii="Garamond" w:hAnsi="Garamond"/>
          <w:lang w:val="sq-AL" w:bidi="en-US"/>
        </w:rPr>
        <w:t>aksesit</w:t>
      </w:r>
      <w:proofErr w:type="spellEnd"/>
      <w:r w:rsidRPr="00B67DFC">
        <w:rPr>
          <w:rFonts w:ascii="Garamond" w:hAnsi="Garamond"/>
          <w:lang w:val="sq-AL" w:bidi="en-US"/>
        </w:rPr>
        <w:t xml:space="preserve">” në rrjetet kryesore të infrastrukturave dhe shërbimeve publike, si edhe të instalimeve dhe strukturave me rëndësi kombëtare dhe/ose rajonale; </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iii</w:t>
      </w:r>
      <w:proofErr w:type="spellEnd"/>
      <w:r w:rsidRPr="00B67DFC">
        <w:rPr>
          <w:rFonts w:ascii="Garamond" w:hAnsi="Garamond"/>
          <w:lang w:val="sq-AL" w:bidi="en-US"/>
        </w:rPr>
        <w:t>) vlerësimin e rëndësisë që ka zona në kontekstin e zhvillimit kombëtar dhe, sipas rastit ndërkufitar;</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iv</w:t>
      </w:r>
      <w:proofErr w:type="spellEnd"/>
      <w:r w:rsidRPr="00B67DFC">
        <w:rPr>
          <w:rFonts w:ascii="Garamond" w:hAnsi="Garamond"/>
          <w:lang w:val="sq-AL" w:bidi="en-US"/>
        </w:rPr>
        <w:t>) vlerësimin dhe analizimin e qendrave të banuara, sa iu përket treguesve të zhvillimit, “</w:t>
      </w:r>
      <w:proofErr w:type="spellStart"/>
      <w:r w:rsidRPr="00B67DFC">
        <w:rPr>
          <w:rFonts w:ascii="Garamond" w:hAnsi="Garamond"/>
          <w:lang w:val="sq-AL" w:bidi="en-US"/>
        </w:rPr>
        <w:t>periferalitetit</w:t>
      </w:r>
      <w:proofErr w:type="spellEnd"/>
      <w:r w:rsidRPr="00B67DFC">
        <w:rPr>
          <w:rFonts w:ascii="Garamond" w:hAnsi="Garamond"/>
          <w:lang w:val="sq-AL" w:bidi="en-US"/>
        </w:rPr>
        <w:t>”, formave dhe strukturave urbane dominuese, kategorive kryesore ekzistuese të përdorimit të tokës bazuar në kategoritë bazë të përdorimit të tokës, sipas përcaktimeve të kësaj rregulloreje, dhe mundësisë për zhvillim në një rrjet territorial “</w:t>
      </w:r>
      <w:proofErr w:type="spellStart"/>
      <w:r w:rsidRPr="00B67DFC">
        <w:rPr>
          <w:rFonts w:ascii="Garamond" w:hAnsi="Garamond"/>
          <w:lang w:val="sq-AL" w:bidi="en-US"/>
        </w:rPr>
        <w:t>policentrik</w:t>
      </w:r>
      <w:proofErr w:type="spellEnd"/>
      <w:r w:rsidRPr="00B67DFC">
        <w:rPr>
          <w:rFonts w:ascii="Garamond" w:hAnsi="Garamond"/>
          <w:lang w:val="sq-AL" w:bidi="en-US"/>
        </w:rPr>
        <w: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v) identifikimin dhe vlerësimin e potencialit të zhvillimit për zonat e përcaktuara për bujqësi, industri dhe turizëm;</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vi</w:t>
      </w:r>
      <w:proofErr w:type="spellEnd"/>
      <w:r w:rsidRPr="00B67DFC">
        <w:rPr>
          <w:rFonts w:ascii="Garamond" w:hAnsi="Garamond"/>
          <w:lang w:val="sq-AL" w:bidi="en-US"/>
        </w:rPr>
        <w:t>) vlerësimin e mundësive dhe pengesave të zhvillimit territorial përmes analizave dhe metodologjive të ndryshme të përdorura nga hartuesit e planit.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ç) propozimet strategjike të zhvillimit hapësinor të territorit të studiuar, që përcaktojnë drejtimet kryesore të zhvillimit dhe e përkthejnë vizionin e zhvillimit në territor; </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d) plani i propozuar i përdorimit të tokës përmes: </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i) Kategorive të përdorimit të tokës në përputhje me kategoritë bazë të përdorimit të tokës dhe të strukturave në të, sipas kësaj rregulloreje; </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ii</w:t>
      </w:r>
      <w:proofErr w:type="spellEnd"/>
      <w:r w:rsidRPr="00B67DFC">
        <w:rPr>
          <w:rFonts w:ascii="Garamond" w:hAnsi="Garamond"/>
          <w:lang w:val="sq-AL" w:bidi="en-US"/>
        </w:rPr>
        <w:t>) shpërndarjes së zonave të banuara në rrjetin “</w:t>
      </w:r>
      <w:proofErr w:type="spellStart"/>
      <w:r w:rsidRPr="00B67DFC">
        <w:rPr>
          <w:rFonts w:ascii="Garamond" w:hAnsi="Garamond"/>
          <w:lang w:val="sq-AL" w:bidi="en-US"/>
        </w:rPr>
        <w:t>policentrik</w:t>
      </w:r>
      <w:proofErr w:type="spellEnd"/>
      <w:r w:rsidRPr="00B67DFC">
        <w:rPr>
          <w:rFonts w:ascii="Garamond" w:hAnsi="Garamond"/>
          <w:lang w:val="sq-AL" w:bidi="en-US"/>
        </w:rPr>
        <w:t xml:space="preserve">” dhe përcaktimit të varësisë së ndërsjellë mes tyre; </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iii</w:t>
      </w:r>
      <w:proofErr w:type="spellEnd"/>
      <w:r w:rsidRPr="00B67DFC">
        <w:rPr>
          <w:rFonts w:ascii="Garamond" w:hAnsi="Garamond"/>
          <w:lang w:val="sq-AL" w:bidi="en-US"/>
        </w:rPr>
        <w:t>) përcaktimit të zonave të rëndësisë kombëtare sipas përcaktimit të nenit 6 të ligjit nr.10 119 datë 23.4.2009 “Për planifikimin e territorit”;</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lastRenderedPageBreak/>
        <w:t xml:space="preserve"> </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iv</w:t>
      </w:r>
      <w:proofErr w:type="spellEnd"/>
      <w:r w:rsidRPr="00B67DFC">
        <w:rPr>
          <w:rFonts w:ascii="Garamond" w:hAnsi="Garamond"/>
          <w:lang w:val="sq-AL" w:bidi="en-US"/>
        </w:rPr>
        <w:t xml:space="preserve">) orientimit të zonave për plane </w:t>
      </w:r>
      <w:proofErr w:type="spellStart"/>
      <w:r w:rsidRPr="00B67DFC">
        <w:rPr>
          <w:rFonts w:ascii="Garamond" w:hAnsi="Garamond"/>
          <w:lang w:val="sq-AL" w:bidi="en-US"/>
        </w:rPr>
        <w:t>ndërvendore</w:t>
      </w:r>
      <w:proofErr w:type="spellEnd"/>
      <w:r w:rsidRPr="00B67DFC">
        <w:rPr>
          <w:rFonts w:ascii="Garamond" w:hAnsi="Garamond"/>
          <w:lang w:val="sq-AL" w:bidi="en-US"/>
        </w:rPr>
        <w:t xml:space="preserve"> dhe për plane të detajuara vendore në funksion të realizimit të strukturave, nyjave dhe rrjeteve kryesore të infrastrukturave dhe shërbimeve publike dhe të përdorimeve të tjera speciale, bujqësore dhe industriale;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v) orientime për treguesit e zhvillimit në zona specifike, veçanërisht ato që ruhen dhe konservohen, përcaktimin e zonave, të cilave u kufizohet e drejta e zhvillimit dhe të zonave me zhvillim intensiv dhe që, sipas rastit mund të marrin të drejtat e zhvillimit nga zonat e kufizuara; </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vi</w:t>
      </w:r>
      <w:proofErr w:type="spellEnd"/>
      <w:r w:rsidRPr="00B67DFC">
        <w:rPr>
          <w:rFonts w:ascii="Garamond" w:hAnsi="Garamond"/>
          <w:lang w:val="sq-AL" w:bidi="en-US"/>
        </w:rPr>
        <w:t xml:space="preserve">) parashikimin e zonave marrëse dhe dërguese në rast se vendoset të ndërmerret edhe një program transferimi të drejtash zhvillimi sipas përcaktimeve të vendimit të Këshillit të Ministrave “Për miratimin e rregullores uniforme të kontrollit të zhvillimit”. </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dh) plani i propozuar i rrjeteve kryesore të infrastrukturave dhe veçanërisht ai i lëvizjes, transporti, sistemi rrugor kryesor dhe sipas rastit sistemi hekurudhor dhe i transportit ujor; </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e) Vlerësimi strategjik mjedisor sipas legjislacionit të posaçëm në fuqi;</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ë) përcaktimi i zonave, veçanërisht rurale, bujqësore, turistike dhe natyrore, ku zbatohen instrumentet speciale të kontrollit të zhvillimit sipas përcaktimit të neneve 64, 65, 66 dhe 70 të ligjit nr.10 119 datë 23.4.2009 “Për planifikimin e territorit”; </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f) vlerësimi ekonomik dhe financiar për zbatim, fazat e zbatimit, orientimet për hartimin e planeve të përgjithshme vendore, nevoja për ndryshime të rëndësishme administrative dhe ligjore;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g) lista e hartave të shkallës </w:t>
      </w:r>
      <w:proofErr w:type="spellStart"/>
      <w:r w:rsidRPr="00B67DFC">
        <w:rPr>
          <w:rFonts w:ascii="Garamond" w:hAnsi="Garamond"/>
          <w:lang w:val="sq-AL" w:bidi="en-US"/>
        </w:rPr>
        <w:t>minimalisht</w:t>
      </w:r>
      <w:proofErr w:type="spellEnd"/>
      <w:r w:rsidRPr="00B67DFC">
        <w:rPr>
          <w:rFonts w:ascii="Garamond" w:hAnsi="Garamond"/>
          <w:lang w:val="sq-AL" w:bidi="en-US"/>
        </w:rPr>
        <w:t xml:space="preserve"> 1:10,000 dhe maksimalisht 1:250,000, që shoqëron dhe paraqet </w:t>
      </w:r>
      <w:proofErr w:type="spellStart"/>
      <w:r w:rsidRPr="00B67DFC">
        <w:rPr>
          <w:rFonts w:ascii="Garamond" w:hAnsi="Garamond"/>
          <w:lang w:val="sq-AL" w:bidi="en-US"/>
        </w:rPr>
        <w:t>vizualisht</w:t>
      </w:r>
      <w:proofErr w:type="spellEnd"/>
      <w:r w:rsidRPr="00B67DFC">
        <w:rPr>
          <w:rFonts w:ascii="Garamond" w:hAnsi="Garamond"/>
          <w:lang w:val="sq-AL" w:bidi="en-US"/>
        </w:rPr>
        <w:t xml:space="preserve"> çdo proces të përcaktuar në këtë nen;</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gj) përmbledhja e PIP-së për miratim, e cila përmban të paktën:</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i) vizionin strategjik dhe hapësinor të zhvillimit të territorit;</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ii</w:t>
      </w:r>
      <w:proofErr w:type="spellEnd"/>
      <w:r w:rsidRPr="00B67DFC">
        <w:rPr>
          <w:rFonts w:ascii="Garamond" w:hAnsi="Garamond"/>
          <w:lang w:val="sq-AL" w:bidi="en-US"/>
        </w:rPr>
        <w:t>) gjetjet kryesore të analizës;</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iii</w:t>
      </w:r>
      <w:proofErr w:type="spellEnd"/>
      <w:r w:rsidRPr="00B67DFC">
        <w:rPr>
          <w:rFonts w:ascii="Garamond" w:hAnsi="Garamond"/>
          <w:lang w:val="sq-AL" w:bidi="en-US"/>
        </w:rPr>
        <w:t>) një përmbledhje të planit të propozuar të përdorimit të tokës;</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iv</w:t>
      </w:r>
      <w:proofErr w:type="spellEnd"/>
      <w:r w:rsidRPr="00B67DFC">
        <w:rPr>
          <w:rFonts w:ascii="Garamond" w:hAnsi="Garamond"/>
          <w:lang w:val="sq-AL" w:bidi="en-US"/>
        </w:rPr>
        <w:t>) paraqitjen e nyjave, strukturave dhe rrjeteve kryesore të infrastrukturave;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v) vlerësimin strategjik mjedisor;</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vi</w:t>
      </w:r>
      <w:proofErr w:type="spellEnd"/>
      <w:r w:rsidRPr="00B67DFC">
        <w:rPr>
          <w:rFonts w:ascii="Garamond" w:hAnsi="Garamond"/>
          <w:lang w:val="sq-AL" w:bidi="en-US"/>
        </w:rPr>
        <w:t>) vlerësimin ekonomik, financiar, fazat e zbatimit dhe nevoja për ndryshime të rëndësishme administrative dhe ligjore.</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h) rregullorja e PIP-së, e cila përmban:</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i) përmbledhje të koncepteve kryesore të përdorura gjatë hartimit të planit, përkufizime për terminologjinë e përdorur, shpjegim të sistemit të kodimit të përdorur në përputhje me këtë rregullore; </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ii</w:t>
      </w:r>
      <w:proofErr w:type="spellEnd"/>
      <w:r w:rsidRPr="00B67DFC">
        <w:rPr>
          <w:rFonts w:ascii="Garamond" w:hAnsi="Garamond"/>
          <w:lang w:val="sq-AL" w:bidi="en-US"/>
        </w:rPr>
        <w:t xml:space="preserve">) orientime për rregulloret e planifikimit që do të hartohen nga autoritetet vendore të planifikimit, duke udhëzuar </w:t>
      </w:r>
      <w:proofErr w:type="spellStart"/>
      <w:r w:rsidRPr="00B67DFC">
        <w:rPr>
          <w:rFonts w:ascii="Garamond" w:hAnsi="Garamond"/>
          <w:lang w:val="sq-AL" w:bidi="en-US"/>
        </w:rPr>
        <w:t>specifikisht</w:t>
      </w:r>
      <w:proofErr w:type="spellEnd"/>
      <w:r w:rsidRPr="00B67DFC">
        <w:rPr>
          <w:rFonts w:ascii="Garamond" w:hAnsi="Garamond"/>
          <w:lang w:val="sq-AL" w:bidi="en-US"/>
        </w:rPr>
        <w:t xml:space="preserve"> për çdo element të rregulloreve të planifikimit sipas përcaktimit të nenit 22 të ligjit nr.10 119, datë 23.4.2009 “Për planifikimin e territorit”, dhe sipas përcaktimit të kësaj rregulloreje për rregulloren e planifikimit të PPV-së; </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iii</w:t>
      </w:r>
      <w:proofErr w:type="spellEnd"/>
      <w:r w:rsidRPr="00B67DFC">
        <w:rPr>
          <w:rFonts w:ascii="Garamond" w:hAnsi="Garamond"/>
          <w:lang w:val="sq-AL" w:bidi="en-US"/>
        </w:rPr>
        <w:t xml:space="preserve">) përcaktimin e standardeve dhe rregullave për hartimin dhe zbatimin e projekteve dhe planeve të detajuara vendore nëse PIP-ja propozon të tilla; </w:t>
      </w:r>
    </w:p>
    <w:p w:rsidR="00F020CC" w:rsidRPr="00B67DFC" w:rsidRDefault="00F020CC" w:rsidP="00F020CC">
      <w:pPr>
        <w:widowControl w:val="0"/>
        <w:ind w:firstLine="720"/>
        <w:jc w:val="both"/>
        <w:rPr>
          <w:rFonts w:ascii="Garamond" w:hAnsi="Garamond"/>
          <w:lang w:val="sq-AL" w:bidi="en-US"/>
        </w:rPr>
      </w:pPr>
      <w:proofErr w:type="spellStart"/>
      <w:r w:rsidRPr="00B67DFC">
        <w:rPr>
          <w:rFonts w:ascii="Garamond" w:hAnsi="Garamond"/>
          <w:lang w:val="sq-AL" w:bidi="en-US"/>
        </w:rPr>
        <w:t>iv</w:t>
      </w:r>
      <w:proofErr w:type="spellEnd"/>
      <w:r w:rsidRPr="00B67DFC">
        <w:rPr>
          <w:rFonts w:ascii="Garamond" w:hAnsi="Garamond"/>
          <w:lang w:val="sq-AL" w:bidi="en-US"/>
        </w:rPr>
        <w:t>) përcaktimi i standardeve dhe rregullave për zbatimin e instrumenteve speciale të kontrollit të zhvillimit;</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v) përcaktimin e standardeve kufizuese minimale për çështje të rëndësisë kombëtare të përcaktuara në nenin 6 të ligjit nr.10 119 datë 23.4.2009 “Për planifikimin e territorit”, sipas përcaktimeve të legjislacionit të posaçëm në fuqi</w:t>
      </w:r>
      <w:r w:rsidR="00D74EF3" w:rsidRPr="00B67DFC">
        <w:rPr>
          <w:rFonts w:ascii="Garamond" w:hAnsi="Garamond"/>
          <w:lang w:val="sq-AL" w:bidi="en-US"/>
        </w:rPr>
        <w:t>.</w:t>
      </w:r>
    </w:p>
    <w:p w:rsidR="006909CF" w:rsidRPr="00B67DFC" w:rsidRDefault="006909CF" w:rsidP="00D74EF3">
      <w:pPr>
        <w:widowControl w:val="0"/>
        <w:jc w:val="center"/>
        <w:outlineLvl w:val="0"/>
        <w:rPr>
          <w:rFonts w:ascii="Garamond" w:eastAsia="MS Mincho" w:hAnsi="Garamond" w:cs="CG Times"/>
          <w:caps/>
          <w:lang w:val="sq-AL"/>
        </w:rPr>
      </w:pPr>
    </w:p>
    <w:p w:rsidR="006909CF" w:rsidRPr="00B67DFC" w:rsidRDefault="006909CF" w:rsidP="00D74EF3">
      <w:pPr>
        <w:widowControl w:val="0"/>
        <w:jc w:val="center"/>
        <w:outlineLvl w:val="0"/>
        <w:rPr>
          <w:rFonts w:ascii="Garamond" w:eastAsia="MS Mincho" w:hAnsi="Garamond" w:cs="CG Times"/>
          <w:caps/>
          <w:lang w:val="sq-AL"/>
        </w:rPr>
      </w:pPr>
    </w:p>
    <w:p w:rsidR="006909CF" w:rsidRPr="00B67DFC" w:rsidRDefault="006909CF" w:rsidP="00D74EF3">
      <w:pPr>
        <w:widowControl w:val="0"/>
        <w:jc w:val="center"/>
        <w:outlineLvl w:val="0"/>
        <w:rPr>
          <w:rFonts w:ascii="Garamond" w:eastAsia="MS Mincho" w:hAnsi="Garamond" w:cs="CG Times"/>
          <w:caps/>
          <w:lang w:val="sq-AL"/>
        </w:rPr>
      </w:pPr>
    </w:p>
    <w:p w:rsidR="00D74EF3" w:rsidRPr="00B67DFC" w:rsidRDefault="00D74EF3" w:rsidP="00D74EF3">
      <w:pPr>
        <w:widowControl w:val="0"/>
        <w:jc w:val="center"/>
        <w:outlineLvl w:val="0"/>
        <w:rPr>
          <w:rFonts w:ascii="Garamond" w:eastAsia="MS Mincho" w:hAnsi="Garamond" w:cs="CG Times"/>
          <w:caps/>
          <w:lang w:val="sq-AL"/>
        </w:rPr>
      </w:pPr>
      <w:r w:rsidRPr="00B67DFC">
        <w:rPr>
          <w:rFonts w:ascii="Garamond" w:eastAsia="MS Mincho" w:hAnsi="Garamond" w:cs="CG Times"/>
          <w:caps/>
          <w:lang w:val="sq-AL"/>
        </w:rPr>
        <w:lastRenderedPageBreak/>
        <w:t>KREU V/I</w:t>
      </w:r>
    </w:p>
    <w:p w:rsidR="00D74EF3" w:rsidRPr="00B67DFC" w:rsidRDefault="00D74EF3" w:rsidP="00D74EF3">
      <w:pPr>
        <w:widowControl w:val="0"/>
        <w:jc w:val="center"/>
        <w:outlineLvl w:val="0"/>
        <w:rPr>
          <w:rFonts w:ascii="Garamond" w:eastAsia="MS Mincho" w:hAnsi="Garamond" w:cs="CG Times"/>
          <w:caps/>
          <w:lang w:val="sq-AL"/>
        </w:rPr>
      </w:pPr>
      <w:r w:rsidRPr="00B67DFC">
        <w:rPr>
          <w:rFonts w:ascii="Garamond" w:eastAsia="MS Mincho" w:hAnsi="Garamond" w:cs="CG Times"/>
          <w:caps/>
          <w:lang w:val="sq-AL"/>
        </w:rPr>
        <w:t>STANDARDE ORIENTUESE, TREGUES PLANIFIKIMI DHE KUSHTËZIME TË DETYRUESHME SEKTORIALE</w:t>
      </w:r>
    </w:p>
    <w:p w:rsidR="006909CF" w:rsidRPr="00B67DFC" w:rsidRDefault="006909CF" w:rsidP="00D74EF3">
      <w:pPr>
        <w:widowControl w:val="0"/>
        <w:jc w:val="center"/>
        <w:outlineLvl w:val="0"/>
        <w:rPr>
          <w:rFonts w:ascii="Garamond" w:eastAsia="MS Mincho" w:hAnsi="Garamond" w:cs="CG Times"/>
          <w:caps/>
          <w:lang w:val="sq-AL"/>
        </w:rPr>
      </w:pPr>
      <w:r w:rsidRPr="00B67DFC">
        <w:rPr>
          <w:rFonts w:ascii="Garamond" w:eastAsia="MS Mincho" w:hAnsi="Garamond" w:cs="CG Times"/>
          <w:lang w:val="sq-AL"/>
        </w:rPr>
        <w:t>(Shtuar me VKM nr. 312, datë 13.3.2013)</w:t>
      </w:r>
    </w:p>
    <w:p w:rsidR="00D74EF3" w:rsidRPr="00B67DFC" w:rsidRDefault="00D74EF3" w:rsidP="00D74EF3">
      <w:pPr>
        <w:widowControl w:val="0"/>
        <w:jc w:val="center"/>
        <w:outlineLvl w:val="0"/>
        <w:rPr>
          <w:rFonts w:ascii="Garamond" w:eastAsia="MS Mincho" w:hAnsi="Garamond" w:cs="CG Times"/>
          <w:caps/>
          <w:lang w:val="sq-AL"/>
        </w:rPr>
      </w:pPr>
    </w:p>
    <w:p w:rsidR="00D74EF3" w:rsidRPr="00B67DFC" w:rsidRDefault="00D74EF3" w:rsidP="00D74EF3">
      <w:pPr>
        <w:widowControl w:val="0"/>
        <w:jc w:val="center"/>
        <w:outlineLvl w:val="0"/>
        <w:rPr>
          <w:rFonts w:ascii="Garamond" w:eastAsia="MS Mincho" w:hAnsi="Garamond" w:cs="CG Times"/>
          <w:caps/>
          <w:lang w:val="sq-AL"/>
        </w:rPr>
      </w:pPr>
      <w:r w:rsidRPr="00B67DFC">
        <w:rPr>
          <w:rFonts w:ascii="Garamond" w:eastAsia="MS Mincho" w:hAnsi="Garamond" w:cs="CG Times"/>
          <w:caps/>
          <w:lang w:val="sq-AL"/>
        </w:rPr>
        <w:t>SEKSIONI 1</w:t>
      </w:r>
    </w:p>
    <w:p w:rsidR="00D74EF3" w:rsidRPr="00B67DFC" w:rsidRDefault="00D74EF3" w:rsidP="00D74EF3">
      <w:pPr>
        <w:widowControl w:val="0"/>
        <w:jc w:val="center"/>
        <w:outlineLvl w:val="0"/>
        <w:rPr>
          <w:rFonts w:ascii="Garamond" w:eastAsia="MS Mincho" w:hAnsi="Garamond" w:cs="CG Times"/>
          <w:caps/>
          <w:lang w:val="sq-AL"/>
        </w:rPr>
      </w:pPr>
      <w:r w:rsidRPr="00B67DFC">
        <w:rPr>
          <w:rFonts w:ascii="Garamond" w:eastAsia="MS Mincho" w:hAnsi="Garamond" w:cs="CG Times"/>
          <w:caps/>
          <w:lang w:val="sq-AL"/>
        </w:rPr>
        <w:t>STANDARDE ORIENTUESE DHE TREGUES PLANIFIKIMI</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jc w:val="center"/>
        <w:rPr>
          <w:rFonts w:ascii="Garamond" w:eastAsia="MS Mincho" w:hAnsi="Garamond" w:cs="CG Times"/>
          <w:lang w:val="sq-AL"/>
        </w:rPr>
      </w:pPr>
      <w:r w:rsidRPr="00B67DFC">
        <w:rPr>
          <w:rFonts w:ascii="Garamond" w:eastAsia="MS Mincho" w:hAnsi="Garamond" w:cs="CG Times"/>
          <w:lang w:val="sq-AL"/>
        </w:rPr>
        <w:t>Neni 35/1</w:t>
      </w:r>
    </w:p>
    <w:p w:rsidR="00D74EF3" w:rsidRPr="00B67DFC" w:rsidRDefault="00D74EF3" w:rsidP="00D74EF3">
      <w:pPr>
        <w:widowControl w:val="0"/>
        <w:jc w:val="center"/>
        <w:outlineLvl w:val="2"/>
        <w:rPr>
          <w:rFonts w:ascii="Garamond" w:eastAsia="MS Mincho" w:hAnsi="Garamond" w:cs="CG Times"/>
          <w:b/>
          <w:bCs/>
          <w:lang w:val="sq-AL"/>
        </w:rPr>
      </w:pPr>
      <w:r w:rsidRPr="00B67DFC">
        <w:rPr>
          <w:rFonts w:ascii="Garamond" w:eastAsia="MS Mincho" w:hAnsi="Garamond" w:cs="CG Times"/>
          <w:b/>
          <w:bCs/>
          <w:lang w:val="sq-AL"/>
        </w:rPr>
        <w:t>Rregullat në planifikim territori dhe projektim urban</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1. Standardet e planifikimit të territorit dhe projektimit urban janë orientuese për t’u zbatuar nga specialistët, ekspertët, entet dhe subjektet e planifikimit dhe projektimit urban, për çdo instrument planifikimi dhe zhvillimi të hartuar në Republikën e Shqipërisë.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2. Rregullat, kushtet dhe standardet ndryshojnë sipas karakterit ekzistues dhe të propozuar të zonës që studiohet, në lidhje me përdorimin e tokës, tipat e strukturave, tipologjitë hapësinore, funksionet, aktivitetet dhe me kushte specifike të vendosura nga dispozitat ligjore dhe politikat sektoriale në fuqi.</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3. Rregullat, kushtet dhe standardet sipas këtij kreu janë të përdorshme njëkohësisht dhe së bashku në një proces planifikimi dhe/ose projektimi. Një planifikues apo projektues duhet t’i vlerësojë këto rregulla, kushte dhe standarde, para se të japë zgjidhjen përfundimtare, si dhe duhet t’i referojë ato në instrumentin e hartuar. </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jc w:val="center"/>
        <w:rPr>
          <w:rFonts w:ascii="Garamond" w:eastAsia="MS Mincho" w:hAnsi="Garamond" w:cs="CG Times"/>
          <w:lang w:val="sq-AL"/>
        </w:rPr>
      </w:pPr>
      <w:r w:rsidRPr="00B67DFC">
        <w:rPr>
          <w:rFonts w:ascii="Garamond" w:eastAsia="MS Mincho" w:hAnsi="Garamond" w:cs="CG Times"/>
          <w:lang w:val="sq-AL"/>
        </w:rPr>
        <w:t>Neni 35/2</w:t>
      </w:r>
    </w:p>
    <w:p w:rsidR="00D74EF3" w:rsidRPr="00B67DFC" w:rsidRDefault="00D74EF3" w:rsidP="00D74EF3">
      <w:pPr>
        <w:widowControl w:val="0"/>
        <w:jc w:val="center"/>
        <w:outlineLvl w:val="2"/>
        <w:rPr>
          <w:rFonts w:ascii="Garamond" w:eastAsia="MS Mincho" w:hAnsi="Garamond" w:cs="CG Times"/>
          <w:b/>
          <w:bCs/>
          <w:lang w:val="sq-AL"/>
        </w:rPr>
      </w:pPr>
      <w:r w:rsidRPr="00B67DFC">
        <w:rPr>
          <w:rFonts w:ascii="Garamond" w:eastAsia="MS Mincho" w:hAnsi="Garamond" w:cs="CG Times"/>
          <w:b/>
          <w:bCs/>
          <w:lang w:val="sq-AL"/>
        </w:rPr>
        <w:t>Njësitë strukturore të zonave të banimit</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1. Zonat e banimit janë të organizuara në njësi strukturore dhe </w:t>
      </w:r>
      <w:proofErr w:type="spellStart"/>
      <w:r w:rsidRPr="00B67DFC">
        <w:rPr>
          <w:rFonts w:ascii="Garamond" w:eastAsia="MS Mincho" w:hAnsi="Garamond" w:cs="CG Times"/>
          <w:lang w:val="sq-AL"/>
        </w:rPr>
        <w:t>nënnjësi</w:t>
      </w:r>
      <w:proofErr w:type="spellEnd"/>
      <w:r w:rsidRPr="00B67DFC">
        <w:rPr>
          <w:rFonts w:ascii="Garamond" w:eastAsia="MS Mincho" w:hAnsi="Garamond" w:cs="CG Times"/>
          <w:lang w:val="sq-AL"/>
        </w:rPr>
        <w:t xml:space="preserve"> strukturore. </w:t>
      </w:r>
      <w:proofErr w:type="spellStart"/>
      <w:r w:rsidRPr="00B67DFC">
        <w:rPr>
          <w:rFonts w:ascii="Garamond" w:eastAsia="MS Mincho" w:hAnsi="Garamond" w:cs="CG Times"/>
          <w:lang w:val="sq-AL"/>
        </w:rPr>
        <w:t>Nënnjësia</w:t>
      </w:r>
      <w:proofErr w:type="spellEnd"/>
      <w:r w:rsidRPr="00B67DFC">
        <w:rPr>
          <w:rFonts w:ascii="Garamond" w:eastAsia="MS Mincho" w:hAnsi="Garamond" w:cs="CG Times"/>
          <w:lang w:val="sq-AL"/>
        </w:rPr>
        <w:t xml:space="preserve"> strukturore është njësia më e vogël. Bashkimi i disa </w:t>
      </w:r>
      <w:proofErr w:type="spellStart"/>
      <w:r w:rsidRPr="00B67DFC">
        <w:rPr>
          <w:rFonts w:ascii="Garamond" w:eastAsia="MS Mincho" w:hAnsi="Garamond" w:cs="CG Times"/>
          <w:lang w:val="sq-AL"/>
        </w:rPr>
        <w:t>nënnjësive</w:t>
      </w:r>
      <w:proofErr w:type="spellEnd"/>
      <w:r w:rsidRPr="00B67DFC">
        <w:rPr>
          <w:rFonts w:ascii="Garamond" w:eastAsia="MS Mincho" w:hAnsi="Garamond" w:cs="CG Times"/>
          <w:lang w:val="sq-AL"/>
        </w:rPr>
        <w:t xml:space="preserve"> formon njësitë strukturore.</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2. Elementet përbërëse të zonave të banimit janë:</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a) terrene banimi;</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b) terrene shoqërore;</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c) terrene të gjelbëruara;</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ç) terrene sportive;</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d) rrugë dhe sheshe.</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3. Në qendra të banuara me mbi 10.000 banorë, njësitë strukturore janë të organizuara në: i) grup banimi; </w:t>
      </w:r>
      <w:proofErr w:type="spellStart"/>
      <w:r w:rsidRPr="00B67DFC">
        <w:rPr>
          <w:rFonts w:ascii="Garamond" w:eastAsia="MS Mincho" w:hAnsi="Garamond" w:cs="CG Times"/>
          <w:lang w:val="sq-AL"/>
        </w:rPr>
        <w:t>ii</w:t>
      </w:r>
      <w:proofErr w:type="spellEnd"/>
      <w:r w:rsidRPr="00B67DFC">
        <w:rPr>
          <w:rFonts w:ascii="Garamond" w:eastAsia="MS Mincho" w:hAnsi="Garamond" w:cs="CG Times"/>
          <w:lang w:val="sq-AL"/>
        </w:rPr>
        <w:t xml:space="preserve">) në bllok banimi; </w:t>
      </w:r>
      <w:proofErr w:type="spellStart"/>
      <w:r w:rsidRPr="00B67DFC">
        <w:rPr>
          <w:rFonts w:ascii="Garamond" w:eastAsia="MS Mincho" w:hAnsi="Garamond" w:cs="CG Times"/>
          <w:lang w:val="sq-AL"/>
        </w:rPr>
        <w:t>iii</w:t>
      </w:r>
      <w:proofErr w:type="spellEnd"/>
      <w:r w:rsidRPr="00B67DFC">
        <w:rPr>
          <w:rFonts w:ascii="Garamond" w:eastAsia="MS Mincho" w:hAnsi="Garamond" w:cs="CG Times"/>
          <w:lang w:val="sq-AL"/>
        </w:rPr>
        <w:t xml:space="preserve">) kompleks banimi; </w:t>
      </w:r>
      <w:proofErr w:type="spellStart"/>
      <w:r w:rsidRPr="00B67DFC">
        <w:rPr>
          <w:rFonts w:ascii="Garamond" w:eastAsia="MS Mincho" w:hAnsi="Garamond" w:cs="CG Times"/>
          <w:lang w:val="sq-AL"/>
        </w:rPr>
        <w:t>iv</w:t>
      </w:r>
      <w:proofErr w:type="spellEnd"/>
      <w:r w:rsidRPr="00B67DFC">
        <w:rPr>
          <w:rFonts w:ascii="Garamond" w:eastAsia="MS Mincho" w:hAnsi="Garamond" w:cs="CG Times"/>
          <w:lang w:val="sq-AL"/>
        </w:rPr>
        <w:t>) lagje banimi.</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4. Grupi i banimit është </w:t>
      </w:r>
      <w:proofErr w:type="spellStart"/>
      <w:r w:rsidRPr="00B67DFC">
        <w:rPr>
          <w:rFonts w:ascii="Garamond" w:eastAsia="MS Mincho" w:hAnsi="Garamond" w:cs="CG Times"/>
          <w:lang w:val="sq-AL"/>
        </w:rPr>
        <w:t>nënnjësia</w:t>
      </w:r>
      <w:proofErr w:type="spellEnd"/>
      <w:r w:rsidRPr="00B67DFC">
        <w:rPr>
          <w:rFonts w:ascii="Garamond" w:eastAsia="MS Mincho" w:hAnsi="Garamond" w:cs="CG Times"/>
          <w:lang w:val="sq-AL"/>
        </w:rPr>
        <w:t xml:space="preserve"> më e vogël strukturore me </w:t>
      </w:r>
      <w:proofErr w:type="spellStart"/>
      <w:r w:rsidRPr="00B67DFC">
        <w:rPr>
          <w:rFonts w:ascii="Garamond" w:eastAsia="MS Mincho" w:hAnsi="Garamond" w:cs="CG Times"/>
          <w:lang w:val="sq-AL"/>
        </w:rPr>
        <w:t>popullësi</w:t>
      </w:r>
      <w:proofErr w:type="spellEnd"/>
      <w:r w:rsidRPr="00B67DFC">
        <w:rPr>
          <w:rFonts w:ascii="Garamond" w:eastAsia="MS Mincho" w:hAnsi="Garamond" w:cs="CG Times"/>
          <w:lang w:val="sq-AL"/>
        </w:rPr>
        <w:t xml:space="preserve"> 1 000 banorë dhe me sipërfaqe 1,5 ha për ndërtime </w:t>
      </w:r>
      <w:proofErr w:type="spellStart"/>
      <w:r w:rsidRPr="00B67DFC">
        <w:rPr>
          <w:rFonts w:ascii="Garamond" w:eastAsia="MS Mincho" w:hAnsi="Garamond" w:cs="CG Times"/>
          <w:lang w:val="sq-AL"/>
        </w:rPr>
        <w:t>shumëfamiljare</w:t>
      </w:r>
      <w:proofErr w:type="spellEnd"/>
      <w:r w:rsidRPr="00B67DFC">
        <w:rPr>
          <w:rFonts w:ascii="Garamond" w:eastAsia="MS Mincho" w:hAnsi="Garamond" w:cs="CG Times"/>
          <w:lang w:val="sq-AL"/>
        </w:rPr>
        <w:t xml:space="preserve"> dhe sipërfaqe deri në 5 ha për ndërtime </w:t>
      </w:r>
      <w:proofErr w:type="spellStart"/>
      <w:r w:rsidRPr="00B67DFC">
        <w:rPr>
          <w:rFonts w:ascii="Garamond" w:eastAsia="MS Mincho" w:hAnsi="Garamond" w:cs="CG Times"/>
          <w:lang w:val="sq-AL"/>
        </w:rPr>
        <w:t>njëfamiljare</w:t>
      </w:r>
      <w:proofErr w:type="spellEnd"/>
      <w:r w:rsidRPr="00B67DFC">
        <w:rPr>
          <w:rFonts w:ascii="Garamond" w:eastAsia="MS Mincho" w:hAnsi="Garamond" w:cs="CG Times"/>
          <w:lang w:val="sq-AL"/>
        </w:rPr>
        <w:t xml:space="preserve">. Grupi i banimit ka në përbërje të tij: i) territor banimi; </w:t>
      </w:r>
      <w:proofErr w:type="spellStart"/>
      <w:r w:rsidRPr="00B67DFC">
        <w:rPr>
          <w:rFonts w:ascii="Garamond" w:eastAsia="MS Mincho" w:hAnsi="Garamond" w:cs="CG Times"/>
          <w:lang w:val="sq-AL"/>
        </w:rPr>
        <w:t>ii</w:t>
      </w:r>
      <w:proofErr w:type="spellEnd"/>
      <w:r w:rsidRPr="00B67DFC">
        <w:rPr>
          <w:rFonts w:ascii="Garamond" w:eastAsia="MS Mincho" w:hAnsi="Garamond" w:cs="CG Times"/>
          <w:lang w:val="sq-AL"/>
        </w:rPr>
        <w:t xml:space="preserve">) sipërfaqe të lirë; </w:t>
      </w:r>
      <w:proofErr w:type="spellStart"/>
      <w:r w:rsidRPr="00B67DFC">
        <w:rPr>
          <w:rFonts w:ascii="Garamond" w:eastAsia="MS Mincho" w:hAnsi="Garamond" w:cs="CG Times"/>
          <w:lang w:val="sq-AL"/>
        </w:rPr>
        <w:t>iii</w:t>
      </w:r>
      <w:proofErr w:type="spellEnd"/>
      <w:r w:rsidRPr="00B67DFC">
        <w:rPr>
          <w:rFonts w:ascii="Garamond" w:eastAsia="MS Mincho" w:hAnsi="Garamond" w:cs="CG Times"/>
          <w:lang w:val="sq-AL"/>
        </w:rPr>
        <w:t>) sheshe lojërash për fëmijë.</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5. Blloku i banimit është njësia strukturore që përbëhet nga 3 (tre) deri në 4 (katër) grupe banimi me popullsi 3 000 deri në 4 000 banorë, me sipërfaqe 6 deri në 8 ha për ndërtime </w:t>
      </w:r>
      <w:proofErr w:type="spellStart"/>
      <w:r w:rsidRPr="00B67DFC">
        <w:rPr>
          <w:rFonts w:ascii="Garamond" w:eastAsia="MS Mincho" w:hAnsi="Garamond" w:cs="CG Times"/>
          <w:lang w:val="sq-AL"/>
        </w:rPr>
        <w:t>shumëfamiljare</w:t>
      </w:r>
      <w:proofErr w:type="spellEnd"/>
      <w:r w:rsidRPr="00B67DFC">
        <w:rPr>
          <w:rFonts w:ascii="Garamond" w:eastAsia="MS Mincho" w:hAnsi="Garamond" w:cs="CG Times"/>
          <w:lang w:val="sq-AL"/>
        </w:rPr>
        <w:t xml:space="preserve"> dhe 30 ha për ndërtime </w:t>
      </w:r>
      <w:proofErr w:type="spellStart"/>
      <w:r w:rsidRPr="00B67DFC">
        <w:rPr>
          <w:rFonts w:ascii="Garamond" w:eastAsia="MS Mincho" w:hAnsi="Garamond" w:cs="CG Times"/>
          <w:lang w:val="sq-AL"/>
        </w:rPr>
        <w:t>njëfamiljare</w:t>
      </w:r>
      <w:proofErr w:type="spellEnd"/>
      <w:r w:rsidRPr="00B67DFC">
        <w:rPr>
          <w:rFonts w:ascii="Garamond" w:eastAsia="MS Mincho" w:hAnsi="Garamond" w:cs="CG Times"/>
          <w:lang w:val="sq-AL"/>
        </w:rPr>
        <w:t xml:space="preserve">. Blloku i banimit ka në përbërje të tij: i) territore banimi; </w:t>
      </w:r>
      <w:proofErr w:type="spellStart"/>
      <w:r w:rsidRPr="00B67DFC">
        <w:rPr>
          <w:rFonts w:ascii="Garamond" w:eastAsia="MS Mincho" w:hAnsi="Garamond" w:cs="CG Times"/>
          <w:lang w:val="sq-AL"/>
        </w:rPr>
        <w:t>ii</w:t>
      </w:r>
      <w:proofErr w:type="spellEnd"/>
      <w:r w:rsidRPr="00B67DFC">
        <w:rPr>
          <w:rFonts w:ascii="Garamond" w:eastAsia="MS Mincho" w:hAnsi="Garamond" w:cs="CG Times"/>
          <w:lang w:val="sq-AL"/>
        </w:rPr>
        <w:t xml:space="preserve">) sheshe lojërash për fëmijë; </w:t>
      </w:r>
      <w:proofErr w:type="spellStart"/>
      <w:r w:rsidRPr="00B67DFC">
        <w:rPr>
          <w:rFonts w:ascii="Garamond" w:eastAsia="MS Mincho" w:hAnsi="Garamond" w:cs="CG Times"/>
          <w:lang w:val="sq-AL"/>
        </w:rPr>
        <w:t>iii</w:t>
      </w:r>
      <w:proofErr w:type="spellEnd"/>
      <w:r w:rsidRPr="00B67DFC">
        <w:rPr>
          <w:rFonts w:ascii="Garamond" w:eastAsia="MS Mincho" w:hAnsi="Garamond" w:cs="CG Times"/>
          <w:lang w:val="sq-AL"/>
        </w:rPr>
        <w:t xml:space="preserve">) terrene për objekte shoqërore; </w:t>
      </w:r>
      <w:proofErr w:type="spellStart"/>
      <w:r w:rsidRPr="00B67DFC">
        <w:rPr>
          <w:rFonts w:ascii="Garamond" w:eastAsia="MS Mincho" w:hAnsi="Garamond" w:cs="CG Times"/>
          <w:lang w:val="sq-AL"/>
        </w:rPr>
        <w:t>iv</w:t>
      </w:r>
      <w:proofErr w:type="spellEnd"/>
      <w:r w:rsidRPr="00B67DFC">
        <w:rPr>
          <w:rFonts w:ascii="Garamond" w:eastAsia="MS Mincho" w:hAnsi="Garamond" w:cs="CG Times"/>
          <w:lang w:val="sq-AL"/>
        </w:rPr>
        <w:t>) terrene sportive; v) rrugë dhe sheshe.</w:t>
      </w:r>
    </w:p>
    <w:p w:rsidR="00D74EF3" w:rsidRPr="00B67DFC" w:rsidRDefault="00D74EF3" w:rsidP="006909CF">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6. Kompleksi i banimit është njësia urbanistike, që përbëhet nga disa blloqe banimi me popullsi 6 000 deri në 8 000 banorë dhe sipërfaqe 16 deri në 20 ha për ndërtime </w:t>
      </w:r>
      <w:proofErr w:type="spellStart"/>
      <w:r w:rsidRPr="00B67DFC">
        <w:rPr>
          <w:rFonts w:ascii="Garamond" w:eastAsia="MS Mincho" w:hAnsi="Garamond" w:cs="CG Times"/>
          <w:lang w:val="sq-AL"/>
        </w:rPr>
        <w:lastRenderedPageBreak/>
        <w:t>shumëfamiljare</w:t>
      </w:r>
      <w:proofErr w:type="spellEnd"/>
      <w:r w:rsidRPr="00B67DFC">
        <w:rPr>
          <w:rFonts w:ascii="Garamond" w:eastAsia="MS Mincho" w:hAnsi="Garamond" w:cs="CG Times"/>
          <w:lang w:val="sq-AL"/>
        </w:rPr>
        <w:t>. Kompleksi i banimit ka në përbërje të gjitha elementet e bllokut të banimit. Përbërjes së kompleksit i shtohet shkolla 9-vjeçare.</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7. Lagja e banimit është njësia urbanistike, që përbëhet nga disa komplekse banimi me popullsi 20 000 deri në 30 000 banorë dhe sipërfaqe 45 deri në 60 ha për ndërtime </w:t>
      </w:r>
      <w:proofErr w:type="spellStart"/>
      <w:r w:rsidRPr="00B67DFC">
        <w:rPr>
          <w:rFonts w:ascii="Garamond" w:eastAsia="MS Mincho" w:hAnsi="Garamond" w:cs="CG Times"/>
          <w:lang w:val="sq-AL"/>
        </w:rPr>
        <w:t>shumëfamiljare</w:t>
      </w:r>
      <w:proofErr w:type="spellEnd"/>
      <w:r w:rsidRPr="00B67DFC">
        <w:rPr>
          <w:rFonts w:ascii="Garamond" w:eastAsia="MS Mincho" w:hAnsi="Garamond" w:cs="CG Times"/>
          <w:lang w:val="sq-AL"/>
        </w:rPr>
        <w:t>. Lagjja e banimit ka në përbërje të gjitha elementet e kompleksit të banimit. Përbërjes së kompleksit i shtohet poliklinika dhe shërbimet administrative.</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jc w:val="center"/>
        <w:rPr>
          <w:rFonts w:ascii="Garamond" w:eastAsia="MS Mincho" w:hAnsi="Garamond" w:cs="CG Times"/>
          <w:lang w:val="sq-AL"/>
        </w:rPr>
      </w:pPr>
      <w:r w:rsidRPr="00B67DFC">
        <w:rPr>
          <w:rFonts w:ascii="Garamond" w:eastAsia="MS Mincho" w:hAnsi="Garamond" w:cs="CG Times"/>
          <w:lang w:val="sq-AL"/>
        </w:rPr>
        <w:t>Neni 35/3</w:t>
      </w:r>
    </w:p>
    <w:p w:rsidR="00D74EF3" w:rsidRPr="00B67DFC" w:rsidRDefault="00D74EF3" w:rsidP="00D74EF3">
      <w:pPr>
        <w:widowControl w:val="0"/>
        <w:jc w:val="center"/>
        <w:outlineLvl w:val="2"/>
        <w:rPr>
          <w:rFonts w:ascii="Garamond" w:eastAsia="MS Mincho" w:hAnsi="Garamond" w:cs="CG Times"/>
          <w:b/>
          <w:bCs/>
          <w:lang w:val="sq-AL"/>
        </w:rPr>
      </w:pPr>
      <w:r w:rsidRPr="00B67DFC">
        <w:rPr>
          <w:rFonts w:ascii="Garamond" w:eastAsia="MS Mincho" w:hAnsi="Garamond" w:cs="CG Times"/>
          <w:b/>
          <w:bCs/>
          <w:lang w:val="sq-AL"/>
        </w:rPr>
        <w:t xml:space="preserve">Standardet për zonat, njësitë dhe </w:t>
      </w:r>
      <w:proofErr w:type="spellStart"/>
      <w:r w:rsidRPr="00B67DFC">
        <w:rPr>
          <w:rFonts w:ascii="Garamond" w:eastAsia="MS Mincho" w:hAnsi="Garamond" w:cs="CG Times"/>
          <w:b/>
          <w:bCs/>
          <w:lang w:val="sq-AL"/>
        </w:rPr>
        <w:t>nënnjësitë</w:t>
      </w:r>
      <w:proofErr w:type="spellEnd"/>
      <w:r w:rsidRPr="00B67DFC">
        <w:rPr>
          <w:rFonts w:ascii="Garamond" w:eastAsia="MS Mincho" w:hAnsi="Garamond" w:cs="CG Times"/>
          <w:b/>
          <w:bCs/>
          <w:lang w:val="sq-AL"/>
        </w:rPr>
        <w:t xml:space="preserve"> strukturore të banimit</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1. Standardet për zonat e banimit jepen për njësi strukturore, </w:t>
      </w:r>
      <w:proofErr w:type="spellStart"/>
      <w:r w:rsidRPr="00B67DFC">
        <w:rPr>
          <w:rFonts w:ascii="Garamond" w:eastAsia="MS Mincho" w:hAnsi="Garamond" w:cs="CG Times"/>
          <w:lang w:val="sq-AL"/>
        </w:rPr>
        <w:t>nënnjësi</w:t>
      </w:r>
      <w:proofErr w:type="spellEnd"/>
      <w:r w:rsidRPr="00B67DFC">
        <w:rPr>
          <w:rFonts w:ascii="Garamond" w:eastAsia="MS Mincho" w:hAnsi="Garamond" w:cs="CG Times"/>
          <w:lang w:val="sq-AL"/>
        </w:rPr>
        <w:t xml:space="preserve"> strukturore dhe/ose zona me prioritet zhvillimi, të gjitha me përdorim homogjen banimi ose me përqindjen më të lartë të përdorimit të tokës për banim, sipas përcaktimeve të kësaj rregulloreje për përdorimin e tokës dhe të strukturave në të për kategorinë A “Banim”. Këto standarde ndryshojnë sipas qendrave të banuara, të kategorizuara në varësi të popullsisë sipas dy grupeve kryesore deri në 10 000 banorë dhe mbi 10 000 banorë.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2. Standardet e dhëna në shkronjën “a” të pikës 5 të këtij neni, përcaktohen për dy grupet e referuara në pikën 1 të këtij neni dhe për grupin mbi 100 000 banorë.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3. Zonat e banimit planifikohen dhe projektohen, në mënyrë që të sigurojnë kushte jetese të shëndetshme për popullsinë, duke vlerësuar për çdo rast:</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a) </w:t>
      </w:r>
      <w:proofErr w:type="spellStart"/>
      <w:r w:rsidRPr="00B67DFC">
        <w:rPr>
          <w:rFonts w:ascii="Garamond" w:eastAsia="MS Mincho" w:hAnsi="Garamond" w:cs="CG Times"/>
          <w:lang w:val="sq-AL"/>
        </w:rPr>
        <w:t>diellëzimin</w:t>
      </w:r>
      <w:proofErr w:type="spellEnd"/>
      <w:r w:rsidRPr="00B67DFC">
        <w:rPr>
          <w:rFonts w:ascii="Garamond" w:eastAsia="MS Mincho" w:hAnsi="Garamond" w:cs="CG Times"/>
          <w:lang w:val="sq-AL"/>
        </w:rPr>
        <w:t>;</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b) temperaturën e ajrit;</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c) drejtimin dhe shpejtësinë e erës;</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ç) lagështinë e ajrit;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d) reshjet atmosferike;</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dh) nivelin e zhurmave;</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e) prezencën e ndotësve të ajrit, ujit dhe tokës.</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Për përcaktimin e këtyre faktorëve llogariten vlerat mesatare mujore, stinore dhe vjetore, në përputhje me studimet, vëzhgimet dhe matjet e institucioneve përgjegjëse sipas legjislacionit të posaçëm në fuqi.</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4. Për të planifikuar dhe projektuar zona banimi, në përputhje me përcaktimin e kësaj rregulloreje për kategorinë bazë A “Banim”, përcaktohen standarde për:</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a) sipërfaqen neto të banimit, e dhënë si sipërfaqe banimi për banor, si standard minimal për sipërfaqen e banueshme në një banesë;</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b) hapësirën e gjelbër, sipas përcaktimeve të këtij kreu;</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c) territorin për kopshte, çerdhe, shkolla 9-vjeçare, sipas përcaktimeve të këtij kreu;</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ç) territorin për struktura me përdorim publik për aktivitete fetare, sociale, të asistencës shoqërore, sanitare, administrative, jo në nivel qyteti;</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d) territorin sportiv, sipas përcaktimeve të këtij kreu;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dh) hapësirë për parkim publik, sipas përcaktimeve të këtij kreu;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e) hapësirë për shërbime tregtare të kufizuara dhe jo në nivel qyteti.</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5. Territoret dhe strukturat e përmendura në pikën 4 të këtij neni, janë të nevojshme për një zonë banimi ose me përqindjen më të lartë të përdorimit për banim. Në rastet kur disa nga territoret dhe strukturat e përmendura në pikën 4 të këtij neni, i shërbejnë jo vetëm </w:t>
      </w:r>
      <w:proofErr w:type="spellStart"/>
      <w:r w:rsidRPr="00B67DFC">
        <w:rPr>
          <w:rFonts w:ascii="Garamond" w:eastAsia="MS Mincho" w:hAnsi="Garamond" w:cs="CG Times"/>
          <w:lang w:val="sq-AL"/>
        </w:rPr>
        <w:t>nënnjësisë</w:t>
      </w:r>
      <w:proofErr w:type="spellEnd"/>
      <w:r w:rsidRPr="00B67DFC">
        <w:rPr>
          <w:rFonts w:ascii="Garamond" w:eastAsia="MS Mincho" w:hAnsi="Garamond" w:cs="CG Times"/>
          <w:lang w:val="sq-AL"/>
        </w:rPr>
        <w:t xml:space="preserve"> strukturore të banimit, por të gjithë qendrës së banuar, veç standardeve sipas kësaj pike, zbatohen edhe të gjitha standardet dhe rregullat e dhëna në këtë </w:t>
      </w:r>
      <w:proofErr w:type="spellStart"/>
      <w:r w:rsidRPr="00B67DFC">
        <w:rPr>
          <w:rFonts w:ascii="Garamond" w:eastAsia="MS Mincho" w:hAnsi="Garamond" w:cs="CG Times"/>
          <w:lang w:val="sq-AL"/>
        </w:rPr>
        <w:t>kre</w:t>
      </w:r>
      <w:proofErr w:type="spellEnd"/>
      <w:r w:rsidRPr="00B67DFC">
        <w:rPr>
          <w:rFonts w:ascii="Garamond" w:eastAsia="MS Mincho" w:hAnsi="Garamond" w:cs="CG Times"/>
          <w:lang w:val="sq-AL"/>
        </w:rPr>
        <w:t xml:space="preserve">. </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ind w:left="1080"/>
        <w:jc w:val="both"/>
        <w:rPr>
          <w:rFonts w:ascii="Garamond" w:eastAsia="MS Mincho" w:hAnsi="Garamond" w:cs="CG Times"/>
          <w:lang w:val="sq-AL"/>
        </w:rPr>
      </w:pPr>
      <w:r w:rsidRPr="00B67DFC">
        <w:rPr>
          <w:rFonts w:ascii="Garamond" w:eastAsia="MS Mincho" w:hAnsi="Garamond" w:cs="CG Times"/>
          <w:lang w:val="sq-AL"/>
        </w:rPr>
        <w:t>a) Tabela 1: Standardet minimale për treguesit e pikës 4 të këtij neni</w:t>
      </w:r>
    </w:p>
    <w:p w:rsidR="00D74EF3" w:rsidRPr="00B67DFC" w:rsidRDefault="00D74EF3" w:rsidP="00D74EF3">
      <w:pPr>
        <w:widowControl w:val="0"/>
        <w:jc w:val="both"/>
        <w:rPr>
          <w:rFonts w:ascii="Garamond" w:eastAsia="MS Mincho" w:hAnsi="Garamond" w:cs="CG Times"/>
          <w:lang w:val="sq-AL"/>
        </w:rPr>
      </w:pPr>
    </w:p>
    <w:tbl>
      <w:tblPr>
        <w:tblW w:w="4855" w:type="pct"/>
        <w:jc w:val="center"/>
        <w:shd w:val="clear" w:color="auto" w:fill="FFFFFF"/>
        <w:tblLook w:val="0000" w:firstRow="0" w:lastRow="0" w:firstColumn="0" w:lastColumn="0" w:noHBand="0" w:noVBand="0"/>
      </w:tblPr>
      <w:tblGrid>
        <w:gridCol w:w="1026"/>
        <w:gridCol w:w="926"/>
        <w:gridCol w:w="926"/>
        <w:gridCol w:w="926"/>
        <w:gridCol w:w="926"/>
        <w:gridCol w:w="926"/>
        <w:gridCol w:w="926"/>
        <w:gridCol w:w="926"/>
        <w:gridCol w:w="926"/>
      </w:tblGrid>
      <w:tr w:rsidR="00D74EF3" w:rsidRPr="00B67DFC" w:rsidTr="0050532B">
        <w:trPr>
          <w:cantSplit/>
          <w:trHeight w:val="441"/>
          <w:jc w:val="center"/>
        </w:trPr>
        <w:tc>
          <w:tcPr>
            <w:tcW w:w="887" w:type="pct"/>
            <w:vMerge w:val="restart"/>
            <w:tcBorders>
              <w:top w:val="single" w:sz="4" w:space="0" w:color="000000"/>
              <w:left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
                <w:lang w:val="sq-AL"/>
              </w:rPr>
            </w:pPr>
            <w:r w:rsidRPr="00B67DFC">
              <w:rPr>
                <w:rFonts w:ascii="Garamond" w:eastAsia="MS Mincho" w:hAnsi="Garamond"/>
                <w:b/>
                <w:lang w:val="sq-AL"/>
              </w:rPr>
              <w:t>Qendrat e banuara</w:t>
            </w:r>
          </w:p>
        </w:tc>
        <w:tc>
          <w:tcPr>
            <w:tcW w:w="515" w:type="pct"/>
            <w:tcBorders>
              <w:top w:val="single" w:sz="4" w:space="0" w:color="000000"/>
              <w:left w:val="single" w:sz="4" w:space="0" w:color="000000"/>
              <w:bottom w:val="single" w:sz="4" w:space="0" w:color="auto"/>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
                <w:lang w:val="sq-AL"/>
              </w:rPr>
            </w:pPr>
            <w:r w:rsidRPr="00B67DFC">
              <w:rPr>
                <w:rFonts w:ascii="Garamond" w:eastAsia="MS Mincho" w:hAnsi="Garamond"/>
                <w:b/>
                <w:lang w:val="sq-AL"/>
              </w:rPr>
              <w:t>i)</w:t>
            </w:r>
          </w:p>
        </w:tc>
        <w:tc>
          <w:tcPr>
            <w:tcW w:w="515" w:type="pct"/>
            <w:tcBorders>
              <w:top w:val="single" w:sz="4" w:space="0" w:color="000000"/>
              <w:left w:val="single" w:sz="4" w:space="0" w:color="000000"/>
              <w:bottom w:val="single" w:sz="4" w:space="0" w:color="auto"/>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
                <w:lang w:val="sq-AL"/>
              </w:rPr>
            </w:pPr>
            <w:proofErr w:type="spellStart"/>
            <w:r w:rsidRPr="00B67DFC">
              <w:rPr>
                <w:rFonts w:ascii="Garamond" w:eastAsia="MS Mincho" w:hAnsi="Garamond"/>
                <w:b/>
                <w:lang w:val="sq-AL"/>
              </w:rPr>
              <w:t>ii</w:t>
            </w:r>
            <w:proofErr w:type="spellEnd"/>
            <w:r w:rsidRPr="00B67DFC">
              <w:rPr>
                <w:rFonts w:ascii="Garamond" w:eastAsia="MS Mincho" w:hAnsi="Garamond"/>
                <w:b/>
                <w:lang w:val="sq-AL"/>
              </w:rPr>
              <w:t>)</w:t>
            </w:r>
          </w:p>
        </w:tc>
        <w:tc>
          <w:tcPr>
            <w:tcW w:w="515" w:type="pct"/>
            <w:tcBorders>
              <w:top w:val="single" w:sz="4" w:space="0" w:color="000000"/>
              <w:left w:val="single" w:sz="4" w:space="0" w:color="000000"/>
              <w:bottom w:val="single" w:sz="4" w:space="0" w:color="auto"/>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
                <w:lang w:val="sq-AL"/>
              </w:rPr>
            </w:pPr>
            <w:proofErr w:type="spellStart"/>
            <w:r w:rsidRPr="00B67DFC">
              <w:rPr>
                <w:rFonts w:ascii="Garamond" w:eastAsia="MS Mincho" w:hAnsi="Garamond"/>
                <w:b/>
                <w:lang w:val="sq-AL"/>
              </w:rPr>
              <w:t>iii</w:t>
            </w:r>
            <w:proofErr w:type="spellEnd"/>
            <w:r w:rsidRPr="00B67DFC">
              <w:rPr>
                <w:rFonts w:ascii="Garamond" w:eastAsia="MS Mincho" w:hAnsi="Garamond"/>
                <w:b/>
                <w:lang w:val="sq-AL"/>
              </w:rPr>
              <w:t>)</w:t>
            </w:r>
          </w:p>
        </w:tc>
        <w:tc>
          <w:tcPr>
            <w:tcW w:w="515" w:type="pct"/>
            <w:tcBorders>
              <w:top w:val="single" w:sz="4" w:space="0" w:color="000000"/>
              <w:left w:val="single" w:sz="4" w:space="0" w:color="000000"/>
              <w:bottom w:val="single" w:sz="4" w:space="0" w:color="auto"/>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
                <w:lang w:val="sq-AL"/>
              </w:rPr>
            </w:pPr>
            <w:proofErr w:type="spellStart"/>
            <w:r w:rsidRPr="00B67DFC">
              <w:rPr>
                <w:rFonts w:ascii="Garamond" w:eastAsia="MS Mincho" w:hAnsi="Garamond"/>
                <w:b/>
                <w:lang w:val="sq-AL"/>
              </w:rPr>
              <w:t>iv</w:t>
            </w:r>
            <w:proofErr w:type="spellEnd"/>
            <w:r w:rsidRPr="00B67DFC">
              <w:rPr>
                <w:rFonts w:ascii="Garamond" w:eastAsia="MS Mincho" w:hAnsi="Garamond"/>
                <w:b/>
                <w:lang w:val="sq-AL"/>
              </w:rPr>
              <w:t>)</w:t>
            </w:r>
          </w:p>
        </w:tc>
        <w:tc>
          <w:tcPr>
            <w:tcW w:w="515" w:type="pct"/>
            <w:tcBorders>
              <w:top w:val="single" w:sz="4" w:space="0" w:color="000000"/>
              <w:left w:val="single" w:sz="4" w:space="0" w:color="000000"/>
              <w:bottom w:val="single" w:sz="4" w:space="0" w:color="auto"/>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
                <w:lang w:val="sq-AL"/>
              </w:rPr>
            </w:pPr>
            <w:r w:rsidRPr="00B67DFC">
              <w:rPr>
                <w:rFonts w:ascii="Garamond" w:eastAsia="MS Mincho" w:hAnsi="Garamond"/>
                <w:b/>
                <w:lang w:val="sq-AL"/>
              </w:rPr>
              <w:t>v)</w:t>
            </w:r>
          </w:p>
        </w:tc>
        <w:tc>
          <w:tcPr>
            <w:tcW w:w="427" w:type="pct"/>
            <w:tcBorders>
              <w:top w:val="single" w:sz="4" w:space="0" w:color="000000"/>
              <w:left w:val="single" w:sz="4" w:space="0" w:color="000000"/>
              <w:bottom w:val="single" w:sz="4" w:space="0" w:color="auto"/>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
                <w:lang w:val="sq-AL"/>
              </w:rPr>
            </w:pPr>
            <w:proofErr w:type="spellStart"/>
            <w:r w:rsidRPr="00B67DFC">
              <w:rPr>
                <w:rFonts w:ascii="Garamond" w:eastAsia="MS Mincho" w:hAnsi="Garamond"/>
                <w:b/>
                <w:lang w:val="sq-AL"/>
              </w:rPr>
              <w:t>vi</w:t>
            </w:r>
            <w:proofErr w:type="spellEnd"/>
            <w:r w:rsidRPr="00B67DFC">
              <w:rPr>
                <w:rFonts w:ascii="Garamond" w:eastAsia="MS Mincho" w:hAnsi="Garamond"/>
                <w:b/>
                <w:lang w:val="sq-AL"/>
              </w:rPr>
              <w:t>)</w:t>
            </w:r>
          </w:p>
        </w:tc>
        <w:tc>
          <w:tcPr>
            <w:tcW w:w="557" w:type="pct"/>
            <w:tcBorders>
              <w:top w:val="single" w:sz="4" w:space="0" w:color="000000"/>
              <w:left w:val="single" w:sz="4" w:space="0" w:color="000000"/>
              <w:bottom w:val="single" w:sz="4" w:space="0" w:color="auto"/>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
                <w:lang w:val="sq-AL"/>
              </w:rPr>
            </w:pPr>
            <w:proofErr w:type="spellStart"/>
            <w:r w:rsidRPr="00B67DFC">
              <w:rPr>
                <w:rFonts w:ascii="Garamond" w:eastAsia="MS Mincho" w:hAnsi="Garamond"/>
                <w:b/>
                <w:lang w:val="sq-AL"/>
              </w:rPr>
              <w:t>vii</w:t>
            </w:r>
            <w:proofErr w:type="spellEnd"/>
            <w:r w:rsidRPr="00B67DFC">
              <w:rPr>
                <w:rFonts w:ascii="Garamond" w:eastAsia="MS Mincho" w:hAnsi="Garamond"/>
                <w:b/>
                <w:lang w:val="sq-AL"/>
              </w:rPr>
              <w:t>)</w:t>
            </w:r>
          </w:p>
        </w:tc>
        <w:tc>
          <w:tcPr>
            <w:tcW w:w="554" w:type="pct"/>
            <w:tcBorders>
              <w:top w:val="single" w:sz="4" w:space="0" w:color="000000"/>
              <w:left w:val="single" w:sz="4" w:space="0" w:color="000000"/>
              <w:bottom w:val="single" w:sz="4" w:space="0" w:color="auto"/>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
                <w:bCs/>
                <w:lang w:val="sq-AL"/>
              </w:rPr>
            </w:pPr>
            <w:proofErr w:type="spellStart"/>
            <w:r w:rsidRPr="00B67DFC">
              <w:rPr>
                <w:rFonts w:ascii="Garamond" w:eastAsia="MS Mincho" w:hAnsi="Garamond"/>
                <w:b/>
                <w:lang w:val="sq-AL"/>
              </w:rPr>
              <w:t>viii</w:t>
            </w:r>
            <w:proofErr w:type="spellEnd"/>
            <w:r w:rsidRPr="00B67DFC">
              <w:rPr>
                <w:rFonts w:ascii="Garamond" w:eastAsia="MS Mincho" w:hAnsi="Garamond"/>
                <w:b/>
                <w:lang w:val="sq-AL"/>
              </w:rPr>
              <w:t>)</w:t>
            </w:r>
          </w:p>
        </w:tc>
      </w:tr>
      <w:tr w:rsidR="00D74EF3" w:rsidRPr="00B67DFC" w:rsidTr="0050532B">
        <w:trPr>
          <w:cantSplit/>
          <w:trHeight w:val="1836"/>
          <w:jc w:val="center"/>
        </w:trPr>
        <w:tc>
          <w:tcPr>
            <w:tcW w:w="887" w:type="pct"/>
            <w:vMerge/>
            <w:tcBorders>
              <w:left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
                <w:lang w:val="sq-AL"/>
              </w:rPr>
            </w:pPr>
          </w:p>
        </w:tc>
        <w:tc>
          <w:tcPr>
            <w:tcW w:w="515" w:type="pct"/>
            <w:tcBorders>
              <w:top w:val="single" w:sz="4" w:space="0" w:color="auto"/>
              <w:left w:val="single" w:sz="4" w:space="0" w:color="000000"/>
              <w:bottom w:val="single" w:sz="4" w:space="0" w:color="000000"/>
              <w:right w:val="single" w:sz="4" w:space="0" w:color="000000"/>
            </w:tcBorders>
            <w:shd w:val="clear" w:color="auto" w:fill="FFFFFF"/>
            <w:tcMar>
              <w:top w:w="0" w:type="dxa"/>
              <w:left w:w="0" w:type="dxa"/>
              <w:bottom w:w="0" w:type="dxa"/>
              <w:right w:w="0" w:type="dxa"/>
            </w:tcMar>
            <w:textDirection w:val="btLr"/>
            <w:vAlign w:val="center"/>
          </w:tcPr>
          <w:p w:rsidR="00D74EF3" w:rsidRPr="00B67DFC" w:rsidRDefault="00D74EF3" w:rsidP="00D74EF3">
            <w:pPr>
              <w:widowControl w:val="0"/>
              <w:tabs>
                <w:tab w:val="left" w:pos="1120"/>
              </w:tabs>
              <w:jc w:val="center"/>
              <w:rPr>
                <w:rFonts w:ascii="Garamond" w:eastAsia="MS Mincho" w:hAnsi="Garamond"/>
                <w:b/>
                <w:lang w:val="sq-AL"/>
              </w:rPr>
            </w:pPr>
            <w:r w:rsidRPr="00B67DFC">
              <w:rPr>
                <w:rFonts w:ascii="Garamond" w:eastAsia="MS Mincho" w:hAnsi="Garamond"/>
                <w:b/>
                <w:lang w:val="sq-AL"/>
              </w:rPr>
              <w:t>Sipërfaqe banimi neto</w:t>
            </w:r>
          </w:p>
        </w:tc>
        <w:tc>
          <w:tcPr>
            <w:tcW w:w="515" w:type="pct"/>
            <w:tcBorders>
              <w:top w:val="single" w:sz="4" w:space="0" w:color="auto"/>
              <w:left w:val="single" w:sz="4" w:space="0" w:color="000000"/>
              <w:bottom w:val="single" w:sz="4" w:space="0" w:color="000000"/>
              <w:right w:val="single" w:sz="4" w:space="0" w:color="000000"/>
            </w:tcBorders>
            <w:shd w:val="clear" w:color="auto" w:fill="FFFFFF"/>
            <w:tcMar>
              <w:top w:w="0" w:type="dxa"/>
              <w:left w:w="0" w:type="dxa"/>
              <w:bottom w:w="0" w:type="dxa"/>
              <w:right w:w="0" w:type="dxa"/>
            </w:tcMar>
            <w:textDirection w:val="btLr"/>
            <w:vAlign w:val="center"/>
          </w:tcPr>
          <w:p w:rsidR="00D74EF3" w:rsidRPr="00B67DFC" w:rsidRDefault="00D74EF3" w:rsidP="00D74EF3">
            <w:pPr>
              <w:widowControl w:val="0"/>
              <w:tabs>
                <w:tab w:val="left" w:pos="1120"/>
              </w:tabs>
              <w:jc w:val="center"/>
              <w:rPr>
                <w:rFonts w:ascii="Garamond" w:eastAsia="MS Mincho" w:hAnsi="Garamond"/>
                <w:b/>
                <w:lang w:val="sq-AL"/>
              </w:rPr>
            </w:pPr>
            <w:r w:rsidRPr="00B67DFC">
              <w:rPr>
                <w:rFonts w:ascii="Garamond" w:eastAsia="MS Mincho" w:hAnsi="Garamond"/>
                <w:b/>
                <w:lang w:val="sq-AL"/>
              </w:rPr>
              <w:t>Territor për përdorime publike</w:t>
            </w:r>
          </w:p>
        </w:tc>
        <w:tc>
          <w:tcPr>
            <w:tcW w:w="515" w:type="pct"/>
            <w:tcBorders>
              <w:top w:val="single" w:sz="4" w:space="0" w:color="auto"/>
              <w:left w:val="single" w:sz="4" w:space="0" w:color="000000"/>
              <w:bottom w:val="single" w:sz="4" w:space="0" w:color="000000"/>
              <w:right w:val="single" w:sz="4" w:space="0" w:color="000000"/>
            </w:tcBorders>
            <w:shd w:val="clear" w:color="auto" w:fill="FFFFFF"/>
            <w:tcMar>
              <w:top w:w="0" w:type="dxa"/>
              <w:left w:w="0" w:type="dxa"/>
              <w:bottom w:w="0" w:type="dxa"/>
              <w:right w:w="0" w:type="dxa"/>
            </w:tcMar>
            <w:textDirection w:val="btLr"/>
            <w:vAlign w:val="center"/>
          </w:tcPr>
          <w:p w:rsidR="00D74EF3" w:rsidRPr="00B67DFC" w:rsidRDefault="00D74EF3" w:rsidP="00D74EF3">
            <w:pPr>
              <w:widowControl w:val="0"/>
              <w:tabs>
                <w:tab w:val="left" w:pos="1120"/>
              </w:tabs>
              <w:jc w:val="center"/>
              <w:rPr>
                <w:rFonts w:ascii="Garamond" w:eastAsia="MS Mincho" w:hAnsi="Garamond"/>
                <w:b/>
                <w:lang w:val="sq-AL"/>
              </w:rPr>
            </w:pPr>
            <w:r w:rsidRPr="00B67DFC">
              <w:rPr>
                <w:rFonts w:ascii="Garamond" w:eastAsia="MS Mincho" w:hAnsi="Garamond"/>
                <w:b/>
                <w:lang w:val="sq-AL"/>
              </w:rPr>
              <w:t>Hapësirë e gjelbër</w:t>
            </w:r>
          </w:p>
        </w:tc>
        <w:tc>
          <w:tcPr>
            <w:tcW w:w="515" w:type="pct"/>
            <w:tcBorders>
              <w:top w:val="single" w:sz="4" w:space="0" w:color="auto"/>
              <w:left w:val="single" w:sz="4" w:space="0" w:color="000000"/>
              <w:bottom w:val="single" w:sz="4" w:space="0" w:color="000000"/>
              <w:right w:val="single" w:sz="4" w:space="0" w:color="000000"/>
            </w:tcBorders>
            <w:shd w:val="clear" w:color="auto" w:fill="FFFFFF"/>
            <w:tcMar>
              <w:top w:w="0" w:type="dxa"/>
              <w:left w:w="0" w:type="dxa"/>
              <w:bottom w:w="0" w:type="dxa"/>
              <w:right w:w="0" w:type="dxa"/>
            </w:tcMar>
            <w:textDirection w:val="btLr"/>
            <w:vAlign w:val="center"/>
          </w:tcPr>
          <w:p w:rsidR="00D74EF3" w:rsidRPr="00B67DFC" w:rsidRDefault="00D74EF3" w:rsidP="00D74EF3">
            <w:pPr>
              <w:widowControl w:val="0"/>
              <w:tabs>
                <w:tab w:val="left" w:pos="1120"/>
              </w:tabs>
              <w:jc w:val="center"/>
              <w:rPr>
                <w:rFonts w:ascii="Garamond" w:eastAsia="MS Mincho" w:hAnsi="Garamond"/>
                <w:b/>
                <w:lang w:val="sq-AL"/>
              </w:rPr>
            </w:pPr>
            <w:r w:rsidRPr="00B67DFC">
              <w:rPr>
                <w:rFonts w:ascii="Garamond" w:eastAsia="MS Mincho" w:hAnsi="Garamond"/>
                <w:b/>
                <w:lang w:val="sq-AL"/>
              </w:rPr>
              <w:t>Territor sportiv</w:t>
            </w:r>
          </w:p>
        </w:tc>
        <w:tc>
          <w:tcPr>
            <w:tcW w:w="515" w:type="pct"/>
            <w:tcBorders>
              <w:top w:val="single" w:sz="4" w:space="0" w:color="auto"/>
              <w:left w:val="single" w:sz="4" w:space="0" w:color="000000"/>
              <w:bottom w:val="single" w:sz="4" w:space="0" w:color="000000"/>
              <w:right w:val="single" w:sz="4" w:space="0" w:color="000000"/>
            </w:tcBorders>
            <w:shd w:val="clear" w:color="auto" w:fill="FFFFFF"/>
            <w:tcMar>
              <w:top w:w="0" w:type="dxa"/>
              <w:left w:w="0" w:type="dxa"/>
              <w:bottom w:w="0" w:type="dxa"/>
              <w:right w:w="0" w:type="dxa"/>
            </w:tcMar>
            <w:textDirection w:val="btLr"/>
            <w:vAlign w:val="center"/>
          </w:tcPr>
          <w:p w:rsidR="00D74EF3" w:rsidRPr="00B67DFC" w:rsidRDefault="00D74EF3" w:rsidP="00D74EF3">
            <w:pPr>
              <w:widowControl w:val="0"/>
              <w:tabs>
                <w:tab w:val="left" w:pos="1120"/>
              </w:tabs>
              <w:jc w:val="center"/>
              <w:rPr>
                <w:rFonts w:ascii="Garamond" w:eastAsia="MS Mincho" w:hAnsi="Garamond"/>
                <w:b/>
                <w:lang w:val="sq-AL"/>
              </w:rPr>
            </w:pPr>
            <w:r w:rsidRPr="00B67DFC">
              <w:rPr>
                <w:rFonts w:ascii="Garamond" w:eastAsia="MS Mincho" w:hAnsi="Garamond"/>
                <w:b/>
                <w:lang w:val="sq-AL"/>
              </w:rPr>
              <w:t>Territor për kopshte, çerdhe, shkolla</w:t>
            </w:r>
          </w:p>
        </w:tc>
        <w:tc>
          <w:tcPr>
            <w:tcW w:w="427" w:type="pct"/>
            <w:tcBorders>
              <w:top w:val="single" w:sz="4" w:space="0" w:color="auto"/>
              <w:left w:val="single" w:sz="4" w:space="0" w:color="000000"/>
              <w:bottom w:val="single" w:sz="4" w:space="0" w:color="000000"/>
              <w:right w:val="single" w:sz="4" w:space="0" w:color="000000"/>
            </w:tcBorders>
            <w:shd w:val="clear" w:color="auto" w:fill="FFFFFF"/>
            <w:tcMar>
              <w:top w:w="0" w:type="dxa"/>
              <w:left w:w="0" w:type="dxa"/>
              <w:bottom w:w="0" w:type="dxa"/>
              <w:right w:w="0" w:type="dxa"/>
            </w:tcMar>
            <w:textDirection w:val="btLr"/>
            <w:vAlign w:val="center"/>
          </w:tcPr>
          <w:p w:rsidR="00D74EF3" w:rsidRPr="00B67DFC" w:rsidRDefault="00D74EF3" w:rsidP="00D74EF3">
            <w:pPr>
              <w:widowControl w:val="0"/>
              <w:tabs>
                <w:tab w:val="left" w:pos="1120"/>
              </w:tabs>
              <w:jc w:val="center"/>
              <w:rPr>
                <w:rFonts w:ascii="Garamond" w:eastAsia="MS Mincho" w:hAnsi="Garamond"/>
                <w:b/>
                <w:lang w:val="sq-AL"/>
              </w:rPr>
            </w:pPr>
            <w:r w:rsidRPr="00B67DFC">
              <w:rPr>
                <w:rFonts w:ascii="Garamond" w:eastAsia="MS Mincho" w:hAnsi="Garamond"/>
                <w:b/>
                <w:lang w:val="sq-AL"/>
              </w:rPr>
              <w:t>Shërbim tregtar</w:t>
            </w:r>
          </w:p>
        </w:tc>
        <w:tc>
          <w:tcPr>
            <w:tcW w:w="557" w:type="pct"/>
            <w:tcBorders>
              <w:top w:val="single" w:sz="4" w:space="0" w:color="auto"/>
              <w:left w:val="single" w:sz="4" w:space="0" w:color="000000"/>
              <w:bottom w:val="single" w:sz="4" w:space="0" w:color="000000"/>
              <w:right w:val="single" w:sz="4" w:space="0" w:color="000000"/>
            </w:tcBorders>
            <w:shd w:val="clear" w:color="auto" w:fill="FFFFFF"/>
            <w:tcMar>
              <w:top w:w="0" w:type="dxa"/>
              <w:left w:w="0" w:type="dxa"/>
              <w:bottom w:w="0" w:type="dxa"/>
              <w:right w:w="0" w:type="dxa"/>
            </w:tcMar>
            <w:textDirection w:val="btLr"/>
            <w:vAlign w:val="center"/>
          </w:tcPr>
          <w:p w:rsidR="00D74EF3" w:rsidRPr="00B67DFC" w:rsidRDefault="00D74EF3" w:rsidP="00D74EF3">
            <w:pPr>
              <w:widowControl w:val="0"/>
              <w:tabs>
                <w:tab w:val="left" w:pos="1120"/>
              </w:tabs>
              <w:jc w:val="center"/>
              <w:rPr>
                <w:rFonts w:ascii="Garamond" w:eastAsia="MS Mincho" w:hAnsi="Garamond"/>
                <w:b/>
                <w:lang w:val="sq-AL"/>
              </w:rPr>
            </w:pPr>
            <w:r w:rsidRPr="00B67DFC">
              <w:rPr>
                <w:rFonts w:ascii="Garamond" w:eastAsia="MS Mincho" w:hAnsi="Garamond"/>
                <w:b/>
                <w:lang w:val="sq-AL"/>
              </w:rPr>
              <w:t>Parkim publik</w:t>
            </w:r>
          </w:p>
        </w:tc>
        <w:tc>
          <w:tcPr>
            <w:tcW w:w="554" w:type="pct"/>
            <w:tcBorders>
              <w:top w:val="single" w:sz="4" w:space="0" w:color="auto"/>
              <w:left w:val="single" w:sz="4" w:space="0" w:color="000000"/>
              <w:bottom w:val="single" w:sz="4" w:space="0" w:color="000000"/>
              <w:right w:val="single" w:sz="4" w:space="0" w:color="000000"/>
            </w:tcBorders>
            <w:shd w:val="clear" w:color="auto" w:fill="FFFFFF"/>
            <w:tcMar>
              <w:top w:w="0" w:type="dxa"/>
              <w:left w:w="0" w:type="dxa"/>
              <w:bottom w:w="0" w:type="dxa"/>
              <w:right w:w="0" w:type="dxa"/>
            </w:tcMar>
            <w:textDirection w:val="btLr"/>
            <w:vAlign w:val="center"/>
          </w:tcPr>
          <w:p w:rsidR="00D74EF3" w:rsidRPr="00B67DFC" w:rsidRDefault="00D74EF3" w:rsidP="00D74EF3">
            <w:pPr>
              <w:widowControl w:val="0"/>
              <w:tabs>
                <w:tab w:val="left" w:pos="1120"/>
              </w:tabs>
              <w:jc w:val="center"/>
              <w:rPr>
                <w:rFonts w:ascii="Garamond" w:eastAsia="MS Mincho" w:hAnsi="Garamond"/>
                <w:b/>
                <w:lang w:val="sq-AL"/>
              </w:rPr>
            </w:pPr>
            <w:r w:rsidRPr="00B67DFC">
              <w:rPr>
                <w:rFonts w:ascii="Garamond" w:eastAsia="MS Mincho" w:hAnsi="Garamond"/>
                <w:b/>
                <w:lang w:val="sq-AL"/>
              </w:rPr>
              <w:t>Gjithsej</w:t>
            </w:r>
          </w:p>
        </w:tc>
      </w:tr>
      <w:tr w:rsidR="00D74EF3" w:rsidRPr="00B67DFC" w:rsidTr="0050532B">
        <w:trPr>
          <w:cantSplit/>
          <w:trHeight w:val="377"/>
          <w:jc w:val="center"/>
        </w:trPr>
        <w:tc>
          <w:tcPr>
            <w:tcW w:w="887" w:type="pct"/>
            <w:vMerge/>
            <w:tcBorders>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outlineLvl w:val="4"/>
              <w:rPr>
                <w:rFonts w:ascii="Garamond" w:eastAsia="MS Mincho" w:hAnsi="Garamond"/>
                <w:lang w:val="sq-AL"/>
              </w:rPr>
            </w:pPr>
          </w:p>
        </w:tc>
        <w:tc>
          <w:tcPr>
            <w:tcW w:w="51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lang w:val="sq-AL"/>
              </w:rPr>
            </w:pPr>
            <w:r w:rsidRPr="00B67DFC">
              <w:rPr>
                <w:rFonts w:ascii="Garamond" w:eastAsia="MS Mincho" w:hAnsi="Garamond"/>
                <w:lang w:val="sq-AL"/>
              </w:rPr>
              <w:t>m</w:t>
            </w:r>
            <w:r w:rsidRPr="00B67DFC">
              <w:rPr>
                <w:rFonts w:ascii="Garamond" w:eastAsia="MS Mincho" w:hAnsi="Garamond"/>
                <w:vertAlign w:val="superscript"/>
                <w:lang w:val="sq-AL"/>
              </w:rPr>
              <w:t>2</w:t>
            </w:r>
            <w:r w:rsidRPr="00B67DFC">
              <w:rPr>
                <w:rFonts w:ascii="Garamond" w:eastAsia="MS Mincho" w:hAnsi="Garamond"/>
                <w:lang w:val="sq-AL"/>
              </w:rPr>
              <w:t>/banor</w:t>
            </w:r>
          </w:p>
        </w:tc>
        <w:tc>
          <w:tcPr>
            <w:tcW w:w="51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Cs/>
                <w:lang w:val="sq-AL"/>
              </w:rPr>
            </w:pPr>
            <w:r w:rsidRPr="00B67DFC">
              <w:rPr>
                <w:rFonts w:ascii="Garamond" w:eastAsia="MS Mincho" w:hAnsi="Garamond"/>
                <w:lang w:val="sq-AL"/>
              </w:rPr>
              <w:t>m</w:t>
            </w:r>
            <w:r w:rsidRPr="00B67DFC">
              <w:rPr>
                <w:rFonts w:ascii="Garamond" w:eastAsia="MS Mincho" w:hAnsi="Garamond"/>
                <w:vertAlign w:val="superscript"/>
                <w:lang w:val="sq-AL"/>
              </w:rPr>
              <w:t>2</w:t>
            </w:r>
            <w:r w:rsidRPr="00B67DFC">
              <w:rPr>
                <w:rFonts w:ascii="Garamond" w:eastAsia="MS Mincho" w:hAnsi="Garamond"/>
                <w:lang w:val="sq-AL"/>
              </w:rPr>
              <w:t>/banor</w:t>
            </w:r>
          </w:p>
        </w:tc>
        <w:tc>
          <w:tcPr>
            <w:tcW w:w="51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Cs/>
                <w:lang w:val="sq-AL"/>
              </w:rPr>
            </w:pPr>
            <w:r w:rsidRPr="00B67DFC">
              <w:rPr>
                <w:rFonts w:ascii="Garamond" w:eastAsia="MS Mincho" w:hAnsi="Garamond"/>
                <w:lang w:val="sq-AL"/>
              </w:rPr>
              <w:t>m</w:t>
            </w:r>
            <w:r w:rsidRPr="00B67DFC">
              <w:rPr>
                <w:rFonts w:ascii="Garamond" w:eastAsia="MS Mincho" w:hAnsi="Garamond"/>
                <w:vertAlign w:val="superscript"/>
                <w:lang w:val="sq-AL"/>
              </w:rPr>
              <w:t>2</w:t>
            </w:r>
            <w:r w:rsidRPr="00B67DFC">
              <w:rPr>
                <w:rFonts w:ascii="Garamond" w:eastAsia="MS Mincho" w:hAnsi="Garamond"/>
                <w:lang w:val="sq-AL"/>
              </w:rPr>
              <w:t>/banor</w:t>
            </w:r>
          </w:p>
        </w:tc>
        <w:tc>
          <w:tcPr>
            <w:tcW w:w="51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Cs/>
                <w:lang w:val="sq-AL"/>
              </w:rPr>
            </w:pPr>
            <w:r w:rsidRPr="00B67DFC">
              <w:rPr>
                <w:rFonts w:ascii="Garamond" w:eastAsia="MS Mincho" w:hAnsi="Garamond"/>
                <w:lang w:val="sq-AL"/>
              </w:rPr>
              <w:t>m</w:t>
            </w:r>
            <w:r w:rsidRPr="00B67DFC">
              <w:rPr>
                <w:rFonts w:ascii="Garamond" w:eastAsia="MS Mincho" w:hAnsi="Garamond"/>
                <w:vertAlign w:val="superscript"/>
                <w:lang w:val="sq-AL"/>
              </w:rPr>
              <w:t>2</w:t>
            </w:r>
            <w:r w:rsidRPr="00B67DFC">
              <w:rPr>
                <w:rFonts w:ascii="Garamond" w:eastAsia="MS Mincho" w:hAnsi="Garamond"/>
                <w:lang w:val="sq-AL"/>
              </w:rPr>
              <w:t>/banor</w:t>
            </w:r>
          </w:p>
        </w:tc>
        <w:tc>
          <w:tcPr>
            <w:tcW w:w="51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Cs/>
                <w:lang w:val="sq-AL"/>
              </w:rPr>
            </w:pPr>
            <w:r w:rsidRPr="00B67DFC">
              <w:rPr>
                <w:rFonts w:ascii="Garamond" w:eastAsia="MS Mincho" w:hAnsi="Garamond"/>
                <w:lang w:val="sq-AL"/>
              </w:rPr>
              <w:t>m</w:t>
            </w:r>
            <w:r w:rsidRPr="00B67DFC">
              <w:rPr>
                <w:rFonts w:ascii="Garamond" w:eastAsia="MS Mincho" w:hAnsi="Garamond"/>
                <w:vertAlign w:val="superscript"/>
                <w:lang w:val="sq-AL"/>
              </w:rPr>
              <w:t>2</w:t>
            </w:r>
            <w:r w:rsidRPr="00B67DFC">
              <w:rPr>
                <w:rFonts w:ascii="Garamond" w:eastAsia="MS Mincho" w:hAnsi="Garamond"/>
                <w:lang w:val="sq-AL"/>
              </w:rPr>
              <w:t>/banor</w:t>
            </w:r>
          </w:p>
        </w:tc>
        <w:tc>
          <w:tcPr>
            <w:tcW w:w="427"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Cs/>
                <w:lang w:val="sq-AL"/>
              </w:rPr>
            </w:pPr>
            <w:r w:rsidRPr="00B67DFC">
              <w:rPr>
                <w:rFonts w:ascii="Garamond" w:eastAsia="MS Mincho" w:hAnsi="Garamond"/>
                <w:lang w:val="sq-AL"/>
              </w:rPr>
              <w:t>m</w:t>
            </w:r>
            <w:r w:rsidRPr="00B67DFC">
              <w:rPr>
                <w:rFonts w:ascii="Garamond" w:eastAsia="MS Mincho" w:hAnsi="Garamond"/>
                <w:vertAlign w:val="superscript"/>
                <w:lang w:val="sq-AL"/>
              </w:rPr>
              <w:t>2</w:t>
            </w:r>
            <w:r w:rsidRPr="00B67DFC">
              <w:rPr>
                <w:rFonts w:ascii="Garamond" w:eastAsia="MS Mincho" w:hAnsi="Garamond"/>
                <w:lang w:val="sq-AL"/>
              </w:rPr>
              <w:t>/banor</w:t>
            </w:r>
          </w:p>
        </w:tc>
        <w:tc>
          <w:tcPr>
            <w:tcW w:w="557"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Cs/>
                <w:lang w:val="sq-AL"/>
              </w:rPr>
            </w:pPr>
            <w:r w:rsidRPr="00B67DFC">
              <w:rPr>
                <w:rFonts w:ascii="Garamond" w:eastAsia="MS Mincho" w:hAnsi="Garamond"/>
                <w:lang w:val="sq-AL"/>
              </w:rPr>
              <w:t>m</w:t>
            </w:r>
            <w:r w:rsidRPr="00B67DFC">
              <w:rPr>
                <w:rFonts w:ascii="Garamond" w:eastAsia="MS Mincho" w:hAnsi="Garamond"/>
                <w:vertAlign w:val="superscript"/>
                <w:lang w:val="sq-AL"/>
              </w:rPr>
              <w:t>2</w:t>
            </w:r>
            <w:r w:rsidRPr="00B67DFC">
              <w:rPr>
                <w:rFonts w:ascii="Garamond" w:eastAsia="MS Mincho" w:hAnsi="Garamond"/>
                <w:lang w:val="sq-AL"/>
              </w:rPr>
              <w:t>/banor</w:t>
            </w:r>
          </w:p>
        </w:tc>
        <w:tc>
          <w:tcPr>
            <w:tcW w:w="5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Cs/>
                <w:lang w:val="sq-AL"/>
              </w:rPr>
            </w:pPr>
            <w:r w:rsidRPr="00B67DFC">
              <w:rPr>
                <w:rFonts w:ascii="Garamond" w:eastAsia="MS Mincho" w:hAnsi="Garamond"/>
                <w:lang w:val="sq-AL"/>
              </w:rPr>
              <w:t>m</w:t>
            </w:r>
            <w:r w:rsidRPr="00B67DFC">
              <w:rPr>
                <w:rFonts w:ascii="Garamond" w:eastAsia="MS Mincho" w:hAnsi="Garamond"/>
                <w:vertAlign w:val="superscript"/>
                <w:lang w:val="sq-AL"/>
              </w:rPr>
              <w:t>2</w:t>
            </w:r>
            <w:r w:rsidRPr="00B67DFC">
              <w:rPr>
                <w:rFonts w:ascii="Garamond" w:eastAsia="MS Mincho" w:hAnsi="Garamond"/>
                <w:lang w:val="sq-AL"/>
              </w:rPr>
              <w:t>/banor</w:t>
            </w:r>
          </w:p>
        </w:tc>
      </w:tr>
      <w:tr w:rsidR="00D74EF3" w:rsidRPr="00B67DFC" w:rsidTr="0050532B">
        <w:trPr>
          <w:cantSplit/>
          <w:trHeight w:hRule="exact" w:val="292"/>
          <w:jc w:val="center"/>
        </w:trPr>
        <w:tc>
          <w:tcPr>
            <w:tcW w:w="887"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636"/>
              </w:tabs>
              <w:ind w:left="144" w:right="144"/>
              <w:rPr>
                <w:rFonts w:ascii="Garamond" w:eastAsia="MS Mincho" w:hAnsi="Garamond"/>
                <w:lang w:val="sq-AL"/>
              </w:rPr>
            </w:pPr>
            <w:r w:rsidRPr="00B67DFC">
              <w:rPr>
                <w:rFonts w:ascii="Garamond" w:eastAsia="MS Mincho" w:hAnsi="Garamond"/>
                <w:lang w:val="sq-AL"/>
              </w:rPr>
              <w:t>deri në 10,000</w:t>
            </w:r>
          </w:p>
        </w:tc>
        <w:tc>
          <w:tcPr>
            <w:tcW w:w="51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
                <w:lang w:val="sq-AL"/>
              </w:rPr>
            </w:pPr>
            <w:r w:rsidRPr="00B67DFC">
              <w:rPr>
                <w:rFonts w:ascii="Garamond" w:eastAsia="MS Mincho" w:hAnsi="Garamond"/>
                <w:b/>
                <w:lang w:val="sq-AL"/>
              </w:rPr>
              <w:t>25</w:t>
            </w:r>
          </w:p>
        </w:tc>
        <w:tc>
          <w:tcPr>
            <w:tcW w:w="51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
                <w:lang w:val="sq-AL"/>
              </w:rPr>
            </w:pPr>
            <w:r w:rsidRPr="00B67DFC">
              <w:rPr>
                <w:rFonts w:ascii="Garamond" w:eastAsia="MS Mincho" w:hAnsi="Garamond"/>
                <w:b/>
                <w:lang w:val="sq-AL"/>
              </w:rPr>
              <w:t>2</w:t>
            </w:r>
          </w:p>
        </w:tc>
        <w:tc>
          <w:tcPr>
            <w:tcW w:w="51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
                <w:lang w:val="sq-AL"/>
              </w:rPr>
            </w:pPr>
            <w:r w:rsidRPr="00B67DFC">
              <w:rPr>
                <w:rFonts w:ascii="Garamond" w:eastAsia="MS Mincho" w:hAnsi="Garamond"/>
                <w:b/>
                <w:lang w:val="sq-AL"/>
              </w:rPr>
              <w:t>5</w:t>
            </w:r>
          </w:p>
        </w:tc>
        <w:tc>
          <w:tcPr>
            <w:tcW w:w="51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
                <w:lang w:val="sq-AL"/>
              </w:rPr>
            </w:pPr>
            <w:r w:rsidRPr="00B67DFC">
              <w:rPr>
                <w:rFonts w:ascii="Garamond" w:eastAsia="MS Mincho" w:hAnsi="Garamond"/>
                <w:b/>
                <w:lang w:val="sq-AL"/>
              </w:rPr>
              <w:t>3.5</w:t>
            </w:r>
          </w:p>
        </w:tc>
        <w:tc>
          <w:tcPr>
            <w:tcW w:w="51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
                <w:lang w:val="sq-AL"/>
              </w:rPr>
            </w:pPr>
            <w:r w:rsidRPr="00B67DFC">
              <w:rPr>
                <w:rFonts w:ascii="Garamond" w:eastAsia="MS Mincho" w:hAnsi="Garamond"/>
                <w:b/>
                <w:lang w:val="sq-AL"/>
              </w:rPr>
              <w:t>4</w:t>
            </w:r>
          </w:p>
        </w:tc>
        <w:tc>
          <w:tcPr>
            <w:tcW w:w="427"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
                <w:lang w:val="sq-AL"/>
              </w:rPr>
            </w:pPr>
            <w:r w:rsidRPr="00B67DFC">
              <w:rPr>
                <w:rFonts w:ascii="Garamond" w:eastAsia="MS Mincho" w:hAnsi="Garamond"/>
                <w:b/>
                <w:lang w:val="sq-AL"/>
              </w:rPr>
              <w:t>5</w:t>
            </w:r>
          </w:p>
        </w:tc>
        <w:tc>
          <w:tcPr>
            <w:tcW w:w="557"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
                <w:lang w:val="sq-AL"/>
              </w:rPr>
            </w:pPr>
            <w:r w:rsidRPr="00B67DFC">
              <w:rPr>
                <w:rFonts w:ascii="Garamond" w:eastAsia="MS Mincho" w:hAnsi="Garamond"/>
                <w:b/>
                <w:lang w:val="sq-AL"/>
              </w:rPr>
              <w:t>3</w:t>
            </w:r>
          </w:p>
        </w:tc>
        <w:tc>
          <w:tcPr>
            <w:tcW w:w="5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
                <w:lang w:val="sq-AL"/>
              </w:rPr>
            </w:pPr>
            <w:r w:rsidRPr="00B67DFC">
              <w:rPr>
                <w:rFonts w:ascii="Garamond" w:eastAsia="MS Mincho" w:hAnsi="Garamond"/>
                <w:b/>
                <w:lang w:val="sq-AL"/>
              </w:rPr>
              <w:t>47.5</w:t>
            </w:r>
          </w:p>
        </w:tc>
      </w:tr>
      <w:tr w:rsidR="00D74EF3" w:rsidRPr="00B67DFC" w:rsidTr="0050532B">
        <w:trPr>
          <w:cantSplit/>
          <w:trHeight w:hRule="exact" w:val="267"/>
          <w:jc w:val="center"/>
        </w:trPr>
        <w:tc>
          <w:tcPr>
            <w:tcW w:w="887"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 w:val="left" w:pos="1210"/>
              </w:tabs>
              <w:ind w:left="144" w:right="144"/>
              <w:rPr>
                <w:rFonts w:ascii="Garamond" w:eastAsia="MS Mincho" w:hAnsi="Garamond"/>
                <w:lang w:val="sq-AL"/>
              </w:rPr>
            </w:pPr>
            <w:r w:rsidRPr="00B67DFC">
              <w:rPr>
                <w:rFonts w:ascii="Garamond" w:eastAsia="MS Mincho" w:hAnsi="Garamond"/>
                <w:lang w:val="sq-AL"/>
              </w:rPr>
              <w:t>mbi 10,000</w:t>
            </w:r>
          </w:p>
        </w:tc>
        <w:tc>
          <w:tcPr>
            <w:tcW w:w="51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
                <w:lang w:val="sq-AL"/>
              </w:rPr>
            </w:pPr>
            <w:r w:rsidRPr="00B67DFC">
              <w:rPr>
                <w:rFonts w:ascii="Garamond" w:eastAsia="MS Mincho" w:hAnsi="Garamond"/>
                <w:b/>
                <w:lang w:val="sq-AL"/>
              </w:rPr>
              <w:t>25</w:t>
            </w:r>
          </w:p>
        </w:tc>
        <w:tc>
          <w:tcPr>
            <w:tcW w:w="51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
                <w:lang w:val="sq-AL"/>
              </w:rPr>
            </w:pPr>
            <w:r w:rsidRPr="00B67DFC">
              <w:rPr>
                <w:rFonts w:ascii="Garamond" w:eastAsia="MS Mincho" w:hAnsi="Garamond"/>
                <w:b/>
                <w:lang w:val="sq-AL"/>
              </w:rPr>
              <w:t>2</w:t>
            </w:r>
          </w:p>
        </w:tc>
        <w:tc>
          <w:tcPr>
            <w:tcW w:w="51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
                <w:lang w:val="sq-AL"/>
              </w:rPr>
            </w:pPr>
            <w:r w:rsidRPr="00B67DFC">
              <w:rPr>
                <w:rFonts w:ascii="Garamond" w:eastAsia="MS Mincho" w:hAnsi="Garamond"/>
                <w:b/>
                <w:lang w:val="sq-AL"/>
              </w:rPr>
              <w:t>9</w:t>
            </w:r>
          </w:p>
        </w:tc>
        <w:tc>
          <w:tcPr>
            <w:tcW w:w="51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
                <w:lang w:val="sq-AL"/>
              </w:rPr>
            </w:pPr>
            <w:r w:rsidRPr="00B67DFC">
              <w:rPr>
                <w:rFonts w:ascii="Garamond" w:eastAsia="MS Mincho" w:hAnsi="Garamond"/>
                <w:b/>
                <w:lang w:val="sq-AL"/>
              </w:rPr>
              <w:t>3.5</w:t>
            </w:r>
          </w:p>
        </w:tc>
        <w:tc>
          <w:tcPr>
            <w:tcW w:w="51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
                <w:lang w:val="sq-AL"/>
              </w:rPr>
            </w:pPr>
            <w:r w:rsidRPr="00B67DFC">
              <w:rPr>
                <w:rFonts w:ascii="Garamond" w:eastAsia="MS Mincho" w:hAnsi="Garamond"/>
                <w:b/>
                <w:lang w:val="sq-AL"/>
              </w:rPr>
              <w:t>4.5</w:t>
            </w:r>
          </w:p>
        </w:tc>
        <w:tc>
          <w:tcPr>
            <w:tcW w:w="427"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
                <w:lang w:val="sq-AL"/>
              </w:rPr>
            </w:pPr>
            <w:r w:rsidRPr="00B67DFC">
              <w:rPr>
                <w:rFonts w:ascii="Garamond" w:eastAsia="MS Mincho" w:hAnsi="Garamond"/>
                <w:b/>
                <w:lang w:val="sq-AL"/>
              </w:rPr>
              <w:t>5</w:t>
            </w:r>
          </w:p>
        </w:tc>
        <w:tc>
          <w:tcPr>
            <w:tcW w:w="557"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
                <w:lang w:val="sq-AL"/>
              </w:rPr>
            </w:pPr>
            <w:r w:rsidRPr="00B67DFC">
              <w:rPr>
                <w:rFonts w:ascii="Garamond" w:eastAsia="MS Mincho" w:hAnsi="Garamond"/>
                <w:b/>
                <w:lang w:val="sq-AL"/>
              </w:rPr>
              <w:t>3</w:t>
            </w:r>
          </w:p>
        </w:tc>
        <w:tc>
          <w:tcPr>
            <w:tcW w:w="5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
                <w:lang w:val="sq-AL"/>
              </w:rPr>
            </w:pPr>
            <w:r w:rsidRPr="00B67DFC">
              <w:rPr>
                <w:rFonts w:ascii="Garamond" w:eastAsia="MS Mincho" w:hAnsi="Garamond"/>
                <w:b/>
                <w:lang w:val="sq-AL"/>
              </w:rPr>
              <w:t>52</w:t>
            </w:r>
          </w:p>
        </w:tc>
      </w:tr>
      <w:tr w:rsidR="00D74EF3" w:rsidRPr="00B67DFC" w:rsidTr="0050532B">
        <w:trPr>
          <w:cantSplit/>
          <w:trHeight w:hRule="exact" w:val="286"/>
          <w:jc w:val="center"/>
        </w:trPr>
        <w:tc>
          <w:tcPr>
            <w:tcW w:w="887"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 w:val="left" w:pos="1210"/>
              </w:tabs>
              <w:ind w:left="144" w:right="144"/>
              <w:rPr>
                <w:rFonts w:ascii="Garamond" w:eastAsia="MS Mincho" w:hAnsi="Garamond"/>
                <w:lang w:val="sq-AL"/>
              </w:rPr>
            </w:pPr>
            <w:r w:rsidRPr="00B67DFC">
              <w:rPr>
                <w:rFonts w:ascii="Garamond" w:eastAsia="MS Mincho" w:hAnsi="Garamond"/>
                <w:lang w:val="sq-AL"/>
              </w:rPr>
              <w:t>mbi 100,000</w:t>
            </w:r>
          </w:p>
        </w:tc>
        <w:tc>
          <w:tcPr>
            <w:tcW w:w="51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
                <w:lang w:val="sq-AL"/>
              </w:rPr>
            </w:pPr>
            <w:r w:rsidRPr="00B67DFC">
              <w:rPr>
                <w:rFonts w:ascii="Garamond" w:eastAsia="MS Mincho" w:hAnsi="Garamond"/>
                <w:b/>
                <w:lang w:val="sq-AL"/>
              </w:rPr>
              <w:t>25</w:t>
            </w:r>
          </w:p>
        </w:tc>
        <w:tc>
          <w:tcPr>
            <w:tcW w:w="51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
                <w:lang w:val="sq-AL"/>
              </w:rPr>
            </w:pPr>
            <w:r w:rsidRPr="00B67DFC">
              <w:rPr>
                <w:rFonts w:ascii="Garamond" w:eastAsia="MS Mincho" w:hAnsi="Garamond"/>
                <w:b/>
                <w:lang w:val="sq-AL"/>
              </w:rPr>
              <w:t>2</w:t>
            </w:r>
          </w:p>
        </w:tc>
        <w:tc>
          <w:tcPr>
            <w:tcW w:w="51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
                <w:lang w:val="sq-AL"/>
              </w:rPr>
            </w:pPr>
            <w:r w:rsidRPr="00B67DFC">
              <w:rPr>
                <w:rFonts w:ascii="Garamond" w:eastAsia="MS Mincho" w:hAnsi="Garamond"/>
                <w:b/>
                <w:lang w:val="sq-AL"/>
              </w:rPr>
              <w:t>9</w:t>
            </w:r>
          </w:p>
        </w:tc>
        <w:tc>
          <w:tcPr>
            <w:tcW w:w="51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
                <w:lang w:val="sq-AL"/>
              </w:rPr>
            </w:pPr>
            <w:r w:rsidRPr="00B67DFC">
              <w:rPr>
                <w:rFonts w:ascii="Garamond" w:eastAsia="MS Mincho" w:hAnsi="Garamond"/>
                <w:b/>
                <w:lang w:val="sq-AL"/>
              </w:rPr>
              <w:t>2.6</w:t>
            </w:r>
          </w:p>
        </w:tc>
        <w:tc>
          <w:tcPr>
            <w:tcW w:w="51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
                <w:lang w:val="sq-AL"/>
              </w:rPr>
            </w:pPr>
            <w:r w:rsidRPr="00B67DFC">
              <w:rPr>
                <w:rFonts w:ascii="Garamond" w:eastAsia="MS Mincho" w:hAnsi="Garamond"/>
                <w:b/>
                <w:lang w:val="sq-AL"/>
              </w:rPr>
              <w:t>4.5</w:t>
            </w:r>
          </w:p>
        </w:tc>
        <w:tc>
          <w:tcPr>
            <w:tcW w:w="427"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
                <w:lang w:val="sq-AL"/>
              </w:rPr>
            </w:pPr>
            <w:r w:rsidRPr="00B67DFC">
              <w:rPr>
                <w:rFonts w:ascii="Garamond" w:eastAsia="MS Mincho" w:hAnsi="Garamond"/>
                <w:b/>
                <w:lang w:val="sq-AL"/>
              </w:rPr>
              <w:t>5</w:t>
            </w:r>
          </w:p>
        </w:tc>
        <w:tc>
          <w:tcPr>
            <w:tcW w:w="557"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
                <w:lang w:val="sq-AL"/>
              </w:rPr>
            </w:pPr>
            <w:r w:rsidRPr="00B67DFC">
              <w:rPr>
                <w:rFonts w:ascii="Garamond" w:eastAsia="MS Mincho" w:hAnsi="Garamond"/>
                <w:b/>
                <w:lang w:val="sq-AL"/>
              </w:rPr>
              <w:t>3</w:t>
            </w:r>
          </w:p>
        </w:tc>
        <w:tc>
          <w:tcPr>
            <w:tcW w:w="5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
                <w:bCs/>
                <w:kern w:val="3"/>
                <w:lang w:val="sq-AL"/>
              </w:rPr>
            </w:pPr>
            <w:r w:rsidRPr="00B67DFC">
              <w:rPr>
                <w:rFonts w:ascii="Garamond" w:eastAsia="MS Mincho" w:hAnsi="Garamond"/>
                <w:b/>
                <w:lang w:val="sq-AL"/>
              </w:rPr>
              <w:t>51.1</w:t>
            </w:r>
          </w:p>
        </w:tc>
      </w:tr>
    </w:tbl>
    <w:p w:rsidR="00D74EF3" w:rsidRPr="00B67DFC" w:rsidRDefault="00D74EF3" w:rsidP="00D74EF3">
      <w:pPr>
        <w:widowControl w:val="0"/>
        <w:tabs>
          <w:tab w:val="left" w:pos="1120"/>
        </w:tabs>
        <w:jc w:val="center"/>
        <w:rPr>
          <w:rFonts w:ascii="Garamond" w:eastAsia="MS Mincho" w:hAnsi="Garamond"/>
          <w:lang w:val="sq-AL"/>
        </w:rPr>
      </w:pP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6. Nëse parkimi publik zgjidhet në rrugë, në sheshe dhe/ose në struktura me disa nivele, standarde minimale është 3 m</w:t>
      </w:r>
      <w:r w:rsidRPr="00B67DFC">
        <w:rPr>
          <w:rFonts w:ascii="Garamond" w:eastAsia="MS Mincho" w:hAnsi="Garamond" w:cs="CG Times"/>
          <w:vertAlign w:val="superscript"/>
          <w:lang w:val="sq-AL"/>
        </w:rPr>
        <w:t>2</w:t>
      </w:r>
      <w:r w:rsidRPr="00B67DFC">
        <w:rPr>
          <w:rFonts w:ascii="Garamond" w:eastAsia="MS Mincho" w:hAnsi="Garamond" w:cs="CG Times"/>
          <w:lang w:val="sq-AL"/>
        </w:rPr>
        <w:t xml:space="preserve">/banor ose 1 </w:t>
      </w:r>
      <w:proofErr w:type="spellStart"/>
      <w:r w:rsidRPr="00B67DFC">
        <w:rPr>
          <w:rFonts w:ascii="Garamond" w:eastAsia="MS Mincho" w:hAnsi="Garamond" w:cs="CG Times"/>
          <w:lang w:val="sq-AL"/>
        </w:rPr>
        <w:t>vendparkim</w:t>
      </w:r>
      <w:proofErr w:type="spellEnd"/>
      <w:r w:rsidRPr="00B67DFC">
        <w:rPr>
          <w:rFonts w:ascii="Garamond" w:eastAsia="MS Mincho" w:hAnsi="Garamond" w:cs="CG Times"/>
          <w:lang w:val="sq-AL"/>
        </w:rPr>
        <w:t xml:space="preserve"> prej 12 m</w:t>
      </w:r>
      <w:r w:rsidRPr="00B67DFC">
        <w:rPr>
          <w:rFonts w:ascii="Garamond" w:eastAsia="MS Mincho" w:hAnsi="Garamond" w:cs="CG Times"/>
          <w:vertAlign w:val="superscript"/>
          <w:lang w:val="sq-AL"/>
        </w:rPr>
        <w:t>2</w:t>
      </w:r>
      <w:r w:rsidRPr="00B67DFC">
        <w:rPr>
          <w:rFonts w:ascii="Garamond" w:eastAsia="MS Mincho" w:hAnsi="Garamond" w:cs="CG Times"/>
          <w:lang w:val="sq-AL"/>
        </w:rPr>
        <w:t xml:space="preserve"> për çdo 4 banorë. Hapësira e parkimit për struktura për përdorim jo banim, si hapësirë e dedikuar vetëm për strukturën në fjalë llogaritet mbi bazën e fluksit ditor dhe 24-orësh të përdoruesve të asaj strukture. Për zonat dhe strukturat me përdorime të përziera, zona me intensitet të lartë ndërtimi, zona me struktura banimi në bashkëpronësi në ndërtesa </w:t>
      </w:r>
      <w:proofErr w:type="spellStart"/>
      <w:r w:rsidRPr="00B67DFC">
        <w:rPr>
          <w:rFonts w:ascii="Garamond" w:eastAsia="MS Mincho" w:hAnsi="Garamond" w:cs="CG Times"/>
          <w:lang w:val="sq-AL"/>
        </w:rPr>
        <w:t>shumëfamilajre</w:t>
      </w:r>
      <w:proofErr w:type="spellEnd"/>
      <w:r w:rsidRPr="00B67DFC">
        <w:rPr>
          <w:rFonts w:ascii="Garamond" w:eastAsia="MS Mincho" w:hAnsi="Garamond" w:cs="CG Times"/>
          <w:lang w:val="sq-AL"/>
        </w:rPr>
        <w:t xml:space="preserve">, ose përdorime homogjene jo banim, parkimi u referohet standardeve të përcaktuara në këtë pikë dhe realizohet në hapësirë të hapur publike dhe në nivel ose në struktura me disa nivele dhe mund të jetë privat ose publik, sipas rastit.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7. Standardet minimale për strukturat publike për arsim, por </w:t>
      </w:r>
      <w:proofErr w:type="spellStart"/>
      <w:r w:rsidRPr="00B67DFC">
        <w:rPr>
          <w:rFonts w:ascii="Garamond" w:eastAsia="MS Mincho" w:hAnsi="Garamond" w:cs="CG Times"/>
          <w:lang w:val="sq-AL"/>
        </w:rPr>
        <w:t>jouniversitar</w:t>
      </w:r>
      <w:proofErr w:type="spellEnd"/>
      <w:r w:rsidRPr="00B67DFC">
        <w:rPr>
          <w:rFonts w:ascii="Garamond" w:eastAsia="MS Mincho" w:hAnsi="Garamond" w:cs="CG Times"/>
          <w:lang w:val="sq-AL"/>
        </w:rPr>
        <w:t xml:space="preserve"> dhe qendra dhe struktura shëndetësore, por </w:t>
      </w:r>
      <w:proofErr w:type="spellStart"/>
      <w:r w:rsidRPr="00B67DFC">
        <w:rPr>
          <w:rFonts w:ascii="Garamond" w:eastAsia="MS Mincho" w:hAnsi="Garamond" w:cs="CG Times"/>
          <w:lang w:val="sq-AL"/>
        </w:rPr>
        <w:t>jospitalore</w:t>
      </w:r>
      <w:proofErr w:type="spellEnd"/>
      <w:r w:rsidRPr="00B67DFC">
        <w:rPr>
          <w:rFonts w:ascii="Garamond" w:eastAsia="MS Mincho" w:hAnsi="Garamond" w:cs="CG Times"/>
          <w:lang w:val="sq-AL"/>
        </w:rPr>
        <w:t xml:space="preserve">, janë si më poshtë: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a) Standardi minimal në njësitë dhe </w:t>
      </w:r>
      <w:proofErr w:type="spellStart"/>
      <w:r w:rsidRPr="00B67DFC">
        <w:rPr>
          <w:rFonts w:ascii="Garamond" w:eastAsia="MS Mincho" w:hAnsi="Garamond" w:cs="CG Times"/>
          <w:lang w:val="sq-AL"/>
        </w:rPr>
        <w:t>nënnjësitë</w:t>
      </w:r>
      <w:proofErr w:type="spellEnd"/>
      <w:r w:rsidRPr="00B67DFC">
        <w:rPr>
          <w:rFonts w:ascii="Garamond" w:eastAsia="MS Mincho" w:hAnsi="Garamond" w:cs="CG Times"/>
          <w:lang w:val="sq-AL"/>
        </w:rPr>
        <w:t xml:space="preserve"> strukturore të banimit për kopshte, çerdhe dhe shkolla 9-vjeçare është 4.5 m</w:t>
      </w:r>
      <w:r w:rsidRPr="00B67DFC">
        <w:rPr>
          <w:rFonts w:ascii="Garamond" w:eastAsia="MS Mincho" w:hAnsi="Garamond" w:cs="CG Times"/>
          <w:vertAlign w:val="superscript"/>
          <w:lang w:val="sq-AL"/>
        </w:rPr>
        <w:t>2</w:t>
      </w:r>
      <w:r w:rsidRPr="00B67DFC">
        <w:rPr>
          <w:rFonts w:ascii="Garamond" w:eastAsia="MS Mincho" w:hAnsi="Garamond" w:cs="CG Times"/>
          <w:lang w:val="sq-AL"/>
        </w:rPr>
        <w:t>/banor. Standardi minimal për ndërtimin e shkollave të mesme është 1.5 m</w:t>
      </w:r>
      <w:r w:rsidRPr="00B67DFC">
        <w:rPr>
          <w:rFonts w:ascii="Garamond" w:eastAsia="MS Mincho" w:hAnsi="Garamond" w:cs="CG Times"/>
          <w:vertAlign w:val="superscript"/>
          <w:lang w:val="sq-AL"/>
        </w:rPr>
        <w:t>2</w:t>
      </w:r>
      <w:r w:rsidRPr="00B67DFC">
        <w:rPr>
          <w:rFonts w:ascii="Garamond" w:eastAsia="MS Mincho" w:hAnsi="Garamond" w:cs="CG Times"/>
          <w:lang w:val="sq-AL"/>
        </w:rPr>
        <w:t xml:space="preserve">/banor.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b) Përveç standardeve të përcaktuara në shkronjën “a” të kësaj pike, standardet minimale për çerdhe janë:</w:t>
      </w:r>
    </w:p>
    <w:p w:rsidR="00D74EF3" w:rsidRPr="00B67DFC" w:rsidRDefault="00D74EF3" w:rsidP="00D74EF3">
      <w:pPr>
        <w:widowControl w:val="0"/>
        <w:tabs>
          <w:tab w:val="num" w:pos="720"/>
        </w:tabs>
        <w:jc w:val="both"/>
        <w:rPr>
          <w:rFonts w:ascii="Garamond" w:eastAsia="MS Mincho" w:hAnsi="Garamond"/>
          <w:lang w:val="sq-AL"/>
        </w:rPr>
      </w:pPr>
    </w:p>
    <w:tbl>
      <w:tblPr>
        <w:tblW w:w="5000" w:type="pct"/>
        <w:jc w:val="center"/>
        <w:shd w:val="clear" w:color="auto" w:fill="FFFFFF"/>
        <w:tblLook w:val="0000" w:firstRow="0" w:lastRow="0" w:firstColumn="0" w:lastColumn="0" w:noHBand="0" w:noVBand="0"/>
      </w:tblPr>
      <w:tblGrid>
        <w:gridCol w:w="389"/>
        <w:gridCol w:w="1865"/>
        <w:gridCol w:w="1194"/>
        <w:gridCol w:w="1058"/>
        <w:gridCol w:w="1041"/>
        <w:gridCol w:w="3083"/>
      </w:tblGrid>
      <w:tr w:rsidR="00D74EF3" w:rsidRPr="00B67DFC" w:rsidTr="0050532B">
        <w:trPr>
          <w:cantSplit/>
          <w:trHeight w:val="350"/>
          <w:jc w:val="center"/>
        </w:trPr>
        <w:tc>
          <w:tcPr>
            <w:tcW w:w="237" w:type="pct"/>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b/>
                <w:lang w:val="sq-AL"/>
              </w:rPr>
            </w:pPr>
            <w:r w:rsidRPr="00B67DFC">
              <w:rPr>
                <w:rFonts w:ascii="Garamond" w:eastAsia="MS Mincho" w:hAnsi="Garamond"/>
                <w:b/>
                <w:lang w:val="sq-AL"/>
              </w:rPr>
              <w:t xml:space="preserve">Nr. </w:t>
            </w:r>
          </w:p>
        </w:tc>
        <w:tc>
          <w:tcPr>
            <w:tcW w:w="1092" w:type="pct"/>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b/>
                <w:lang w:val="sq-AL"/>
              </w:rPr>
            </w:pPr>
            <w:r w:rsidRPr="00B67DFC">
              <w:rPr>
                <w:rFonts w:ascii="Garamond" w:eastAsia="MS Mincho" w:hAnsi="Garamond"/>
                <w:b/>
                <w:lang w:val="sq-AL"/>
              </w:rPr>
              <w:t>Emërtimi</w:t>
            </w:r>
          </w:p>
        </w:tc>
        <w:tc>
          <w:tcPr>
            <w:tcW w:w="703" w:type="pct"/>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b/>
                <w:lang w:val="sq-AL"/>
              </w:rPr>
            </w:pPr>
            <w:r w:rsidRPr="00B67DFC">
              <w:rPr>
                <w:rFonts w:ascii="Garamond" w:eastAsia="MS Mincho" w:hAnsi="Garamond"/>
                <w:b/>
                <w:lang w:val="sq-AL"/>
              </w:rPr>
              <w:t>Rrezja e shërbimit në vijë ajrore</w:t>
            </w:r>
          </w:p>
        </w:tc>
        <w:tc>
          <w:tcPr>
            <w:tcW w:w="1171" w:type="pct"/>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b/>
                <w:bCs/>
                <w:lang w:val="sq-AL"/>
              </w:rPr>
            </w:pPr>
            <w:r w:rsidRPr="00B67DFC">
              <w:rPr>
                <w:rFonts w:ascii="Garamond" w:eastAsia="MS Mincho" w:hAnsi="Garamond"/>
                <w:b/>
                <w:lang w:val="sq-AL"/>
              </w:rPr>
              <w:t>Standarde</w:t>
            </w:r>
          </w:p>
        </w:tc>
        <w:tc>
          <w:tcPr>
            <w:tcW w:w="1797" w:type="pct"/>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b/>
                <w:bCs/>
                <w:lang w:val="sq-AL"/>
              </w:rPr>
            </w:pPr>
            <w:r w:rsidRPr="00B67DFC">
              <w:rPr>
                <w:rFonts w:ascii="Garamond" w:eastAsia="MS Mincho" w:hAnsi="Garamond"/>
                <w:b/>
                <w:lang w:val="sq-AL"/>
              </w:rPr>
              <w:t>Treguesi i planifikimit</w:t>
            </w:r>
          </w:p>
        </w:tc>
      </w:tr>
      <w:tr w:rsidR="00D74EF3" w:rsidRPr="00B67DFC" w:rsidTr="0050532B">
        <w:trPr>
          <w:cantSplit/>
          <w:trHeight w:val="255"/>
          <w:jc w:val="center"/>
        </w:trPr>
        <w:tc>
          <w:tcPr>
            <w:tcW w:w="237" w:type="pct"/>
            <w:vMerge/>
            <w:tcBorders>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outlineLvl w:val="4"/>
              <w:rPr>
                <w:rFonts w:ascii="Garamond" w:eastAsia="MS Mincho" w:hAnsi="Garamond"/>
                <w:lang w:val="sq-AL"/>
              </w:rPr>
            </w:pPr>
          </w:p>
        </w:tc>
        <w:tc>
          <w:tcPr>
            <w:tcW w:w="1092" w:type="pct"/>
            <w:vMerge/>
            <w:tcBorders>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outlineLvl w:val="4"/>
              <w:rPr>
                <w:rFonts w:ascii="Garamond" w:eastAsia="MS Mincho" w:hAnsi="Garamond"/>
                <w:lang w:val="sq-AL"/>
              </w:rPr>
            </w:pPr>
          </w:p>
        </w:tc>
        <w:tc>
          <w:tcPr>
            <w:tcW w:w="703" w:type="pct"/>
            <w:vMerge/>
            <w:tcBorders>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outlineLvl w:val="4"/>
              <w:rPr>
                <w:rFonts w:ascii="Garamond" w:eastAsia="MS Mincho" w:hAnsi="Garamond"/>
                <w:lang w:val="sq-AL"/>
              </w:rPr>
            </w:pPr>
          </w:p>
        </w:tc>
        <w:tc>
          <w:tcPr>
            <w:tcW w:w="62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b/>
                <w:lang w:val="sq-AL"/>
              </w:rPr>
            </w:pPr>
            <w:r w:rsidRPr="00B67DFC">
              <w:rPr>
                <w:rFonts w:ascii="Garamond" w:eastAsia="MS Mincho" w:hAnsi="Garamond"/>
                <w:b/>
                <w:lang w:val="sq-AL"/>
              </w:rPr>
              <w:t>Hektarë</w:t>
            </w:r>
          </w:p>
        </w:tc>
        <w:tc>
          <w:tcPr>
            <w:tcW w:w="547"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b/>
                <w:lang w:val="sq-AL"/>
              </w:rPr>
            </w:pPr>
            <w:r w:rsidRPr="00B67DFC">
              <w:rPr>
                <w:rFonts w:ascii="Garamond" w:eastAsia="MS Mincho" w:hAnsi="Garamond"/>
                <w:b/>
                <w:lang w:val="sq-AL"/>
              </w:rPr>
              <w:t>m</w:t>
            </w:r>
            <w:r w:rsidRPr="00B67DFC">
              <w:rPr>
                <w:rFonts w:ascii="Garamond" w:eastAsia="MS Mincho" w:hAnsi="Garamond"/>
                <w:b/>
                <w:vertAlign w:val="superscript"/>
                <w:lang w:val="sq-AL"/>
              </w:rPr>
              <w:t>2</w:t>
            </w:r>
            <w:r w:rsidRPr="00B67DFC">
              <w:rPr>
                <w:rFonts w:ascii="Garamond" w:eastAsia="MS Mincho" w:hAnsi="Garamond"/>
                <w:b/>
                <w:lang w:val="sq-AL"/>
              </w:rPr>
              <w:t>/fëmijë</w:t>
            </w:r>
          </w:p>
        </w:tc>
        <w:tc>
          <w:tcPr>
            <w:tcW w:w="1797" w:type="pct"/>
            <w:vMerge/>
            <w:tcBorders>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outlineLvl w:val="4"/>
              <w:rPr>
                <w:rFonts w:ascii="Garamond" w:eastAsia="MS Mincho" w:hAnsi="Garamond"/>
                <w:lang w:val="sq-AL"/>
              </w:rPr>
            </w:pPr>
          </w:p>
        </w:tc>
      </w:tr>
      <w:tr w:rsidR="00D74EF3" w:rsidRPr="00B67DFC" w:rsidTr="0050532B">
        <w:trPr>
          <w:cantSplit/>
          <w:trHeight w:hRule="exact" w:val="293"/>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1</w:t>
            </w:r>
          </w:p>
        </w:tc>
        <w:tc>
          <w:tcPr>
            <w:tcW w:w="109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ind w:left="114"/>
              <w:rPr>
                <w:rFonts w:ascii="Garamond" w:eastAsia="MS Mincho" w:hAnsi="Garamond"/>
                <w:lang w:val="sq-AL"/>
              </w:rPr>
            </w:pPr>
            <w:r w:rsidRPr="00B67DFC">
              <w:rPr>
                <w:rFonts w:ascii="Garamond" w:eastAsia="MS Mincho" w:hAnsi="Garamond"/>
                <w:lang w:val="sq-AL"/>
              </w:rPr>
              <w:t>Çerdhe me një grup</w:t>
            </w:r>
          </w:p>
        </w:tc>
        <w:tc>
          <w:tcPr>
            <w:tcW w:w="703" w:type="pct"/>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200 – 300 metra</w:t>
            </w:r>
          </w:p>
        </w:tc>
        <w:tc>
          <w:tcPr>
            <w:tcW w:w="62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0.09</w:t>
            </w:r>
          </w:p>
        </w:tc>
        <w:tc>
          <w:tcPr>
            <w:tcW w:w="547"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30</w:t>
            </w:r>
          </w:p>
        </w:tc>
        <w:tc>
          <w:tcPr>
            <w:tcW w:w="1797" w:type="pct"/>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tabs>
                <w:tab w:val="left" w:pos="163"/>
              </w:tabs>
              <w:ind w:left="163"/>
              <w:rPr>
                <w:rFonts w:ascii="Garamond" w:eastAsia="MS Mincho" w:hAnsi="Garamond"/>
                <w:lang w:val="sq-AL"/>
              </w:rPr>
            </w:pPr>
            <w:r w:rsidRPr="00B67DFC">
              <w:rPr>
                <w:rFonts w:ascii="Garamond" w:eastAsia="MS Mincho" w:hAnsi="Garamond"/>
                <w:lang w:val="sq-AL"/>
              </w:rPr>
              <w:t>Në qytet: 25-30 fëmijë për 1000 banorë.</w:t>
            </w:r>
          </w:p>
          <w:p w:rsidR="00D74EF3" w:rsidRPr="00B67DFC" w:rsidRDefault="00D74EF3" w:rsidP="00D74EF3">
            <w:pPr>
              <w:widowControl w:val="0"/>
              <w:tabs>
                <w:tab w:val="left" w:pos="163"/>
              </w:tabs>
              <w:ind w:left="163"/>
              <w:rPr>
                <w:rFonts w:ascii="Garamond" w:eastAsia="MS Mincho" w:hAnsi="Garamond"/>
                <w:lang w:val="sq-AL"/>
              </w:rPr>
            </w:pPr>
            <w:r w:rsidRPr="00B67DFC">
              <w:rPr>
                <w:rFonts w:ascii="Garamond" w:eastAsia="MS Mincho" w:hAnsi="Garamond"/>
                <w:lang w:val="sq-AL"/>
              </w:rPr>
              <w:t xml:space="preserve">Në fshat: 13-15 fëmijë për 1000 banorë. </w:t>
            </w:r>
          </w:p>
        </w:tc>
      </w:tr>
      <w:tr w:rsidR="00D74EF3" w:rsidRPr="00B67DFC" w:rsidTr="0050532B">
        <w:trPr>
          <w:cantSplit/>
          <w:trHeight w:hRule="exact" w:val="283"/>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2</w:t>
            </w:r>
          </w:p>
        </w:tc>
        <w:tc>
          <w:tcPr>
            <w:tcW w:w="109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ind w:left="114"/>
              <w:rPr>
                <w:rFonts w:ascii="Garamond" w:eastAsia="MS Mincho" w:hAnsi="Garamond"/>
                <w:lang w:val="sq-AL"/>
              </w:rPr>
            </w:pPr>
            <w:r w:rsidRPr="00B67DFC">
              <w:rPr>
                <w:rFonts w:ascii="Garamond" w:eastAsia="MS Mincho" w:hAnsi="Garamond"/>
                <w:lang w:val="sq-AL"/>
              </w:rPr>
              <w:t>Çerdhe me dy grupe</w:t>
            </w:r>
          </w:p>
        </w:tc>
        <w:tc>
          <w:tcPr>
            <w:tcW w:w="703" w:type="pct"/>
            <w:vMerge/>
            <w:tcBorders>
              <w:left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outlineLvl w:val="4"/>
              <w:rPr>
                <w:rFonts w:ascii="Garamond" w:eastAsia="MS Mincho" w:hAnsi="Garamond"/>
                <w:lang w:val="sq-AL"/>
              </w:rPr>
            </w:pPr>
          </w:p>
        </w:tc>
        <w:tc>
          <w:tcPr>
            <w:tcW w:w="62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0.15</w:t>
            </w:r>
          </w:p>
        </w:tc>
        <w:tc>
          <w:tcPr>
            <w:tcW w:w="547"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25</w:t>
            </w:r>
          </w:p>
        </w:tc>
        <w:tc>
          <w:tcPr>
            <w:tcW w:w="1797" w:type="pct"/>
            <w:vMerge/>
            <w:tcBorders>
              <w:left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outlineLvl w:val="4"/>
              <w:rPr>
                <w:rFonts w:ascii="Garamond" w:eastAsia="MS Mincho" w:hAnsi="Garamond"/>
                <w:lang w:val="sq-AL"/>
              </w:rPr>
            </w:pPr>
          </w:p>
        </w:tc>
      </w:tr>
      <w:tr w:rsidR="00D74EF3" w:rsidRPr="00B67DFC" w:rsidTr="0050532B">
        <w:trPr>
          <w:cantSplit/>
          <w:trHeight w:hRule="exact" w:val="287"/>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3</w:t>
            </w:r>
          </w:p>
        </w:tc>
        <w:tc>
          <w:tcPr>
            <w:tcW w:w="109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ind w:left="114"/>
              <w:rPr>
                <w:rFonts w:ascii="Garamond" w:eastAsia="MS Mincho" w:hAnsi="Garamond"/>
                <w:lang w:val="sq-AL"/>
              </w:rPr>
            </w:pPr>
            <w:r w:rsidRPr="00B67DFC">
              <w:rPr>
                <w:rFonts w:ascii="Garamond" w:eastAsia="MS Mincho" w:hAnsi="Garamond"/>
                <w:lang w:val="sq-AL"/>
              </w:rPr>
              <w:t>Çerdhe me tri grupe</w:t>
            </w:r>
          </w:p>
        </w:tc>
        <w:tc>
          <w:tcPr>
            <w:tcW w:w="703" w:type="pct"/>
            <w:vMerge/>
            <w:tcBorders>
              <w:left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outlineLvl w:val="4"/>
              <w:rPr>
                <w:rFonts w:ascii="Garamond" w:eastAsia="MS Mincho" w:hAnsi="Garamond"/>
                <w:lang w:val="sq-AL"/>
              </w:rPr>
            </w:pPr>
          </w:p>
        </w:tc>
        <w:tc>
          <w:tcPr>
            <w:tcW w:w="62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0.22</w:t>
            </w:r>
          </w:p>
        </w:tc>
        <w:tc>
          <w:tcPr>
            <w:tcW w:w="547"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25</w:t>
            </w:r>
          </w:p>
        </w:tc>
        <w:tc>
          <w:tcPr>
            <w:tcW w:w="1797" w:type="pct"/>
            <w:vMerge/>
            <w:tcBorders>
              <w:left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outlineLvl w:val="4"/>
              <w:rPr>
                <w:rFonts w:ascii="Garamond" w:eastAsia="MS Mincho" w:hAnsi="Garamond"/>
                <w:lang w:val="sq-AL"/>
              </w:rPr>
            </w:pPr>
          </w:p>
        </w:tc>
      </w:tr>
      <w:tr w:rsidR="00D74EF3" w:rsidRPr="00B67DFC" w:rsidTr="0050532B">
        <w:trPr>
          <w:cantSplit/>
          <w:trHeight w:hRule="exact" w:val="277"/>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4</w:t>
            </w:r>
          </w:p>
        </w:tc>
        <w:tc>
          <w:tcPr>
            <w:tcW w:w="109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ind w:left="114"/>
              <w:rPr>
                <w:rFonts w:ascii="Garamond" w:eastAsia="MS Mincho" w:hAnsi="Garamond"/>
                <w:lang w:val="sq-AL"/>
              </w:rPr>
            </w:pPr>
            <w:r w:rsidRPr="00B67DFC">
              <w:rPr>
                <w:rFonts w:ascii="Garamond" w:eastAsia="MS Mincho" w:hAnsi="Garamond"/>
                <w:lang w:val="sq-AL"/>
              </w:rPr>
              <w:t>Çerdhe me katër grupe</w:t>
            </w:r>
          </w:p>
        </w:tc>
        <w:tc>
          <w:tcPr>
            <w:tcW w:w="703" w:type="pct"/>
            <w:vMerge/>
            <w:tcBorders>
              <w:left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outlineLvl w:val="4"/>
              <w:rPr>
                <w:rFonts w:ascii="Garamond" w:eastAsia="MS Mincho" w:hAnsi="Garamond"/>
                <w:lang w:val="sq-AL"/>
              </w:rPr>
            </w:pPr>
          </w:p>
        </w:tc>
        <w:tc>
          <w:tcPr>
            <w:tcW w:w="62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0.24</w:t>
            </w:r>
          </w:p>
        </w:tc>
        <w:tc>
          <w:tcPr>
            <w:tcW w:w="547"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20</w:t>
            </w:r>
          </w:p>
        </w:tc>
        <w:tc>
          <w:tcPr>
            <w:tcW w:w="1797" w:type="pct"/>
            <w:vMerge/>
            <w:tcBorders>
              <w:left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outlineLvl w:val="4"/>
              <w:rPr>
                <w:rFonts w:ascii="Garamond" w:eastAsia="MS Mincho" w:hAnsi="Garamond"/>
                <w:lang w:val="sq-AL"/>
              </w:rPr>
            </w:pPr>
          </w:p>
        </w:tc>
      </w:tr>
      <w:tr w:rsidR="00D74EF3" w:rsidRPr="00B67DFC" w:rsidTr="0050532B">
        <w:trPr>
          <w:cantSplit/>
          <w:trHeight w:hRule="exact" w:val="281"/>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5</w:t>
            </w:r>
          </w:p>
        </w:tc>
        <w:tc>
          <w:tcPr>
            <w:tcW w:w="109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ind w:left="114"/>
              <w:rPr>
                <w:rFonts w:ascii="Garamond" w:eastAsia="MS Mincho" w:hAnsi="Garamond"/>
                <w:lang w:val="sq-AL"/>
              </w:rPr>
            </w:pPr>
            <w:r w:rsidRPr="00B67DFC">
              <w:rPr>
                <w:rFonts w:ascii="Garamond" w:eastAsia="MS Mincho" w:hAnsi="Garamond"/>
                <w:lang w:val="sq-AL"/>
              </w:rPr>
              <w:t>Çerdhe me dhjetë grupe</w:t>
            </w:r>
          </w:p>
        </w:tc>
        <w:tc>
          <w:tcPr>
            <w:tcW w:w="703" w:type="pct"/>
            <w:vMerge/>
            <w:tcBorders>
              <w:left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outlineLvl w:val="4"/>
              <w:rPr>
                <w:rFonts w:ascii="Garamond" w:eastAsia="MS Mincho" w:hAnsi="Garamond"/>
                <w:lang w:val="sq-AL"/>
              </w:rPr>
            </w:pPr>
          </w:p>
        </w:tc>
        <w:tc>
          <w:tcPr>
            <w:tcW w:w="62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0.04</w:t>
            </w:r>
          </w:p>
        </w:tc>
        <w:tc>
          <w:tcPr>
            <w:tcW w:w="547"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40</w:t>
            </w:r>
          </w:p>
        </w:tc>
        <w:tc>
          <w:tcPr>
            <w:tcW w:w="1797" w:type="pct"/>
            <w:vMerge/>
            <w:tcBorders>
              <w:left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outlineLvl w:val="4"/>
              <w:rPr>
                <w:rFonts w:ascii="Garamond" w:eastAsia="MS Mincho" w:hAnsi="Garamond"/>
                <w:lang w:val="sq-AL"/>
              </w:rPr>
            </w:pPr>
          </w:p>
        </w:tc>
      </w:tr>
      <w:tr w:rsidR="00D74EF3" w:rsidRPr="00B67DFC" w:rsidTr="0050532B">
        <w:trPr>
          <w:cantSplit/>
          <w:trHeight w:hRule="exact" w:val="285"/>
          <w:jc w:val="center"/>
        </w:trPr>
        <w:tc>
          <w:tcPr>
            <w:tcW w:w="237"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6</w:t>
            </w:r>
          </w:p>
        </w:tc>
        <w:tc>
          <w:tcPr>
            <w:tcW w:w="109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ind w:left="114"/>
              <w:rPr>
                <w:rFonts w:ascii="Garamond" w:eastAsia="MS Mincho" w:hAnsi="Garamond"/>
                <w:lang w:val="sq-AL"/>
              </w:rPr>
            </w:pPr>
            <w:r w:rsidRPr="00B67DFC">
              <w:rPr>
                <w:rFonts w:ascii="Garamond" w:eastAsia="MS Mincho" w:hAnsi="Garamond"/>
                <w:lang w:val="sq-AL"/>
              </w:rPr>
              <w:t>Çerdhe me njëzetë grupe</w:t>
            </w:r>
          </w:p>
        </w:tc>
        <w:tc>
          <w:tcPr>
            <w:tcW w:w="703" w:type="pct"/>
            <w:vMerge/>
            <w:tcBorders>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outlineLvl w:val="4"/>
              <w:rPr>
                <w:rFonts w:ascii="Garamond" w:eastAsia="MS Mincho" w:hAnsi="Garamond"/>
                <w:lang w:val="sq-AL"/>
              </w:rPr>
            </w:pPr>
          </w:p>
        </w:tc>
        <w:tc>
          <w:tcPr>
            <w:tcW w:w="62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0.06</w:t>
            </w:r>
          </w:p>
        </w:tc>
        <w:tc>
          <w:tcPr>
            <w:tcW w:w="547"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30</w:t>
            </w:r>
          </w:p>
        </w:tc>
        <w:tc>
          <w:tcPr>
            <w:tcW w:w="1797" w:type="pct"/>
            <w:vMerge/>
            <w:tcBorders>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outlineLvl w:val="4"/>
              <w:rPr>
                <w:rFonts w:ascii="Garamond" w:eastAsia="MS Mincho" w:hAnsi="Garamond"/>
                <w:lang w:val="sq-AL"/>
              </w:rPr>
            </w:pPr>
          </w:p>
        </w:tc>
      </w:tr>
    </w:tbl>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lastRenderedPageBreak/>
        <w:t>c) Përveç standardeve të përcaktuara në shkronjën “a” të kësaj pike, standardet minimale për kopshte janë:</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ind w:firstLine="720"/>
        <w:jc w:val="both"/>
        <w:rPr>
          <w:rFonts w:ascii="Garamond" w:eastAsia="MS Mincho" w:hAnsi="Garamond" w:cs="CG Times"/>
          <w:lang w:val="sq-AL"/>
        </w:rPr>
      </w:pPr>
    </w:p>
    <w:tbl>
      <w:tblPr>
        <w:tblW w:w="5000" w:type="pct"/>
        <w:jc w:val="center"/>
        <w:shd w:val="clear" w:color="auto" w:fill="FFFFFF"/>
        <w:tblLook w:val="0000" w:firstRow="0" w:lastRow="0" w:firstColumn="0" w:lastColumn="0" w:noHBand="0" w:noVBand="0"/>
      </w:tblPr>
      <w:tblGrid>
        <w:gridCol w:w="1623"/>
        <w:gridCol w:w="1438"/>
        <w:gridCol w:w="1975"/>
        <w:gridCol w:w="1619"/>
        <w:gridCol w:w="1975"/>
      </w:tblGrid>
      <w:tr w:rsidR="00D74EF3" w:rsidRPr="00B67DFC" w:rsidTr="0050532B">
        <w:trPr>
          <w:cantSplit/>
          <w:trHeight w:val="350"/>
          <w:jc w:val="center"/>
        </w:trPr>
        <w:tc>
          <w:tcPr>
            <w:tcW w:w="1773" w:type="pct"/>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b/>
                <w:lang w:val="sq-AL"/>
              </w:rPr>
            </w:pPr>
            <w:r w:rsidRPr="00B67DFC">
              <w:rPr>
                <w:rFonts w:ascii="Garamond" w:eastAsia="MS Mincho" w:hAnsi="Garamond"/>
                <w:b/>
                <w:lang w:val="sq-AL"/>
              </w:rPr>
              <w:t>Kopsht fëmijësh</w:t>
            </w:r>
          </w:p>
        </w:tc>
        <w:tc>
          <w:tcPr>
            <w:tcW w:w="2082" w:type="pct"/>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outlineLvl w:val="4"/>
              <w:rPr>
                <w:rFonts w:ascii="Garamond" w:eastAsia="MS Mincho" w:hAnsi="Garamond"/>
                <w:b/>
                <w:lang w:val="sq-AL"/>
              </w:rPr>
            </w:pPr>
            <w:r w:rsidRPr="00B67DFC">
              <w:rPr>
                <w:rFonts w:ascii="Garamond" w:eastAsia="MS Mincho" w:hAnsi="Garamond"/>
                <w:b/>
                <w:lang w:val="sq-AL"/>
              </w:rPr>
              <w:t>Standarde</w:t>
            </w:r>
          </w:p>
        </w:tc>
        <w:tc>
          <w:tcPr>
            <w:tcW w:w="1144" w:type="pct"/>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tabs>
                <w:tab w:val="left" w:pos="460"/>
              </w:tabs>
              <w:jc w:val="center"/>
              <w:rPr>
                <w:rFonts w:ascii="Garamond" w:eastAsia="MS Mincho" w:hAnsi="Garamond"/>
                <w:b/>
                <w:lang w:val="sq-AL"/>
              </w:rPr>
            </w:pPr>
            <w:r w:rsidRPr="00B67DFC">
              <w:rPr>
                <w:rFonts w:ascii="Garamond" w:eastAsia="MS Mincho" w:hAnsi="Garamond"/>
                <w:b/>
                <w:lang w:val="sq-AL"/>
              </w:rPr>
              <w:t>Rrezja e shërbimit në metra në vijë ajrore</w:t>
            </w:r>
          </w:p>
        </w:tc>
      </w:tr>
      <w:tr w:rsidR="00D74EF3" w:rsidRPr="00B67DFC" w:rsidTr="0050532B">
        <w:trPr>
          <w:cantSplit/>
          <w:trHeight w:val="132"/>
          <w:jc w:val="center"/>
        </w:trPr>
        <w:tc>
          <w:tcPr>
            <w:tcW w:w="9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tabs>
                <w:tab w:val="left" w:pos="460"/>
              </w:tabs>
              <w:jc w:val="center"/>
              <w:rPr>
                <w:rFonts w:ascii="Garamond" w:eastAsia="MS Mincho" w:hAnsi="Garamond"/>
                <w:b/>
                <w:lang w:val="sq-AL"/>
              </w:rPr>
            </w:pPr>
            <w:r w:rsidRPr="00B67DFC">
              <w:rPr>
                <w:rFonts w:ascii="Garamond" w:eastAsia="MS Mincho" w:hAnsi="Garamond"/>
                <w:b/>
                <w:lang w:val="sq-AL"/>
              </w:rPr>
              <w:t>Vendndodhja</w:t>
            </w:r>
          </w:p>
        </w:tc>
        <w:tc>
          <w:tcPr>
            <w:tcW w:w="83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tabs>
                <w:tab w:val="left" w:pos="460"/>
              </w:tabs>
              <w:jc w:val="center"/>
              <w:rPr>
                <w:rFonts w:ascii="Garamond" w:eastAsia="MS Mincho" w:hAnsi="Garamond"/>
                <w:b/>
                <w:lang w:val="sq-AL"/>
              </w:rPr>
            </w:pPr>
            <w:r w:rsidRPr="00B67DFC">
              <w:rPr>
                <w:rFonts w:ascii="Garamond" w:eastAsia="MS Mincho" w:hAnsi="Garamond"/>
                <w:b/>
                <w:lang w:val="sq-AL"/>
              </w:rPr>
              <w:t>Numri i grupeve</w:t>
            </w:r>
          </w:p>
        </w:tc>
        <w:tc>
          <w:tcPr>
            <w:tcW w:w="114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tabs>
                <w:tab w:val="left" w:pos="460"/>
              </w:tabs>
              <w:jc w:val="center"/>
              <w:rPr>
                <w:rFonts w:ascii="Garamond" w:eastAsia="MS Mincho" w:hAnsi="Garamond"/>
                <w:b/>
                <w:lang w:val="sq-AL"/>
              </w:rPr>
            </w:pPr>
            <w:r w:rsidRPr="00B67DFC">
              <w:rPr>
                <w:rFonts w:ascii="Garamond" w:eastAsia="MS Mincho" w:hAnsi="Garamond"/>
                <w:b/>
                <w:lang w:val="sq-AL"/>
              </w:rPr>
              <w:t>Hektarë</w:t>
            </w:r>
          </w:p>
        </w:tc>
        <w:tc>
          <w:tcPr>
            <w:tcW w:w="93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tabs>
                <w:tab w:val="left" w:pos="460"/>
              </w:tabs>
              <w:jc w:val="center"/>
              <w:rPr>
                <w:rFonts w:ascii="Garamond" w:eastAsia="MS Mincho" w:hAnsi="Garamond"/>
                <w:b/>
                <w:lang w:val="sq-AL"/>
              </w:rPr>
            </w:pPr>
            <w:r w:rsidRPr="00B67DFC">
              <w:rPr>
                <w:rFonts w:ascii="Garamond" w:eastAsia="MS Mincho" w:hAnsi="Garamond"/>
                <w:b/>
                <w:lang w:val="sq-AL"/>
              </w:rPr>
              <w:t>m</w:t>
            </w:r>
            <w:r w:rsidRPr="00B67DFC">
              <w:rPr>
                <w:rFonts w:ascii="Garamond" w:eastAsia="MS Mincho" w:hAnsi="Garamond"/>
                <w:b/>
                <w:vertAlign w:val="superscript"/>
                <w:lang w:val="sq-AL"/>
              </w:rPr>
              <w:t>2</w:t>
            </w:r>
            <w:r w:rsidRPr="00B67DFC">
              <w:rPr>
                <w:rFonts w:ascii="Garamond" w:eastAsia="MS Mincho" w:hAnsi="Garamond"/>
                <w:b/>
                <w:lang w:val="sq-AL"/>
              </w:rPr>
              <w:t>/fëmijë</w:t>
            </w:r>
          </w:p>
        </w:tc>
        <w:tc>
          <w:tcPr>
            <w:tcW w:w="1144" w:type="pct"/>
            <w:vMerge/>
            <w:tcBorders>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jc w:val="center"/>
              <w:outlineLvl w:val="4"/>
              <w:rPr>
                <w:rFonts w:ascii="Garamond" w:eastAsia="MS Mincho" w:hAnsi="Garamond"/>
                <w:lang w:val="sq-AL"/>
              </w:rPr>
            </w:pPr>
          </w:p>
        </w:tc>
      </w:tr>
      <w:tr w:rsidR="00D74EF3" w:rsidRPr="00B67DFC" w:rsidTr="0050532B">
        <w:trPr>
          <w:cantSplit/>
          <w:trHeight w:val="205"/>
          <w:jc w:val="center"/>
        </w:trPr>
        <w:tc>
          <w:tcPr>
            <w:tcW w:w="940" w:type="pct"/>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qytet</w:t>
            </w:r>
          </w:p>
        </w:tc>
        <w:tc>
          <w:tcPr>
            <w:tcW w:w="83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1</w:t>
            </w:r>
          </w:p>
        </w:tc>
        <w:tc>
          <w:tcPr>
            <w:tcW w:w="1144" w:type="pct"/>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0.15-0.2</w:t>
            </w:r>
          </w:p>
        </w:tc>
        <w:tc>
          <w:tcPr>
            <w:tcW w:w="938" w:type="pct"/>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24-32</w:t>
            </w:r>
          </w:p>
        </w:tc>
        <w:tc>
          <w:tcPr>
            <w:tcW w:w="1144" w:type="pct"/>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250 – 500</w:t>
            </w:r>
          </w:p>
        </w:tc>
      </w:tr>
      <w:tr w:rsidR="00D74EF3" w:rsidRPr="00B67DFC" w:rsidTr="0050532B">
        <w:trPr>
          <w:cantSplit/>
          <w:trHeight w:val="123"/>
          <w:jc w:val="center"/>
        </w:trPr>
        <w:tc>
          <w:tcPr>
            <w:tcW w:w="940" w:type="pct"/>
            <w:vMerge/>
            <w:tcBorders>
              <w:left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jc w:val="center"/>
              <w:outlineLvl w:val="4"/>
              <w:rPr>
                <w:rFonts w:ascii="Garamond" w:eastAsia="MS Mincho" w:hAnsi="Garamond"/>
                <w:lang w:val="sq-AL"/>
              </w:rPr>
            </w:pPr>
          </w:p>
        </w:tc>
        <w:tc>
          <w:tcPr>
            <w:tcW w:w="83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2</w:t>
            </w:r>
          </w:p>
        </w:tc>
        <w:tc>
          <w:tcPr>
            <w:tcW w:w="1144" w:type="pct"/>
            <w:vMerge/>
            <w:tcBorders>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jc w:val="center"/>
              <w:outlineLvl w:val="4"/>
              <w:rPr>
                <w:rFonts w:ascii="Garamond" w:eastAsia="MS Mincho" w:hAnsi="Garamond"/>
                <w:lang w:val="sq-AL"/>
              </w:rPr>
            </w:pPr>
          </w:p>
        </w:tc>
        <w:tc>
          <w:tcPr>
            <w:tcW w:w="938" w:type="pct"/>
            <w:vMerge/>
            <w:tcBorders>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jc w:val="center"/>
              <w:rPr>
                <w:rFonts w:ascii="Garamond" w:eastAsia="MS Mincho" w:hAnsi="Garamond"/>
                <w:lang w:val="sq-AL"/>
              </w:rPr>
            </w:pPr>
          </w:p>
        </w:tc>
        <w:tc>
          <w:tcPr>
            <w:tcW w:w="1144" w:type="pct"/>
            <w:vMerge/>
            <w:tcBorders>
              <w:left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outlineLvl w:val="4"/>
              <w:rPr>
                <w:rFonts w:ascii="Garamond" w:eastAsia="MS Mincho" w:hAnsi="Garamond"/>
                <w:lang w:val="sq-AL"/>
              </w:rPr>
            </w:pPr>
          </w:p>
        </w:tc>
      </w:tr>
      <w:tr w:rsidR="00D74EF3" w:rsidRPr="00B67DFC" w:rsidTr="0050532B">
        <w:trPr>
          <w:cantSplit/>
          <w:trHeight w:val="56"/>
          <w:jc w:val="center"/>
        </w:trPr>
        <w:tc>
          <w:tcPr>
            <w:tcW w:w="940" w:type="pct"/>
            <w:vMerge/>
            <w:tcBorders>
              <w:left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jc w:val="center"/>
              <w:outlineLvl w:val="4"/>
              <w:rPr>
                <w:rFonts w:ascii="Garamond" w:eastAsia="MS Mincho" w:hAnsi="Garamond"/>
                <w:lang w:val="sq-AL"/>
              </w:rPr>
            </w:pPr>
          </w:p>
        </w:tc>
        <w:tc>
          <w:tcPr>
            <w:tcW w:w="83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3</w:t>
            </w:r>
          </w:p>
        </w:tc>
        <w:tc>
          <w:tcPr>
            <w:tcW w:w="1144" w:type="pct"/>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0.24-0.3</w:t>
            </w:r>
          </w:p>
        </w:tc>
        <w:tc>
          <w:tcPr>
            <w:tcW w:w="938" w:type="pct"/>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20-25</w:t>
            </w:r>
          </w:p>
        </w:tc>
        <w:tc>
          <w:tcPr>
            <w:tcW w:w="1144" w:type="pct"/>
            <w:vMerge/>
            <w:tcBorders>
              <w:left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outlineLvl w:val="4"/>
              <w:rPr>
                <w:rFonts w:ascii="Garamond" w:eastAsia="MS Mincho" w:hAnsi="Garamond"/>
                <w:lang w:val="sq-AL"/>
              </w:rPr>
            </w:pPr>
          </w:p>
        </w:tc>
      </w:tr>
      <w:tr w:rsidR="00D74EF3" w:rsidRPr="00B67DFC" w:rsidTr="0050532B">
        <w:trPr>
          <w:cantSplit/>
          <w:trHeight w:val="115"/>
          <w:jc w:val="center"/>
        </w:trPr>
        <w:tc>
          <w:tcPr>
            <w:tcW w:w="940" w:type="pct"/>
            <w:vMerge/>
            <w:tcBorders>
              <w:left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jc w:val="center"/>
              <w:outlineLvl w:val="4"/>
              <w:rPr>
                <w:rFonts w:ascii="Garamond" w:eastAsia="MS Mincho" w:hAnsi="Garamond"/>
                <w:lang w:val="sq-AL"/>
              </w:rPr>
            </w:pPr>
          </w:p>
        </w:tc>
        <w:tc>
          <w:tcPr>
            <w:tcW w:w="83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4</w:t>
            </w:r>
          </w:p>
        </w:tc>
        <w:tc>
          <w:tcPr>
            <w:tcW w:w="1144" w:type="pct"/>
            <w:vMerge/>
            <w:tcBorders>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jc w:val="center"/>
              <w:outlineLvl w:val="4"/>
              <w:rPr>
                <w:rFonts w:ascii="Garamond" w:eastAsia="MS Mincho" w:hAnsi="Garamond"/>
                <w:lang w:val="sq-AL"/>
              </w:rPr>
            </w:pPr>
          </w:p>
        </w:tc>
        <w:tc>
          <w:tcPr>
            <w:tcW w:w="938" w:type="pct"/>
            <w:vMerge/>
            <w:tcBorders>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jc w:val="center"/>
              <w:outlineLvl w:val="4"/>
              <w:rPr>
                <w:rFonts w:ascii="Garamond" w:eastAsia="MS Mincho" w:hAnsi="Garamond"/>
                <w:lang w:val="sq-AL"/>
              </w:rPr>
            </w:pPr>
          </w:p>
        </w:tc>
        <w:tc>
          <w:tcPr>
            <w:tcW w:w="1144" w:type="pct"/>
            <w:vMerge/>
            <w:tcBorders>
              <w:left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outlineLvl w:val="4"/>
              <w:rPr>
                <w:rFonts w:ascii="Garamond" w:eastAsia="MS Mincho" w:hAnsi="Garamond"/>
                <w:lang w:val="sq-AL"/>
              </w:rPr>
            </w:pPr>
          </w:p>
        </w:tc>
      </w:tr>
      <w:tr w:rsidR="00D74EF3" w:rsidRPr="00B67DFC" w:rsidTr="0050532B">
        <w:trPr>
          <w:cantSplit/>
          <w:trHeight w:val="189"/>
          <w:jc w:val="center"/>
        </w:trPr>
        <w:tc>
          <w:tcPr>
            <w:tcW w:w="940" w:type="pct"/>
            <w:vMerge/>
            <w:tcBorders>
              <w:left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jc w:val="center"/>
              <w:outlineLvl w:val="4"/>
              <w:rPr>
                <w:rFonts w:ascii="Garamond" w:eastAsia="MS Mincho" w:hAnsi="Garamond"/>
                <w:lang w:val="sq-AL"/>
              </w:rPr>
            </w:pPr>
          </w:p>
        </w:tc>
        <w:tc>
          <w:tcPr>
            <w:tcW w:w="83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5</w:t>
            </w:r>
          </w:p>
        </w:tc>
        <w:tc>
          <w:tcPr>
            <w:tcW w:w="1144" w:type="pct"/>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0.32-0.4</w:t>
            </w:r>
          </w:p>
        </w:tc>
        <w:tc>
          <w:tcPr>
            <w:tcW w:w="938" w:type="pct"/>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18-22</w:t>
            </w:r>
          </w:p>
        </w:tc>
        <w:tc>
          <w:tcPr>
            <w:tcW w:w="1144" w:type="pct"/>
            <w:vMerge/>
            <w:tcBorders>
              <w:left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outlineLvl w:val="4"/>
              <w:rPr>
                <w:rFonts w:ascii="Garamond" w:eastAsia="MS Mincho" w:hAnsi="Garamond"/>
                <w:lang w:val="sq-AL"/>
              </w:rPr>
            </w:pPr>
          </w:p>
        </w:tc>
      </w:tr>
      <w:tr w:rsidR="00D74EF3" w:rsidRPr="00B67DFC" w:rsidTr="0050532B">
        <w:trPr>
          <w:cantSplit/>
          <w:trHeight w:val="107"/>
          <w:jc w:val="center"/>
        </w:trPr>
        <w:tc>
          <w:tcPr>
            <w:tcW w:w="940" w:type="pct"/>
            <w:vMerge/>
            <w:tcBorders>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jc w:val="center"/>
              <w:outlineLvl w:val="4"/>
              <w:rPr>
                <w:rFonts w:ascii="Garamond" w:eastAsia="MS Mincho" w:hAnsi="Garamond"/>
                <w:lang w:val="sq-AL"/>
              </w:rPr>
            </w:pPr>
          </w:p>
        </w:tc>
        <w:tc>
          <w:tcPr>
            <w:tcW w:w="83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6</w:t>
            </w:r>
          </w:p>
        </w:tc>
        <w:tc>
          <w:tcPr>
            <w:tcW w:w="1144" w:type="pct"/>
            <w:vMerge/>
            <w:tcBorders>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jc w:val="center"/>
              <w:outlineLvl w:val="4"/>
              <w:rPr>
                <w:rFonts w:ascii="Garamond" w:eastAsia="MS Mincho" w:hAnsi="Garamond"/>
                <w:lang w:val="sq-AL"/>
              </w:rPr>
            </w:pPr>
          </w:p>
        </w:tc>
        <w:tc>
          <w:tcPr>
            <w:tcW w:w="938" w:type="pct"/>
            <w:vMerge/>
            <w:tcBorders>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jc w:val="center"/>
              <w:outlineLvl w:val="4"/>
              <w:rPr>
                <w:rFonts w:ascii="Garamond" w:eastAsia="MS Mincho" w:hAnsi="Garamond"/>
                <w:lang w:val="sq-AL"/>
              </w:rPr>
            </w:pPr>
          </w:p>
        </w:tc>
        <w:tc>
          <w:tcPr>
            <w:tcW w:w="1144" w:type="pct"/>
            <w:vMerge/>
            <w:tcBorders>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outlineLvl w:val="4"/>
              <w:rPr>
                <w:rFonts w:ascii="Garamond" w:eastAsia="MS Mincho" w:hAnsi="Garamond"/>
                <w:lang w:val="sq-AL"/>
              </w:rPr>
            </w:pPr>
          </w:p>
        </w:tc>
      </w:tr>
      <w:tr w:rsidR="00D74EF3" w:rsidRPr="00B67DFC" w:rsidTr="0050532B">
        <w:trPr>
          <w:cantSplit/>
          <w:trHeight w:val="181"/>
          <w:jc w:val="center"/>
        </w:trPr>
        <w:tc>
          <w:tcPr>
            <w:tcW w:w="940" w:type="pct"/>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fshat</w:t>
            </w:r>
          </w:p>
        </w:tc>
        <w:tc>
          <w:tcPr>
            <w:tcW w:w="83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1</w:t>
            </w:r>
          </w:p>
        </w:tc>
        <w:tc>
          <w:tcPr>
            <w:tcW w:w="1144" w:type="pct"/>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0.15-0.2</w:t>
            </w:r>
          </w:p>
        </w:tc>
        <w:tc>
          <w:tcPr>
            <w:tcW w:w="938" w:type="pct"/>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24-32</w:t>
            </w:r>
          </w:p>
        </w:tc>
        <w:tc>
          <w:tcPr>
            <w:tcW w:w="1144" w:type="pct"/>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500 – 900</w:t>
            </w:r>
          </w:p>
        </w:tc>
      </w:tr>
      <w:tr w:rsidR="00D74EF3" w:rsidRPr="00B67DFC" w:rsidTr="0050532B">
        <w:trPr>
          <w:cantSplit/>
          <w:trHeight w:val="100"/>
          <w:jc w:val="center"/>
        </w:trPr>
        <w:tc>
          <w:tcPr>
            <w:tcW w:w="940" w:type="pct"/>
            <w:vMerge/>
            <w:tcBorders>
              <w:left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outlineLvl w:val="4"/>
              <w:rPr>
                <w:rFonts w:ascii="Garamond" w:eastAsia="MS Mincho" w:hAnsi="Garamond"/>
                <w:lang w:val="sq-AL"/>
              </w:rPr>
            </w:pPr>
          </w:p>
        </w:tc>
        <w:tc>
          <w:tcPr>
            <w:tcW w:w="83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2</w:t>
            </w:r>
          </w:p>
        </w:tc>
        <w:tc>
          <w:tcPr>
            <w:tcW w:w="1144" w:type="pct"/>
            <w:vMerge/>
            <w:tcBorders>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jc w:val="center"/>
              <w:outlineLvl w:val="4"/>
              <w:rPr>
                <w:rFonts w:ascii="Garamond" w:eastAsia="MS Mincho" w:hAnsi="Garamond"/>
                <w:lang w:val="sq-AL"/>
              </w:rPr>
            </w:pPr>
          </w:p>
        </w:tc>
        <w:tc>
          <w:tcPr>
            <w:tcW w:w="938" w:type="pct"/>
            <w:vMerge/>
            <w:tcBorders>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jc w:val="center"/>
              <w:outlineLvl w:val="4"/>
              <w:rPr>
                <w:rFonts w:ascii="Garamond" w:eastAsia="MS Mincho" w:hAnsi="Garamond"/>
                <w:lang w:val="sq-AL"/>
              </w:rPr>
            </w:pPr>
          </w:p>
        </w:tc>
        <w:tc>
          <w:tcPr>
            <w:tcW w:w="1144" w:type="pct"/>
            <w:vMerge/>
            <w:tcBorders>
              <w:left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outlineLvl w:val="4"/>
              <w:rPr>
                <w:rFonts w:ascii="Garamond" w:eastAsia="MS Mincho" w:hAnsi="Garamond"/>
                <w:lang w:val="sq-AL"/>
              </w:rPr>
            </w:pPr>
          </w:p>
        </w:tc>
      </w:tr>
      <w:tr w:rsidR="00D74EF3" w:rsidRPr="00B67DFC" w:rsidTr="0050532B">
        <w:trPr>
          <w:cantSplit/>
          <w:trHeight w:val="159"/>
          <w:jc w:val="center"/>
        </w:trPr>
        <w:tc>
          <w:tcPr>
            <w:tcW w:w="940" w:type="pct"/>
            <w:vMerge/>
            <w:tcBorders>
              <w:left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outlineLvl w:val="4"/>
              <w:rPr>
                <w:rFonts w:ascii="Garamond" w:eastAsia="MS Mincho" w:hAnsi="Garamond"/>
                <w:lang w:val="sq-AL"/>
              </w:rPr>
            </w:pPr>
          </w:p>
        </w:tc>
        <w:tc>
          <w:tcPr>
            <w:tcW w:w="83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3</w:t>
            </w:r>
          </w:p>
        </w:tc>
        <w:tc>
          <w:tcPr>
            <w:tcW w:w="1144" w:type="pct"/>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0.24-0.3</w:t>
            </w:r>
          </w:p>
        </w:tc>
        <w:tc>
          <w:tcPr>
            <w:tcW w:w="938" w:type="pct"/>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20-25</w:t>
            </w:r>
          </w:p>
        </w:tc>
        <w:tc>
          <w:tcPr>
            <w:tcW w:w="1144" w:type="pct"/>
            <w:vMerge/>
            <w:tcBorders>
              <w:left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outlineLvl w:val="4"/>
              <w:rPr>
                <w:rFonts w:ascii="Garamond" w:eastAsia="MS Mincho" w:hAnsi="Garamond"/>
                <w:lang w:val="sq-AL"/>
              </w:rPr>
            </w:pPr>
          </w:p>
        </w:tc>
      </w:tr>
      <w:tr w:rsidR="00D74EF3" w:rsidRPr="00B67DFC" w:rsidTr="0050532B">
        <w:trPr>
          <w:cantSplit/>
          <w:trHeight w:val="91"/>
          <w:jc w:val="center"/>
        </w:trPr>
        <w:tc>
          <w:tcPr>
            <w:tcW w:w="940" w:type="pct"/>
            <w:vMerge/>
            <w:tcBorders>
              <w:left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outlineLvl w:val="4"/>
              <w:rPr>
                <w:rFonts w:ascii="Garamond" w:eastAsia="MS Mincho" w:hAnsi="Garamond"/>
                <w:lang w:val="sq-AL"/>
              </w:rPr>
            </w:pPr>
          </w:p>
        </w:tc>
        <w:tc>
          <w:tcPr>
            <w:tcW w:w="83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4</w:t>
            </w:r>
          </w:p>
        </w:tc>
        <w:tc>
          <w:tcPr>
            <w:tcW w:w="1144" w:type="pct"/>
            <w:vMerge/>
            <w:tcBorders>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jc w:val="center"/>
              <w:outlineLvl w:val="4"/>
              <w:rPr>
                <w:rFonts w:ascii="Garamond" w:eastAsia="MS Mincho" w:hAnsi="Garamond"/>
                <w:lang w:val="sq-AL"/>
              </w:rPr>
            </w:pPr>
          </w:p>
        </w:tc>
        <w:tc>
          <w:tcPr>
            <w:tcW w:w="938" w:type="pct"/>
            <w:vMerge/>
            <w:tcBorders>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jc w:val="center"/>
              <w:outlineLvl w:val="4"/>
              <w:rPr>
                <w:rFonts w:ascii="Garamond" w:eastAsia="MS Mincho" w:hAnsi="Garamond"/>
                <w:lang w:val="sq-AL"/>
              </w:rPr>
            </w:pPr>
          </w:p>
        </w:tc>
        <w:tc>
          <w:tcPr>
            <w:tcW w:w="1144" w:type="pct"/>
            <w:vMerge/>
            <w:tcBorders>
              <w:left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outlineLvl w:val="4"/>
              <w:rPr>
                <w:rFonts w:ascii="Garamond" w:eastAsia="MS Mincho" w:hAnsi="Garamond"/>
                <w:lang w:val="sq-AL"/>
              </w:rPr>
            </w:pPr>
          </w:p>
        </w:tc>
      </w:tr>
      <w:tr w:rsidR="00D74EF3" w:rsidRPr="00B67DFC" w:rsidTr="0050532B">
        <w:trPr>
          <w:cantSplit/>
          <w:trHeight w:val="166"/>
          <w:jc w:val="center"/>
        </w:trPr>
        <w:tc>
          <w:tcPr>
            <w:tcW w:w="940" w:type="pct"/>
            <w:vMerge/>
            <w:tcBorders>
              <w:left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outlineLvl w:val="4"/>
              <w:rPr>
                <w:rFonts w:ascii="Garamond" w:eastAsia="MS Mincho" w:hAnsi="Garamond"/>
                <w:lang w:val="sq-AL"/>
              </w:rPr>
            </w:pPr>
          </w:p>
        </w:tc>
        <w:tc>
          <w:tcPr>
            <w:tcW w:w="83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5</w:t>
            </w:r>
          </w:p>
        </w:tc>
        <w:tc>
          <w:tcPr>
            <w:tcW w:w="1144" w:type="pct"/>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0.32-0.4</w:t>
            </w:r>
          </w:p>
        </w:tc>
        <w:tc>
          <w:tcPr>
            <w:tcW w:w="938" w:type="pct"/>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18-22</w:t>
            </w:r>
          </w:p>
        </w:tc>
        <w:tc>
          <w:tcPr>
            <w:tcW w:w="1144" w:type="pct"/>
            <w:vMerge/>
            <w:tcBorders>
              <w:left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outlineLvl w:val="4"/>
              <w:rPr>
                <w:rFonts w:ascii="Garamond" w:eastAsia="MS Mincho" w:hAnsi="Garamond"/>
                <w:lang w:val="sq-AL"/>
              </w:rPr>
            </w:pPr>
          </w:p>
        </w:tc>
      </w:tr>
      <w:tr w:rsidR="00D74EF3" w:rsidRPr="00B67DFC" w:rsidTr="0050532B">
        <w:trPr>
          <w:cantSplit/>
          <w:trHeight w:val="83"/>
          <w:jc w:val="center"/>
        </w:trPr>
        <w:tc>
          <w:tcPr>
            <w:tcW w:w="940" w:type="pct"/>
            <w:vMerge/>
            <w:tcBorders>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outlineLvl w:val="4"/>
              <w:rPr>
                <w:rFonts w:ascii="Garamond" w:eastAsia="MS Mincho" w:hAnsi="Garamond"/>
                <w:lang w:val="sq-AL"/>
              </w:rPr>
            </w:pPr>
          </w:p>
        </w:tc>
        <w:tc>
          <w:tcPr>
            <w:tcW w:w="83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6</w:t>
            </w:r>
          </w:p>
        </w:tc>
        <w:tc>
          <w:tcPr>
            <w:tcW w:w="1144" w:type="pct"/>
            <w:vMerge/>
            <w:tcBorders>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outlineLvl w:val="4"/>
              <w:rPr>
                <w:rFonts w:ascii="Garamond" w:eastAsia="MS Mincho" w:hAnsi="Garamond"/>
                <w:lang w:val="sq-AL"/>
              </w:rPr>
            </w:pPr>
          </w:p>
        </w:tc>
        <w:tc>
          <w:tcPr>
            <w:tcW w:w="938" w:type="pct"/>
            <w:vMerge/>
            <w:tcBorders>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outlineLvl w:val="4"/>
              <w:rPr>
                <w:rFonts w:ascii="Garamond" w:eastAsia="MS Mincho" w:hAnsi="Garamond"/>
                <w:lang w:val="sq-AL"/>
              </w:rPr>
            </w:pPr>
          </w:p>
        </w:tc>
        <w:tc>
          <w:tcPr>
            <w:tcW w:w="1144" w:type="pct"/>
            <w:vMerge/>
            <w:tcBorders>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outlineLvl w:val="4"/>
              <w:rPr>
                <w:rFonts w:ascii="Garamond" w:eastAsia="MS Mincho" w:hAnsi="Garamond"/>
                <w:lang w:val="sq-AL"/>
              </w:rPr>
            </w:pPr>
          </w:p>
        </w:tc>
      </w:tr>
    </w:tbl>
    <w:p w:rsidR="00D74EF3" w:rsidRPr="00B67DFC" w:rsidRDefault="00D74EF3" w:rsidP="00D74EF3">
      <w:pPr>
        <w:widowControl w:val="0"/>
        <w:tabs>
          <w:tab w:val="left" w:pos="460"/>
        </w:tabs>
        <w:jc w:val="both"/>
        <w:rPr>
          <w:rFonts w:ascii="Garamond" w:eastAsia="MS Mincho" w:hAnsi="Garamond"/>
          <w:lang w:val="sq-AL"/>
        </w:rPr>
      </w:pP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ç) Përveç standardeve të përcaktuara në shkronjën “a” të kësaj pike, standardet minimale për shkolla 9-vjeçare janë:</w:t>
      </w:r>
    </w:p>
    <w:p w:rsidR="00D74EF3" w:rsidRPr="00B67DFC" w:rsidRDefault="00D74EF3" w:rsidP="00D74EF3">
      <w:pPr>
        <w:widowControl w:val="0"/>
        <w:jc w:val="both"/>
        <w:rPr>
          <w:rFonts w:ascii="Garamond" w:eastAsia="MS Mincho" w:hAnsi="Garamond"/>
          <w:lang w:val="sq-AL"/>
        </w:rPr>
      </w:pPr>
    </w:p>
    <w:tbl>
      <w:tblPr>
        <w:tblW w:w="4373" w:type="pct"/>
        <w:jc w:val="center"/>
        <w:shd w:val="clear" w:color="auto" w:fill="FFFFFF"/>
        <w:tblLook w:val="0000" w:firstRow="0" w:lastRow="0" w:firstColumn="0" w:lastColumn="0" w:noHBand="0" w:noVBand="0"/>
      </w:tblPr>
      <w:tblGrid>
        <w:gridCol w:w="1381"/>
        <w:gridCol w:w="1439"/>
        <w:gridCol w:w="1982"/>
        <w:gridCol w:w="1306"/>
        <w:gridCol w:w="1440"/>
      </w:tblGrid>
      <w:tr w:rsidR="00D74EF3" w:rsidRPr="00B67DFC" w:rsidTr="0050532B">
        <w:trPr>
          <w:cantSplit/>
          <w:trHeight w:val="529"/>
          <w:jc w:val="center"/>
        </w:trPr>
        <w:tc>
          <w:tcPr>
            <w:tcW w:w="806"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b/>
                <w:lang w:val="sq-AL"/>
              </w:rPr>
            </w:pPr>
            <w:r w:rsidRPr="00B67DFC">
              <w:rPr>
                <w:rFonts w:ascii="Garamond" w:eastAsia="MS Mincho" w:hAnsi="Garamond"/>
                <w:b/>
                <w:lang w:val="sq-AL"/>
              </w:rPr>
              <w:t>Vendndodhja</w:t>
            </w:r>
          </w:p>
        </w:tc>
        <w:tc>
          <w:tcPr>
            <w:tcW w:w="98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b/>
                <w:lang w:val="sq-AL"/>
              </w:rPr>
            </w:pPr>
            <w:r w:rsidRPr="00B67DFC">
              <w:rPr>
                <w:rFonts w:ascii="Garamond" w:eastAsia="MS Mincho" w:hAnsi="Garamond"/>
                <w:b/>
                <w:lang w:val="sq-AL"/>
              </w:rPr>
              <w:t>Numri i klasave</w:t>
            </w:r>
          </w:p>
        </w:tc>
        <w:tc>
          <w:tcPr>
            <w:tcW w:w="13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b/>
                <w:iCs/>
                <w:lang w:val="sq-AL"/>
              </w:rPr>
            </w:pPr>
            <w:r w:rsidRPr="00B67DFC">
              <w:rPr>
                <w:rFonts w:ascii="Garamond" w:eastAsia="MS Mincho" w:hAnsi="Garamond"/>
                <w:b/>
                <w:lang w:val="sq-AL"/>
              </w:rPr>
              <w:t>Madhësia e parcelës në hektarë</w:t>
            </w:r>
          </w:p>
        </w:tc>
        <w:tc>
          <w:tcPr>
            <w:tcW w:w="89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b/>
                <w:bCs/>
                <w:iCs/>
                <w:lang w:val="sq-AL"/>
              </w:rPr>
            </w:pPr>
            <w:r w:rsidRPr="00B67DFC">
              <w:rPr>
                <w:rFonts w:ascii="Garamond" w:eastAsia="MS Mincho" w:hAnsi="Garamond"/>
                <w:b/>
                <w:lang w:val="sq-AL"/>
              </w:rPr>
              <w:t>Parcela m</w:t>
            </w:r>
            <w:r w:rsidRPr="00B67DFC">
              <w:rPr>
                <w:rFonts w:ascii="Garamond" w:eastAsia="MS Mincho" w:hAnsi="Garamond"/>
                <w:b/>
                <w:vertAlign w:val="superscript"/>
                <w:lang w:val="sq-AL"/>
              </w:rPr>
              <w:t>2</w:t>
            </w:r>
            <w:r w:rsidRPr="00B67DFC">
              <w:rPr>
                <w:rFonts w:ascii="Garamond" w:eastAsia="MS Mincho" w:hAnsi="Garamond"/>
                <w:b/>
                <w:lang w:val="sq-AL"/>
              </w:rPr>
              <w:t>/fëmijë</w:t>
            </w:r>
          </w:p>
        </w:tc>
        <w:tc>
          <w:tcPr>
            <w:tcW w:w="98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b/>
                <w:bCs/>
                <w:lang w:val="sq-AL"/>
              </w:rPr>
            </w:pPr>
            <w:r w:rsidRPr="00B67DFC">
              <w:rPr>
                <w:rFonts w:ascii="Garamond" w:eastAsia="MS Mincho" w:hAnsi="Garamond"/>
                <w:b/>
                <w:lang w:val="sq-AL"/>
              </w:rPr>
              <w:t>Rrezja e shërbimit në metra dhe vijë ajrore</w:t>
            </w:r>
          </w:p>
        </w:tc>
      </w:tr>
      <w:tr w:rsidR="00D74EF3" w:rsidRPr="00B67DFC" w:rsidTr="0050532B">
        <w:trPr>
          <w:cantSplit/>
          <w:trHeight w:val="139"/>
          <w:jc w:val="center"/>
        </w:trPr>
        <w:tc>
          <w:tcPr>
            <w:tcW w:w="806" w:type="pct"/>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 w:val="num" w:pos="720"/>
              </w:tabs>
              <w:jc w:val="center"/>
              <w:rPr>
                <w:rFonts w:ascii="Garamond" w:eastAsia="MS Mincho" w:hAnsi="Garamond"/>
                <w:lang w:val="sq-AL"/>
              </w:rPr>
            </w:pPr>
            <w:r w:rsidRPr="00B67DFC">
              <w:rPr>
                <w:rFonts w:ascii="Garamond" w:eastAsia="MS Mincho" w:hAnsi="Garamond"/>
                <w:lang w:val="sq-AL"/>
              </w:rPr>
              <w:t>qytet</w:t>
            </w:r>
          </w:p>
        </w:tc>
        <w:tc>
          <w:tcPr>
            <w:tcW w:w="98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8</w:t>
            </w:r>
          </w:p>
        </w:tc>
        <w:tc>
          <w:tcPr>
            <w:tcW w:w="13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0.8</w:t>
            </w:r>
          </w:p>
        </w:tc>
        <w:tc>
          <w:tcPr>
            <w:tcW w:w="89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28</w:t>
            </w:r>
          </w:p>
        </w:tc>
        <w:tc>
          <w:tcPr>
            <w:tcW w:w="98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500</w:t>
            </w:r>
          </w:p>
        </w:tc>
      </w:tr>
      <w:tr w:rsidR="00D74EF3" w:rsidRPr="00B67DFC" w:rsidTr="0050532B">
        <w:trPr>
          <w:cantSplit/>
          <w:trHeight w:val="185"/>
          <w:jc w:val="center"/>
        </w:trPr>
        <w:tc>
          <w:tcPr>
            <w:tcW w:w="806" w:type="pct"/>
            <w:vMerge/>
            <w:tcBorders>
              <w:left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jc w:val="center"/>
              <w:outlineLvl w:val="4"/>
              <w:rPr>
                <w:rFonts w:ascii="Garamond" w:eastAsia="MS Mincho" w:hAnsi="Garamond"/>
                <w:lang w:val="sq-AL"/>
              </w:rPr>
            </w:pPr>
          </w:p>
        </w:tc>
        <w:tc>
          <w:tcPr>
            <w:tcW w:w="98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b/>
                <w:bCs/>
                <w:kern w:val="3"/>
                <w:lang w:val="sq-AL"/>
              </w:rPr>
            </w:pPr>
            <w:r w:rsidRPr="00B67DFC">
              <w:rPr>
                <w:rFonts w:ascii="Garamond" w:eastAsia="MS Mincho" w:hAnsi="Garamond"/>
                <w:lang w:val="sq-AL"/>
              </w:rPr>
              <w:t>16</w:t>
            </w:r>
          </w:p>
        </w:tc>
        <w:tc>
          <w:tcPr>
            <w:tcW w:w="13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b/>
                <w:bCs/>
                <w:kern w:val="3"/>
                <w:lang w:val="sq-AL"/>
              </w:rPr>
            </w:pPr>
            <w:r w:rsidRPr="00B67DFC">
              <w:rPr>
                <w:rFonts w:ascii="Garamond" w:eastAsia="MS Mincho" w:hAnsi="Garamond"/>
                <w:lang w:val="sq-AL"/>
              </w:rPr>
              <w:t>1.2</w:t>
            </w:r>
          </w:p>
        </w:tc>
        <w:tc>
          <w:tcPr>
            <w:tcW w:w="89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b/>
                <w:bCs/>
                <w:kern w:val="3"/>
                <w:lang w:val="sq-AL"/>
              </w:rPr>
            </w:pPr>
            <w:r w:rsidRPr="00B67DFC">
              <w:rPr>
                <w:rFonts w:ascii="Garamond" w:eastAsia="MS Mincho" w:hAnsi="Garamond"/>
                <w:lang w:val="sq-AL"/>
              </w:rPr>
              <w:t>21</w:t>
            </w:r>
          </w:p>
        </w:tc>
        <w:tc>
          <w:tcPr>
            <w:tcW w:w="98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b/>
                <w:bCs/>
                <w:kern w:val="3"/>
                <w:lang w:val="sq-AL"/>
              </w:rPr>
            </w:pPr>
            <w:r w:rsidRPr="00B67DFC">
              <w:rPr>
                <w:rFonts w:ascii="Garamond" w:eastAsia="MS Mincho" w:hAnsi="Garamond"/>
                <w:lang w:val="sq-AL"/>
              </w:rPr>
              <w:t>500</w:t>
            </w:r>
          </w:p>
        </w:tc>
      </w:tr>
      <w:tr w:rsidR="00D74EF3" w:rsidRPr="00B67DFC" w:rsidTr="0050532B">
        <w:trPr>
          <w:cantSplit/>
          <w:trHeight w:val="103"/>
          <w:jc w:val="center"/>
        </w:trPr>
        <w:tc>
          <w:tcPr>
            <w:tcW w:w="806" w:type="pct"/>
            <w:vMerge/>
            <w:tcBorders>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jc w:val="center"/>
              <w:outlineLvl w:val="4"/>
              <w:rPr>
                <w:rFonts w:ascii="Garamond" w:eastAsia="MS Mincho" w:hAnsi="Garamond"/>
                <w:lang w:val="sq-AL"/>
              </w:rPr>
            </w:pPr>
          </w:p>
        </w:tc>
        <w:tc>
          <w:tcPr>
            <w:tcW w:w="98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24</w:t>
            </w:r>
          </w:p>
        </w:tc>
        <w:tc>
          <w:tcPr>
            <w:tcW w:w="13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1.6</w:t>
            </w:r>
          </w:p>
        </w:tc>
        <w:tc>
          <w:tcPr>
            <w:tcW w:w="89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20</w:t>
            </w:r>
          </w:p>
        </w:tc>
        <w:tc>
          <w:tcPr>
            <w:tcW w:w="98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500-600</w:t>
            </w:r>
          </w:p>
        </w:tc>
      </w:tr>
      <w:tr w:rsidR="00D74EF3" w:rsidRPr="00B67DFC" w:rsidTr="0050532B">
        <w:trPr>
          <w:cantSplit/>
          <w:trHeight w:val="164"/>
          <w:jc w:val="center"/>
        </w:trPr>
        <w:tc>
          <w:tcPr>
            <w:tcW w:w="806" w:type="pct"/>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fshat</w:t>
            </w:r>
          </w:p>
        </w:tc>
        <w:tc>
          <w:tcPr>
            <w:tcW w:w="98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8</w:t>
            </w:r>
          </w:p>
        </w:tc>
        <w:tc>
          <w:tcPr>
            <w:tcW w:w="13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0.6</w:t>
            </w:r>
          </w:p>
        </w:tc>
        <w:tc>
          <w:tcPr>
            <w:tcW w:w="89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20</w:t>
            </w:r>
          </w:p>
        </w:tc>
        <w:tc>
          <w:tcPr>
            <w:tcW w:w="98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1000</w:t>
            </w:r>
          </w:p>
        </w:tc>
      </w:tr>
      <w:tr w:rsidR="00D74EF3" w:rsidRPr="00B67DFC" w:rsidTr="0050532B">
        <w:trPr>
          <w:cantSplit/>
          <w:trHeight w:val="81"/>
          <w:jc w:val="center"/>
        </w:trPr>
        <w:tc>
          <w:tcPr>
            <w:tcW w:w="806" w:type="pct"/>
            <w:vMerge/>
            <w:tcBorders>
              <w:left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jc w:val="center"/>
              <w:outlineLvl w:val="4"/>
              <w:rPr>
                <w:rFonts w:ascii="Garamond" w:eastAsia="MS Mincho" w:hAnsi="Garamond"/>
                <w:lang w:val="sq-AL"/>
              </w:rPr>
            </w:pPr>
          </w:p>
        </w:tc>
        <w:tc>
          <w:tcPr>
            <w:tcW w:w="98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16</w:t>
            </w:r>
          </w:p>
        </w:tc>
        <w:tc>
          <w:tcPr>
            <w:tcW w:w="13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0.8</w:t>
            </w:r>
          </w:p>
        </w:tc>
        <w:tc>
          <w:tcPr>
            <w:tcW w:w="89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28</w:t>
            </w:r>
          </w:p>
        </w:tc>
        <w:tc>
          <w:tcPr>
            <w:tcW w:w="98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1200</w:t>
            </w:r>
          </w:p>
        </w:tc>
      </w:tr>
      <w:tr w:rsidR="00D74EF3" w:rsidRPr="00B67DFC" w:rsidTr="0050532B">
        <w:trPr>
          <w:cantSplit/>
          <w:trHeight w:val="141"/>
          <w:jc w:val="center"/>
        </w:trPr>
        <w:tc>
          <w:tcPr>
            <w:tcW w:w="806" w:type="pct"/>
            <w:vMerge/>
            <w:tcBorders>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jc w:val="center"/>
              <w:outlineLvl w:val="4"/>
              <w:rPr>
                <w:rFonts w:ascii="Garamond" w:eastAsia="MS Mincho" w:hAnsi="Garamond"/>
                <w:lang w:val="sq-AL"/>
              </w:rPr>
            </w:pPr>
          </w:p>
        </w:tc>
        <w:tc>
          <w:tcPr>
            <w:tcW w:w="98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24</w:t>
            </w:r>
          </w:p>
        </w:tc>
        <w:tc>
          <w:tcPr>
            <w:tcW w:w="13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1.2</w:t>
            </w:r>
          </w:p>
        </w:tc>
        <w:tc>
          <w:tcPr>
            <w:tcW w:w="89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21</w:t>
            </w:r>
          </w:p>
        </w:tc>
        <w:tc>
          <w:tcPr>
            <w:tcW w:w="98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1900</w:t>
            </w:r>
          </w:p>
        </w:tc>
      </w:tr>
    </w:tbl>
    <w:p w:rsidR="00D74EF3" w:rsidRPr="00B67DFC" w:rsidRDefault="00D74EF3" w:rsidP="00D74EF3">
      <w:pPr>
        <w:widowControl w:val="0"/>
        <w:rPr>
          <w:rFonts w:ascii="Garamond" w:eastAsia="MS Mincho" w:hAnsi="Garamond"/>
          <w:lang w:val="sq-AL"/>
        </w:rPr>
      </w:pP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 d) Përveç standardeve të përcaktuara në shkronjën “a” të kësaj pike, standardet minimale për shkolla të mesme janë:</w:t>
      </w:r>
    </w:p>
    <w:p w:rsidR="00D74EF3" w:rsidRPr="00B67DFC" w:rsidRDefault="00D74EF3" w:rsidP="00D74EF3">
      <w:pPr>
        <w:widowControl w:val="0"/>
        <w:ind w:firstLine="720"/>
        <w:jc w:val="both"/>
        <w:rPr>
          <w:rFonts w:ascii="Garamond" w:eastAsia="MS Mincho" w:hAnsi="Garamond" w:cs="CG Times"/>
          <w:lang w:val="sq-AL"/>
        </w:rPr>
      </w:pPr>
    </w:p>
    <w:tbl>
      <w:tblPr>
        <w:tblW w:w="7907" w:type="dxa"/>
        <w:jc w:val="center"/>
        <w:shd w:val="clear" w:color="auto" w:fill="FFFFFF"/>
        <w:tblLayout w:type="fixed"/>
        <w:tblLook w:val="0000" w:firstRow="0" w:lastRow="0" w:firstColumn="0" w:lastColumn="0" w:noHBand="0" w:noVBand="0"/>
      </w:tblPr>
      <w:tblGrid>
        <w:gridCol w:w="2705"/>
        <w:gridCol w:w="1559"/>
        <w:gridCol w:w="1134"/>
        <w:gridCol w:w="1134"/>
        <w:gridCol w:w="1375"/>
      </w:tblGrid>
      <w:tr w:rsidR="00D74EF3" w:rsidRPr="00B67DFC" w:rsidTr="0050532B">
        <w:trPr>
          <w:cantSplit/>
          <w:trHeight w:val="201"/>
          <w:jc w:val="center"/>
        </w:trPr>
        <w:tc>
          <w:tcPr>
            <w:tcW w:w="270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b/>
                <w:lang w:val="sq-AL"/>
              </w:rPr>
            </w:pPr>
            <w:r w:rsidRPr="00B67DFC">
              <w:rPr>
                <w:rFonts w:ascii="Garamond" w:eastAsia="MS Mincho" w:hAnsi="Garamond"/>
                <w:b/>
                <w:lang w:val="sq-AL"/>
              </w:rPr>
              <w:t>Lloji i shkollës</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b/>
                <w:lang w:val="sq-AL"/>
              </w:rPr>
            </w:pPr>
            <w:r w:rsidRPr="00B67DFC">
              <w:rPr>
                <w:rFonts w:ascii="Garamond" w:eastAsia="MS Mincho" w:hAnsi="Garamond"/>
                <w:b/>
                <w:lang w:val="sq-AL"/>
              </w:rPr>
              <w:t>Kapaciteti</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b/>
                <w:lang w:val="sq-AL"/>
              </w:rPr>
            </w:pPr>
            <w:r w:rsidRPr="00B67DFC">
              <w:rPr>
                <w:rFonts w:ascii="Garamond" w:eastAsia="MS Mincho" w:hAnsi="Garamond"/>
                <w:b/>
                <w:lang w:val="sq-AL"/>
              </w:rPr>
              <w:t>Madhësia e parcelës</w:t>
            </w:r>
          </w:p>
        </w:tc>
        <w:tc>
          <w:tcPr>
            <w:tcW w:w="137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b/>
                <w:bCs/>
                <w:lang w:val="sq-AL"/>
              </w:rPr>
            </w:pPr>
            <w:r w:rsidRPr="00B67DFC">
              <w:rPr>
                <w:rFonts w:ascii="Garamond" w:eastAsia="MS Mincho" w:hAnsi="Garamond"/>
                <w:b/>
                <w:lang w:val="sq-AL"/>
              </w:rPr>
              <w:t>Rrezja e shërbimit në metra në vijë ajrore</w:t>
            </w:r>
          </w:p>
        </w:tc>
      </w:tr>
      <w:tr w:rsidR="00D74EF3" w:rsidRPr="00B67DFC" w:rsidTr="0050532B">
        <w:trPr>
          <w:cantSplit/>
          <w:trHeight w:val="264"/>
          <w:jc w:val="center"/>
        </w:trPr>
        <w:tc>
          <w:tcPr>
            <w:tcW w:w="2705" w:type="dxa"/>
            <w:vMerge/>
            <w:tcBorders>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jc w:val="center"/>
              <w:outlineLvl w:val="4"/>
              <w:rPr>
                <w:rFonts w:ascii="Garamond" w:eastAsia="MS Mincho" w:hAnsi="Garamond"/>
                <w:lang w:val="sq-AL"/>
              </w:rPr>
            </w:pPr>
          </w:p>
        </w:tc>
        <w:tc>
          <w:tcPr>
            <w:tcW w:w="1559" w:type="dxa"/>
            <w:vMerge/>
            <w:tcBorders>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jc w:val="center"/>
              <w:outlineLvl w:val="4"/>
              <w:rPr>
                <w:rFonts w:ascii="Garamond" w:eastAsia="MS Mincho" w:hAnsi="Garamond"/>
                <w:lang w:val="sq-AL"/>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b/>
                <w:lang w:val="sq-AL"/>
              </w:rPr>
            </w:pPr>
            <w:r w:rsidRPr="00B67DFC">
              <w:rPr>
                <w:rFonts w:ascii="Garamond" w:eastAsia="MS Mincho" w:hAnsi="Garamond"/>
                <w:b/>
                <w:lang w:val="sq-AL"/>
              </w:rPr>
              <w:t>Hektarë</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b/>
                <w:lang w:val="sq-AL"/>
              </w:rPr>
            </w:pPr>
            <w:r w:rsidRPr="00B67DFC">
              <w:rPr>
                <w:rFonts w:ascii="Garamond" w:eastAsia="MS Mincho" w:hAnsi="Garamond"/>
                <w:b/>
                <w:lang w:val="sq-AL"/>
              </w:rPr>
              <w:t>m</w:t>
            </w:r>
            <w:r w:rsidRPr="00B67DFC">
              <w:rPr>
                <w:rFonts w:ascii="Garamond" w:eastAsia="MS Mincho" w:hAnsi="Garamond"/>
                <w:b/>
                <w:vertAlign w:val="superscript"/>
                <w:lang w:val="sq-AL"/>
              </w:rPr>
              <w:t>2</w:t>
            </w:r>
            <w:r w:rsidRPr="00B67DFC">
              <w:rPr>
                <w:rFonts w:ascii="Garamond" w:eastAsia="MS Mincho" w:hAnsi="Garamond"/>
                <w:b/>
                <w:lang w:val="sq-AL"/>
              </w:rPr>
              <w:t>/nxënës</w:t>
            </w:r>
          </w:p>
        </w:tc>
        <w:tc>
          <w:tcPr>
            <w:tcW w:w="1375" w:type="dxa"/>
            <w:vMerge/>
            <w:tcBorders>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outlineLvl w:val="4"/>
              <w:rPr>
                <w:rFonts w:ascii="Garamond" w:eastAsia="MS Mincho" w:hAnsi="Garamond"/>
                <w:lang w:val="sq-AL"/>
              </w:rPr>
            </w:pPr>
          </w:p>
        </w:tc>
      </w:tr>
      <w:tr w:rsidR="00D74EF3" w:rsidRPr="00B67DFC" w:rsidTr="0050532B">
        <w:trPr>
          <w:cantSplit/>
          <w:trHeight w:val="121"/>
          <w:jc w:val="center"/>
        </w:trPr>
        <w:tc>
          <w:tcPr>
            <w:tcW w:w="270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Shkollë e mesme profesionale në qytet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b/>
                <w:bCs/>
                <w:lang w:val="sq-AL"/>
              </w:rPr>
            </w:pPr>
            <w:r w:rsidRPr="00B67DFC">
              <w:rPr>
                <w:rFonts w:ascii="Garamond" w:eastAsia="MS Mincho" w:hAnsi="Garamond"/>
                <w:lang w:val="sq-AL"/>
              </w:rPr>
              <w:t>16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b/>
                <w:bCs/>
                <w:lang w:val="sq-AL"/>
              </w:rPr>
            </w:pPr>
            <w:r w:rsidRPr="00B67DFC">
              <w:rPr>
                <w:rFonts w:ascii="Garamond" w:eastAsia="MS Mincho" w:hAnsi="Garamond"/>
                <w:lang w:val="sq-AL"/>
              </w:rPr>
              <w:t>1.4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25</w:t>
            </w:r>
          </w:p>
        </w:tc>
        <w:tc>
          <w:tcPr>
            <w:tcW w:w="137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1000</w:t>
            </w:r>
          </w:p>
        </w:tc>
      </w:tr>
      <w:tr w:rsidR="00D74EF3" w:rsidRPr="00B67DFC" w:rsidTr="0050532B">
        <w:trPr>
          <w:cantSplit/>
          <w:trHeight w:val="181"/>
          <w:jc w:val="center"/>
        </w:trPr>
        <w:tc>
          <w:tcPr>
            <w:tcW w:w="2705" w:type="dxa"/>
            <w:vMerge/>
            <w:tcBorders>
              <w:left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jc w:val="center"/>
              <w:outlineLvl w:val="4"/>
              <w:rPr>
                <w:rFonts w:ascii="Garamond" w:eastAsia="MS Mincho" w:hAnsi="Garamond"/>
                <w:lang w:val="sq-AL"/>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20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1.6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20</w:t>
            </w:r>
          </w:p>
        </w:tc>
        <w:tc>
          <w:tcPr>
            <w:tcW w:w="137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1200</w:t>
            </w:r>
          </w:p>
        </w:tc>
      </w:tr>
      <w:tr w:rsidR="00D74EF3" w:rsidRPr="00B67DFC" w:rsidTr="0050532B">
        <w:trPr>
          <w:cantSplit/>
          <w:trHeight w:val="241"/>
          <w:jc w:val="center"/>
        </w:trPr>
        <w:tc>
          <w:tcPr>
            <w:tcW w:w="2705" w:type="dxa"/>
            <w:vMerge/>
            <w:tcBorders>
              <w:left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jc w:val="center"/>
              <w:outlineLvl w:val="4"/>
              <w:rPr>
                <w:rFonts w:ascii="Garamond" w:eastAsia="MS Mincho" w:hAnsi="Garamond"/>
                <w:lang w:val="sq-AL"/>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24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1.8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19</w:t>
            </w:r>
          </w:p>
        </w:tc>
        <w:tc>
          <w:tcPr>
            <w:tcW w:w="137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1400</w:t>
            </w:r>
          </w:p>
        </w:tc>
      </w:tr>
      <w:tr w:rsidR="00D74EF3" w:rsidRPr="00B67DFC" w:rsidTr="0050532B">
        <w:trPr>
          <w:cantSplit/>
          <w:trHeight w:val="131"/>
          <w:jc w:val="center"/>
        </w:trPr>
        <w:tc>
          <w:tcPr>
            <w:tcW w:w="2705" w:type="dxa"/>
            <w:vMerge/>
            <w:tcBorders>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jc w:val="center"/>
              <w:outlineLvl w:val="4"/>
              <w:rPr>
                <w:rFonts w:ascii="Garamond" w:eastAsia="MS Mincho" w:hAnsi="Garamond"/>
                <w:lang w:val="sq-AL"/>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28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18</w:t>
            </w:r>
          </w:p>
        </w:tc>
        <w:tc>
          <w:tcPr>
            <w:tcW w:w="137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1500</w:t>
            </w:r>
          </w:p>
        </w:tc>
      </w:tr>
      <w:tr w:rsidR="00D74EF3" w:rsidRPr="00B67DFC" w:rsidTr="0050532B">
        <w:trPr>
          <w:cantSplit/>
          <w:trHeight w:val="192"/>
          <w:jc w:val="center"/>
        </w:trPr>
        <w:tc>
          <w:tcPr>
            <w:tcW w:w="270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Shkollë e mesme në fshat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31</w:t>
            </w:r>
          </w:p>
        </w:tc>
        <w:tc>
          <w:tcPr>
            <w:tcW w:w="137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2500</w:t>
            </w:r>
          </w:p>
        </w:tc>
      </w:tr>
      <w:tr w:rsidR="00D74EF3" w:rsidRPr="00B67DFC" w:rsidTr="0050532B">
        <w:trPr>
          <w:cantSplit/>
          <w:trHeight w:val="109"/>
          <w:jc w:val="center"/>
        </w:trPr>
        <w:tc>
          <w:tcPr>
            <w:tcW w:w="2705" w:type="dxa"/>
            <w:vMerge/>
            <w:tcBorders>
              <w:left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jc w:val="center"/>
              <w:outlineLvl w:val="4"/>
              <w:rPr>
                <w:rFonts w:ascii="Garamond" w:eastAsia="MS Mincho" w:hAnsi="Garamond"/>
                <w:lang w:val="sq-AL"/>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12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1.4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28</w:t>
            </w:r>
          </w:p>
        </w:tc>
        <w:tc>
          <w:tcPr>
            <w:tcW w:w="137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3000</w:t>
            </w:r>
          </w:p>
        </w:tc>
      </w:tr>
      <w:tr w:rsidR="00D74EF3" w:rsidRPr="00B67DFC" w:rsidTr="0050532B">
        <w:trPr>
          <w:cantSplit/>
          <w:trHeight w:val="127"/>
          <w:jc w:val="center"/>
        </w:trPr>
        <w:tc>
          <w:tcPr>
            <w:tcW w:w="2705" w:type="dxa"/>
            <w:vMerge/>
            <w:tcBorders>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jc w:val="center"/>
              <w:outlineLvl w:val="4"/>
              <w:rPr>
                <w:rFonts w:ascii="Garamond" w:eastAsia="MS Mincho" w:hAnsi="Garamond"/>
                <w:lang w:val="sq-AL"/>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16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1.6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25</w:t>
            </w:r>
          </w:p>
        </w:tc>
        <w:tc>
          <w:tcPr>
            <w:tcW w:w="137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4700</w:t>
            </w:r>
          </w:p>
        </w:tc>
      </w:tr>
      <w:tr w:rsidR="00D74EF3" w:rsidRPr="00B67DFC" w:rsidTr="0050532B">
        <w:trPr>
          <w:cantSplit/>
          <w:trHeight w:val="87"/>
          <w:jc w:val="center"/>
        </w:trPr>
        <w:tc>
          <w:tcPr>
            <w:tcW w:w="270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Shkollë e mesme e përgjithshme në qytet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16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1.2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20</w:t>
            </w:r>
          </w:p>
        </w:tc>
        <w:tc>
          <w:tcPr>
            <w:tcW w:w="137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1000</w:t>
            </w:r>
          </w:p>
        </w:tc>
      </w:tr>
      <w:tr w:rsidR="00D74EF3" w:rsidRPr="00B67DFC" w:rsidTr="0050532B">
        <w:trPr>
          <w:cantSplit/>
          <w:trHeight w:val="133"/>
          <w:jc w:val="center"/>
        </w:trPr>
        <w:tc>
          <w:tcPr>
            <w:tcW w:w="2705" w:type="dxa"/>
            <w:vMerge/>
            <w:tcBorders>
              <w:left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jc w:val="center"/>
              <w:outlineLvl w:val="4"/>
              <w:rPr>
                <w:rFonts w:ascii="Garamond" w:eastAsia="MS Mincho" w:hAnsi="Garamond"/>
                <w:lang w:val="sq-AL"/>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20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1.6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20</w:t>
            </w:r>
          </w:p>
        </w:tc>
        <w:tc>
          <w:tcPr>
            <w:tcW w:w="137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1200</w:t>
            </w:r>
          </w:p>
        </w:tc>
      </w:tr>
      <w:tr w:rsidR="00D74EF3" w:rsidRPr="00B67DFC" w:rsidTr="0050532B">
        <w:trPr>
          <w:cantSplit/>
          <w:trHeight w:val="52"/>
          <w:jc w:val="center"/>
        </w:trPr>
        <w:tc>
          <w:tcPr>
            <w:tcW w:w="2705" w:type="dxa"/>
            <w:vMerge/>
            <w:tcBorders>
              <w:left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jc w:val="center"/>
              <w:outlineLvl w:val="4"/>
              <w:rPr>
                <w:rFonts w:ascii="Garamond" w:eastAsia="MS Mincho" w:hAnsi="Garamond"/>
                <w:lang w:val="sq-AL"/>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24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1.8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19</w:t>
            </w:r>
          </w:p>
        </w:tc>
        <w:tc>
          <w:tcPr>
            <w:tcW w:w="137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1400</w:t>
            </w:r>
          </w:p>
        </w:tc>
      </w:tr>
      <w:tr w:rsidR="00D74EF3" w:rsidRPr="00B67DFC" w:rsidTr="0050532B">
        <w:trPr>
          <w:cantSplit/>
          <w:trHeight w:val="111"/>
          <w:jc w:val="center"/>
        </w:trPr>
        <w:tc>
          <w:tcPr>
            <w:tcW w:w="2705" w:type="dxa"/>
            <w:vMerge/>
            <w:tcBorders>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jc w:val="center"/>
              <w:outlineLvl w:val="4"/>
              <w:rPr>
                <w:rFonts w:ascii="Garamond" w:eastAsia="MS Mincho" w:hAnsi="Garamond"/>
                <w:lang w:val="sq-AL"/>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28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18</w:t>
            </w:r>
          </w:p>
        </w:tc>
        <w:tc>
          <w:tcPr>
            <w:tcW w:w="137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1500</w:t>
            </w:r>
          </w:p>
        </w:tc>
      </w:tr>
      <w:tr w:rsidR="00D74EF3" w:rsidRPr="00B67DFC" w:rsidTr="0050532B">
        <w:trPr>
          <w:cantSplit/>
          <w:trHeight w:val="171"/>
          <w:jc w:val="center"/>
        </w:trPr>
        <w:tc>
          <w:tcPr>
            <w:tcW w:w="270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Konvikte të shkollave të mesme</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100 vende</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0.4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40</w:t>
            </w:r>
          </w:p>
        </w:tc>
        <w:tc>
          <w:tcPr>
            <w:tcW w:w="137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w:t>
            </w:r>
          </w:p>
        </w:tc>
      </w:tr>
      <w:tr w:rsidR="00D74EF3" w:rsidRPr="00B67DFC" w:rsidTr="0050532B">
        <w:trPr>
          <w:cantSplit/>
          <w:trHeight w:val="212"/>
          <w:jc w:val="center"/>
        </w:trPr>
        <w:tc>
          <w:tcPr>
            <w:tcW w:w="2705" w:type="dxa"/>
            <w:vMerge/>
            <w:tcBorders>
              <w:left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outlineLvl w:val="4"/>
              <w:rPr>
                <w:rFonts w:ascii="Garamond" w:eastAsia="MS Mincho" w:hAnsi="Garamond"/>
                <w:lang w:val="sq-AL"/>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200 vende</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0.7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35</w:t>
            </w:r>
          </w:p>
        </w:tc>
        <w:tc>
          <w:tcPr>
            <w:tcW w:w="137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w:t>
            </w:r>
          </w:p>
        </w:tc>
      </w:tr>
      <w:tr w:rsidR="00D74EF3" w:rsidRPr="00B67DFC" w:rsidTr="0050532B">
        <w:trPr>
          <w:cantSplit/>
          <w:trHeight w:val="397"/>
          <w:jc w:val="center"/>
        </w:trPr>
        <w:tc>
          <w:tcPr>
            <w:tcW w:w="2705" w:type="dxa"/>
            <w:vMerge/>
            <w:tcBorders>
              <w:left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outlineLvl w:val="4"/>
              <w:rPr>
                <w:rFonts w:ascii="Garamond" w:eastAsia="MS Mincho" w:hAnsi="Garamond"/>
                <w:lang w:val="sq-AL"/>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300 vende</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0.9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30</w:t>
            </w:r>
          </w:p>
        </w:tc>
        <w:tc>
          <w:tcPr>
            <w:tcW w:w="137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w:t>
            </w:r>
          </w:p>
        </w:tc>
      </w:tr>
      <w:tr w:rsidR="00D74EF3" w:rsidRPr="00B67DFC" w:rsidTr="0050532B">
        <w:trPr>
          <w:cantSplit/>
          <w:trHeight w:val="129"/>
          <w:jc w:val="center"/>
        </w:trPr>
        <w:tc>
          <w:tcPr>
            <w:tcW w:w="2705" w:type="dxa"/>
            <w:vMerge/>
            <w:tcBorders>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outlineLvl w:val="4"/>
              <w:rPr>
                <w:rFonts w:ascii="Garamond" w:eastAsia="MS Mincho" w:hAnsi="Garamond"/>
                <w:lang w:val="sq-AL"/>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400 vende</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b/>
                <w:lang w:val="sq-AL"/>
              </w:rPr>
            </w:pPr>
            <w:r w:rsidRPr="00B67DFC">
              <w:rPr>
                <w:rFonts w:ascii="Garamond" w:eastAsia="MS Mincho" w:hAnsi="Garamond"/>
                <w:lang w:val="sq-AL"/>
              </w:rPr>
              <w:t>25</w:t>
            </w:r>
          </w:p>
        </w:tc>
        <w:tc>
          <w:tcPr>
            <w:tcW w:w="137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b/>
                <w:lang w:val="sq-AL"/>
              </w:rPr>
            </w:pPr>
            <w:r w:rsidRPr="00B67DFC">
              <w:rPr>
                <w:rFonts w:ascii="Garamond" w:eastAsia="MS Mincho" w:hAnsi="Garamond"/>
                <w:lang w:val="sq-AL"/>
              </w:rPr>
              <w:t>-</w:t>
            </w:r>
          </w:p>
        </w:tc>
      </w:tr>
    </w:tbl>
    <w:p w:rsidR="00D74EF3" w:rsidRPr="00B67DFC" w:rsidRDefault="00D74EF3" w:rsidP="00D74EF3">
      <w:pPr>
        <w:widowControl w:val="0"/>
        <w:rPr>
          <w:rFonts w:ascii="Garamond" w:eastAsia="MS Mincho" w:hAnsi="Garamond"/>
          <w:lang w:val="sq-AL"/>
        </w:rPr>
      </w:pP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dh) Standardet minimale për struktura shëndetësore, </w:t>
      </w:r>
      <w:proofErr w:type="spellStart"/>
      <w:r w:rsidRPr="00B67DFC">
        <w:rPr>
          <w:rFonts w:ascii="Garamond" w:eastAsia="MS Mincho" w:hAnsi="Garamond" w:cs="CG Times"/>
          <w:lang w:val="sq-AL"/>
        </w:rPr>
        <w:t>jospitalore</w:t>
      </w:r>
      <w:proofErr w:type="spellEnd"/>
      <w:r w:rsidRPr="00B67DFC">
        <w:rPr>
          <w:rFonts w:ascii="Garamond" w:eastAsia="MS Mincho" w:hAnsi="Garamond" w:cs="CG Times"/>
          <w:lang w:val="sq-AL"/>
        </w:rPr>
        <w:t>, janë:</w:t>
      </w:r>
    </w:p>
    <w:p w:rsidR="00D74EF3" w:rsidRPr="00B67DFC" w:rsidRDefault="00D74EF3" w:rsidP="00D74EF3">
      <w:pPr>
        <w:widowControl w:val="0"/>
        <w:jc w:val="both"/>
        <w:rPr>
          <w:rFonts w:ascii="Garamond" w:eastAsia="MS Mincho" w:hAnsi="Garamond"/>
          <w:lang w:val="sq-AL"/>
        </w:rPr>
      </w:pPr>
    </w:p>
    <w:tbl>
      <w:tblPr>
        <w:tblW w:w="4530" w:type="pct"/>
        <w:jc w:val="center"/>
        <w:shd w:val="clear" w:color="auto" w:fill="FFFFFF"/>
        <w:tblLook w:val="0000" w:firstRow="0" w:lastRow="0" w:firstColumn="0" w:lastColumn="0" w:noHBand="0" w:noVBand="0"/>
      </w:tblPr>
      <w:tblGrid>
        <w:gridCol w:w="417"/>
        <w:gridCol w:w="3361"/>
        <w:gridCol w:w="1617"/>
        <w:gridCol w:w="2424"/>
      </w:tblGrid>
      <w:tr w:rsidR="00D74EF3" w:rsidRPr="00B67DFC" w:rsidTr="0050532B">
        <w:trPr>
          <w:cantSplit/>
          <w:trHeight w:val="333"/>
          <w:jc w:val="center"/>
        </w:trPr>
        <w:tc>
          <w:tcPr>
            <w:tcW w:w="266"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b/>
                <w:lang w:val="sq-AL"/>
              </w:rPr>
            </w:pPr>
            <w:r w:rsidRPr="00B67DFC">
              <w:rPr>
                <w:rFonts w:ascii="Garamond" w:eastAsia="MS Mincho" w:hAnsi="Garamond"/>
                <w:b/>
                <w:lang w:val="sq-AL"/>
              </w:rPr>
              <w:t xml:space="preserve">Nr. </w:t>
            </w:r>
          </w:p>
        </w:tc>
        <w:tc>
          <w:tcPr>
            <w:tcW w:w="2149"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b/>
                <w:lang w:val="sq-AL"/>
              </w:rPr>
            </w:pPr>
            <w:r w:rsidRPr="00B67DFC">
              <w:rPr>
                <w:rFonts w:ascii="Garamond" w:eastAsia="MS Mincho" w:hAnsi="Garamond"/>
                <w:b/>
                <w:lang w:val="sq-AL"/>
              </w:rPr>
              <w:t>Emërtimi</w:t>
            </w:r>
          </w:p>
        </w:tc>
        <w:tc>
          <w:tcPr>
            <w:tcW w:w="103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b/>
                <w:lang w:val="sq-AL"/>
              </w:rPr>
            </w:pPr>
            <w:r w:rsidRPr="00B67DFC">
              <w:rPr>
                <w:rFonts w:ascii="Garamond" w:eastAsia="MS Mincho" w:hAnsi="Garamond"/>
                <w:b/>
                <w:lang w:val="sq-AL"/>
              </w:rPr>
              <w:t>Parcela (hektarë)</w:t>
            </w:r>
          </w:p>
        </w:tc>
        <w:tc>
          <w:tcPr>
            <w:tcW w:w="155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b/>
                <w:lang w:val="sq-AL"/>
              </w:rPr>
            </w:pPr>
            <w:r w:rsidRPr="00B67DFC">
              <w:rPr>
                <w:rFonts w:ascii="Garamond" w:eastAsia="MS Mincho" w:hAnsi="Garamond"/>
                <w:b/>
                <w:lang w:val="sq-AL"/>
              </w:rPr>
              <w:t>Treguesi i planifikimit</w:t>
            </w:r>
          </w:p>
        </w:tc>
      </w:tr>
      <w:tr w:rsidR="00D74EF3" w:rsidRPr="00B67DFC" w:rsidTr="0050532B">
        <w:trPr>
          <w:cantSplit/>
          <w:trHeight w:hRule="exact" w:val="301"/>
          <w:jc w:val="center"/>
        </w:trPr>
        <w:tc>
          <w:tcPr>
            <w:tcW w:w="266"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1</w:t>
            </w:r>
          </w:p>
        </w:tc>
        <w:tc>
          <w:tcPr>
            <w:tcW w:w="2149"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ind w:left="141"/>
              <w:rPr>
                <w:rFonts w:ascii="Garamond" w:eastAsia="MS Mincho" w:hAnsi="Garamond"/>
                <w:lang w:val="sq-AL"/>
              </w:rPr>
            </w:pPr>
            <w:r w:rsidRPr="00B67DFC">
              <w:rPr>
                <w:rFonts w:ascii="Garamond" w:eastAsia="MS Mincho" w:hAnsi="Garamond"/>
                <w:lang w:val="sq-AL"/>
              </w:rPr>
              <w:t>Qendra shëndetësore</w:t>
            </w:r>
          </w:p>
        </w:tc>
        <w:tc>
          <w:tcPr>
            <w:tcW w:w="103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b/>
                <w:bCs/>
                <w:lang w:val="sq-AL"/>
              </w:rPr>
            </w:pPr>
            <w:r w:rsidRPr="00B67DFC">
              <w:rPr>
                <w:rFonts w:ascii="Garamond" w:eastAsia="MS Mincho" w:hAnsi="Garamond"/>
                <w:lang w:val="sq-AL"/>
              </w:rPr>
              <w:t>0.07-0.1</w:t>
            </w:r>
          </w:p>
        </w:tc>
        <w:tc>
          <w:tcPr>
            <w:tcW w:w="155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një për 1500 – 9000 banorë</w:t>
            </w:r>
          </w:p>
        </w:tc>
      </w:tr>
      <w:tr w:rsidR="00D74EF3" w:rsidRPr="00B67DFC" w:rsidTr="0050532B">
        <w:trPr>
          <w:cantSplit/>
          <w:trHeight w:hRule="exact" w:val="277"/>
          <w:jc w:val="center"/>
        </w:trPr>
        <w:tc>
          <w:tcPr>
            <w:tcW w:w="266"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2</w:t>
            </w:r>
          </w:p>
        </w:tc>
        <w:tc>
          <w:tcPr>
            <w:tcW w:w="2149"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ind w:left="141"/>
              <w:rPr>
                <w:rFonts w:ascii="Garamond" w:eastAsia="MS Mincho" w:hAnsi="Garamond"/>
                <w:lang w:val="sq-AL"/>
              </w:rPr>
            </w:pPr>
            <w:r w:rsidRPr="00B67DFC">
              <w:rPr>
                <w:rFonts w:ascii="Garamond" w:eastAsia="MS Mincho" w:hAnsi="Garamond"/>
                <w:lang w:val="sq-AL"/>
              </w:rPr>
              <w:t>Ambulancë-konsultore maternitet</w:t>
            </w:r>
          </w:p>
        </w:tc>
        <w:tc>
          <w:tcPr>
            <w:tcW w:w="103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0.04-0.06</w:t>
            </w:r>
          </w:p>
        </w:tc>
        <w:tc>
          <w:tcPr>
            <w:tcW w:w="155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p>
        </w:tc>
      </w:tr>
      <w:tr w:rsidR="00D74EF3" w:rsidRPr="00B67DFC" w:rsidTr="0050532B">
        <w:trPr>
          <w:cantSplit/>
          <w:trHeight w:hRule="exact" w:val="282"/>
          <w:jc w:val="center"/>
        </w:trPr>
        <w:tc>
          <w:tcPr>
            <w:tcW w:w="266"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3</w:t>
            </w:r>
          </w:p>
        </w:tc>
        <w:tc>
          <w:tcPr>
            <w:tcW w:w="2149"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ind w:left="141"/>
              <w:rPr>
                <w:rFonts w:ascii="Garamond" w:eastAsia="MS Mincho" w:hAnsi="Garamond"/>
                <w:lang w:val="sq-AL"/>
              </w:rPr>
            </w:pPr>
            <w:r w:rsidRPr="00B67DFC">
              <w:rPr>
                <w:rFonts w:ascii="Garamond" w:eastAsia="MS Mincho" w:hAnsi="Garamond"/>
                <w:lang w:val="sq-AL"/>
              </w:rPr>
              <w:t>Ambulancë-konsultore</w:t>
            </w:r>
          </w:p>
        </w:tc>
        <w:tc>
          <w:tcPr>
            <w:tcW w:w="103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0.03-0.04</w:t>
            </w:r>
          </w:p>
        </w:tc>
        <w:tc>
          <w:tcPr>
            <w:tcW w:w="155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një për 230 – 1200 banorë</w:t>
            </w:r>
          </w:p>
        </w:tc>
      </w:tr>
      <w:tr w:rsidR="00D74EF3" w:rsidRPr="00B67DFC" w:rsidTr="0050532B">
        <w:trPr>
          <w:cantSplit/>
          <w:trHeight w:hRule="exact" w:val="285"/>
          <w:jc w:val="center"/>
        </w:trPr>
        <w:tc>
          <w:tcPr>
            <w:tcW w:w="266"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 w:val="num" w:pos="720"/>
              </w:tabs>
              <w:jc w:val="center"/>
              <w:rPr>
                <w:rFonts w:ascii="Garamond" w:eastAsia="MS Mincho" w:hAnsi="Garamond"/>
                <w:lang w:val="sq-AL"/>
              </w:rPr>
            </w:pPr>
            <w:r w:rsidRPr="00B67DFC">
              <w:rPr>
                <w:rFonts w:ascii="Garamond" w:eastAsia="MS Mincho" w:hAnsi="Garamond"/>
                <w:lang w:val="sq-AL"/>
              </w:rPr>
              <w:t>4</w:t>
            </w:r>
          </w:p>
        </w:tc>
        <w:tc>
          <w:tcPr>
            <w:tcW w:w="2149"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ind w:left="141"/>
              <w:rPr>
                <w:rFonts w:ascii="Garamond" w:eastAsia="MS Mincho" w:hAnsi="Garamond"/>
                <w:lang w:val="sq-AL"/>
              </w:rPr>
            </w:pPr>
            <w:r w:rsidRPr="00B67DFC">
              <w:rPr>
                <w:rFonts w:ascii="Garamond" w:eastAsia="MS Mincho" w:hAnsi="Garamond"/>
                <w:lang w:val="sq-AL"/>
              </w:rPr>
              <w:t>Poliklinikë</w:t>
            </w:r>
          </w:p>
        </w:tc>
        <w:tc>
          <w:tcPr>
            <w:tcW w:w="103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0.2-0.5</w:t>
            </w:r>
          </w:p>
        </w:tc>
        <w:tc>
          <w:tcPr>
            <w:tcW w:w="155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outlineLvl w:val="4"/>
              <w:rPr>
                <w:rFonts w:ascii="Garamond" w:eastAsia="MS Mincho" w:hAnsi="Garamond"/>
                <w:lang w:val="sq-AL"/>
              </w:rPr>
            </w:pPr>
          </w:p>
        </w:tc>
      </w:tr>
      <w:tr w:rsidR="00D74EF3" w:rsidRPr="00B67DFC" w:rsidTr="0050532B">
        <w:trPr>
          <w:cantSplit/>
          <w:trHeight w:hRule="exact" w:val="275"/>
          <w:jc w:val="center"/>
        </w:trPr>
        <w:tc>
          <w:tcPr>
            <w:tcW w:w="266"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5</w:t>
            </w:r>
          </w:p>
        </w:tc>
        <w:tc>
          <w:tcPr>
            <w:tcW w:w="2149"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ind w:left="141"/>
              <w:rPr>
                <w:rFonts w:ascii="Garamond" w:eastAsia="MS Mincho" w:hAnsi="Garamond"/>
                <w:lang w:val="sq-AL"/>
              </w:rPr>
            </w:pPr>
            <w:r w:rsidRPr="00B67DFC">
              <w:rPr>
                <w:rFonts w:ascii="Garamond" w:eastAsia="MS Mincho" w:hAnsi="Garamond"/>
                <w:lang w:val="sq-AL"/>
              </w:rPr>
              <w:t>Klinikë dentare</w:t>
            </w:r>
          </w:p>
        </w:tc>
        <w:tc>
          <w:tcPr>
            <w:tcW w:w="103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0.1</w:t>
            </w:r>
          </w:p>
        </w:tc>
        <w:tc>
          <w:tcPr>
            <w:tcW w:w="155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p>
        </w:tc>
      </w:tr>
      <w:tr w:rsidR="00D74EF3" w:rsidRPr="00B67DFC" w:rsidTr="0050532B">
        <w:trPr>
          <w:cantSplit/>
          <w:trHeight w:hRule="exact" w:val="293"/>
          <w:jc w:val="center"/>
        </w:trPr>
        <w:tc>
          <w:tcPr>
            <w:tcW w:w="266"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6</w:t>
            </w:r>
          </w:p>
        </w:tc>
        <w:tc>
          <w:tcPr>
            <w:tcW w:w="2149"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ind w:left="141"/>
              <w:rPr>
                <w:rFonts w:ascii="Garamond" w:eastAsia="MS Mincho" w:hAnsi="Garamond"/>
                <w:lang w:val="sq-AL"/>
              </w:rPr>
            </w:pPr>
            <w:proofErr w:type="spellStart"/>
            <w:r w:rsidRPr="00B67DFC">
              <w:rPr>
                <w:rFonts w:ascii="Garamond" w:eastAsia="MS Mincho" w:hAnsi="Garamond"/>
                <w:lang w:val="sq-AL"/>
              </w:rPr>
              <w:t>Dispanceri</w:t>
            </w:r>
            <w:proofErr w:type="spellEnd"/>
          </w:p>
        </w:tc>
        <w:tc>
          <w:tcPr>
            <w:tcW w:w="103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0.3</w:t>
            </w:r>
          </w:p>
        </w:tc>
        <w:tc>
          <w:tcPr>
            <w:tcW w:w="155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outlineLvl w:val="4"/>
              <w:rPr>
                <w:rFonts w:ascii="Garamond" w:eastAsia="MS Mincho" w:hAnsi="Garamond"/>
                <w:lang w:val="sq-AL"/>
              </w:rPr>
            </w:pPr>
          </w:p>
        </w:tc>
      </w:tr>
      <w:tr w:rsidR="00D74EF3" w:rsidRPr="00B67DFC" w:rsidTr="0050532B">
        <w:trPr>
          <w:cantSplit/>
          <w:trHeight w:hRule="exact" w:val="269"/>
          <w:jc w:val="center"/>
        </w:trPr>
        <w:tc>
          <w:tcPr>
            <w:tcW w:w="266"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7</w:t>
            </w:r>
          </w:p>
        </w:tc>
        <w:tc>
          <w:tcPr>
            <w:tcW w:w="2149"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ind w:left="141"/>
              <w:rPr>
                <w:rFonts w:ascii="Garamond" w:eastAsia="MS Mincho" w:hAnsi="Garamond"/>
                <w:lang w:val="sq-AL"/>
              </w:rPr>
            </w:pPr>
            <w:r w:rsidRPr="00B67DFC">
              <w:rPr>
                <w:rFonts w:ascii="Garamond" w:eastAsia="MS Mincho" w:hAnsi="Garamond"/>
                <w:lang w:val="sq-AL"/>
              </w:rPr>
              <w:t>Drejtori e higjienës epidemiologjike</w:t>
            </w:r>
          </w:p>
        </w:tc>
        <w:tc>
          <w:tcPr>
            <w:tcW w:w="103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0.2-0.3</w:t>
            </w:r>
          </w:p>
        </w:tc>
        <w:tc>
          <w:tcPr>
            <w:tcW w:w="155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outlineLvl w:val="4"/>
              <w:rPr>
                <w:rFonts w:ascii="Garamond" w:eastAsia="MS Mincho" w:hAnsi="Garamond"/>
                <w:lang w:val="sq-AL"/>
              </w:rPr>
            </w:pPr>
          </w:p>
        </w:tc>
      </w:tr>
      <w:tr w:rsidR="00D74EF3" w:rsidRPr="00B67DFC" w:rsidTr="0050532B">
        <w:trPr>
          <w:cantSplit/>
          <w:trHeight w:hRule="exact" w:val="641"/>
          <w:jc w:val="center"/>
        </w:trPr>
        <w:tc>
          <w:tcPr>
            <w:tcW w:w="266"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8</w:t>
            </w:r>
          </w:p>
        </w:tc>
        <w:tc>
          <w:tcPr>
            <w:tcW w:w="2149"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ind w:left="141"/>
              <w:rPr>
                <w:rFonts w:ascii="Garamond" w:eastAsia="MS Mincho" w:hAnsi="Garamond"/>
                <w:lang w:val="sq-AL"/>
              </w:rPr>
            </w:pPr>
            <w:r w:rsidRPr="00B67DFC">
              <w:rPr>
                <w:rFonts w:ascii="Garamond" w:eastAsia="MS Mincho" w:hAnsi="Garamond"/>
                <w:lang w:val="sq-AL"/>
              </w:rPr>
              <w:t xml:space="preserve">Qendër dezinfektimi, </w:t>
            </w:r>
            <w:proofErr w:type="spellStart"/>
            <w:r w:rsidRPr="00B67DFC">
              <w:rPr>
                <w:rFonts w:ascii="Garamond" w:eastAsia="MS Mincho" w:hAnsi="Garamond"/>
                <w:lang w:val="sq-AL"/>
              </w:rPr>
              <w:t>dezinsektimi</w:t>
            </w:r>
            <w:proofErr w:type="spellEnd"/>
            <w:r w:rsidRPr="00B67DFC">
              <w:rPr>
                <w:rFonts w:ascii="Garamond" w:eastAsia="MS Mincho" w:hAnsi="Garamond"/>
                <w:lang w:val="sq-AL"/>
              </w:rPr>
              <w:t xml:space="preserve">, </w:t>
            </w:r>
            <w:proofErr w:type="spellStart"/>
            <w:r w:rsidRPr="00B67DFC">
              <w:rPr>
                <w:rFonts w:ascii="Garamond" w:eastAsia="MS Mincho" w:hAnsi="Garamond"/>
                <w:lang w:val="sq-AL"/>
              </w:rPr>
              <w:t>deratizimi</w:t>
            </w:r>
            <w:proofErr w:type="spellEnd"/>
          </w:p>
        </w:tc>
        <w:tc>
          <w:tcPr>
            <w:tcW w:w="103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rPr>
                <w:rFonts w:ascii="Garamond" w:eastAsia="MS Mincho" w:hAnsi="Garamond"/>
                <w:lang w:val="sq-AL"/>
              </w:rPr>
            </w:pPr>
            <w:r w:rsidRPr="00B67DFC">
              <w:rPr>
                <w:rFonts w:ascii="Garamond" w:eastAsia="MS Mincho" w:hAnsi="Garamond"/>
                <w:lang w:val="sq-AL"/>
              </w:rPr>
              <w:t>0.2</w:t>
            </w:r>
          </w:p>
        </w:tc>
        <w:tc>
          <w:tcPr>
            <w:tcW w:w="155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460"/>
              </w:tabs>
              <w:jc w:val="center"/>
              <w:outlineLvl w:val="4"/>
              <w:rPr>
                <w:rFonts w:ascii="Garamond" w:eastAsia="MS Mincho" w:hAnsi="Garamond"/>
                <w:lang w:val="sq-AL"/>
              </w:rPr>
            </w:pPr>
          </w:p>
        </w:tc>
      </w:tr>
    </w:tbl>
    <w:p w:rsidR="00D74EF3" w:rsidRPr="00B67DFC" w:rsidRDefault="00D74EF3" w:rsidP="00D74EF3">
      <w:pPr>
        <w:widowControl w:val="0"/>
        <w:tabs>
          <w:tab w:val="left" w:pos="460"/>
        </w:tabs>
        <w:jc w:val="both"/>
        <w:rPr>
          <w:rFonts w:ascii="Garamond" w:eastAsia="MS Mincho" w:hAnsi="Garamond"/>
          <w:lang w:val="sq-AL"/>
        </w:rPr>
      </w:pP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e) Standardet e përcaktuara në këtë pikë përmirësohen në përputhje me nevojën e çdo njësie vendore për të plotësuar kërkesën për hapësirë sipas mesatares së numrit të fëmijëve dhe nxënësve që regjistrohen çdo vit për një periudhë të paktën 5-vjeçare dhe numrit të banorëve çdo 5-10 vjet. Të gjitha këto standarde mund të rishikohen, ndryshojnë dhe detajohen në përputhje me standardet e vendosura nga ministria përgjegjëse për arsimin dhe për shëndetësinë dhe sipas dispozitave ligjore dhe politikave të arsimit dhe të shëndetësisë. Për shkollat në komuna dhe të përcaktuara si shkolla me mbulim rajonal, përdoret standardi “nxënës për mësues”, në përputhje me dispozitat ligjore të arsimit në fuqi.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8. Standardet minimale për territoret sportive janë 1.6 m</w:t>
      </w:r>
      <w:r w:rsidRPr="00B67DFC">
        <w:rPr>
          <w:rFonts w:ascii="Garamond" w:eastAsia="MS Mincho" w:hAnsi="Garamond" w:cs="CG Times"/>
          <w:vertAlign w:val="superscript"/>
          <w:lang w:val="sq-AL"/>
        </w:rPr>
        <w:t>2</w:t>
      </w:r>
      <w:r w:rsidRPr="00B67DFC">
        <w:rPr>
          <w:rFonts w:ascii="Garamond" w:eastAsia="MS Mincho" w:hAnsi="Garamond" w:cs="CG Times"/>
          <w:lang w:val="sq-AL"/>
        </w:rPr>
        <w:t xml:space="preserve">/banor për territore sportive në nivel njësie dhe </w:t>
      </w:r>
      <w:proofErr w:type="spellStart"/>
      <w:r w:rsidRPr="00B67DFC">
        <w:rPr>
          <w:rFonts w:ascii="Garamond" w:eastAsia="MS Mincho" w:hAnsi="Garamond" w:cs="CG Times"/>
          <w:lang w:val="sq-AL"/>
        </w:rPr>
        <w:t>nënnjësie</w:t>
      </w:r>
      <w:proofErr w:type="spellEnd"/>
      <w:r w:rsidRPr="00B67DFC">
        <w:rPr>
          <w:rFonts w:ascii="Garamond" w:eastAsia="MS Mincho" w:hAnsi="Garamond" w:cs="CG Times"/>
          <w:lang w:val="sq-AL"/>
        </w:rPr>
        <w:t xml:space="preserve"> strukturore, ndërsa territore dhe struktura për aktivitete cilësore sportive të tipit stadium, pallat sporti dhe palestër, pishina, të kësaj natyre, ndërtohen në nivel qyteti, në bazë të standardeve të projektimit dhe të studimeve paraprake të realizueshmërisë, por jo më pak se 1 m</w:t>
      </w:r>
      <w:r w:rsidRPr="00B67DFC">
        <w:rPr>
          <w:rFonts w:ascii="Garamond" w:eastAsia="MS Mincho" w:hAnsi="Garamond" w:cs="CG Times"/>
          <w:vertAlign w:val="superscript"/>
          <w:lang w:val="sq-AL"/>
        </w:rPr>
        <w:t>2</w:t>
      </w:r>
      <w:r w:rsidRPr="00B67DFC">
        <w:rPr>
          <w:rFonts w:ascii="Garamond" w:eastAsia="MS Mincho" w:hAnsi="Garamond" w:cs="CG Times"/>
          <w:lang w:val="sq-AL"/>
        </w:rPr>
        <w:t xml:space="preserve">/banor. Në nivel qyteti ose njësie administrative të banuar, standardet minimale të kësaj pike </w:t>
      </w:r>
      <w:proofErr w:type="spellStart"/>
      <w:r w:rsidRPr="00B67DFC">
        <w:rPr>
          <w:rFonts w:ascii="Garamond" w:eastAsia="MS Mincho" w:hAnsi="Garamond" w:cs="CG Times"/>
          <w:lang w:val="sq-AL"/>
        </w:rPr>
        <w:t>variojnë</w:t>
      </w:r>
      <w:proofErr w:type="spellEnd"/>
      <w:r w:rsidRPr="00B67DFC">
        <w:rPr>
          <w:rFonts w:ascii="Garamond" w:eastAsia="MS Mincho" w:hAnsi="Garamond" w:cs="CG Times"/>
          <w:lang w:val="sq-AL"/>
        </w:rPr>
        <w:t xml:space="preserve"> nga 2.6 m</w:t>
      </w:r>
      <w:r w:rsidRPr="00B67DFC">
        <w:rPr>
          <w:rFonts w:ascii="Garamond" w:eastAsia="MS Mincho" w:hAnsi="Garamond" w:cs="CG Times"/>
          <w:vertAlign w:val="superscript"/>
          <w:lang w:val="sq-AL"/>
        </w:rPr>
        <w:t>2</w:t>
      </w:r>
      <w:r w:rsidRPr="00B67DFC">
        <w:rPr>
          <w:rFonts w:ascii="Garamond" w:eastAsia="MS Mincho" w:hAnsi="Garamond" w:cs="CG Times"/>
          <w:lang w:val="sq-AL"/>
        </w:rPr>
        <w:t>/banor për njësitë administrative të qeverisjes vendore me popullsi mbi 100 000 banorë, në 3.5 m</w:t>
      </w:r>
      <w:r w:rsidRPr="00B67DFC">
        <w:rPr>
          <w:rFonts w:ascii="Garamond" w:eastAsia="MS Mincho" w:hAnsi="Garamond" w:cs="CG Times"/>
          <w:vertAlign w:val="superscript"/>
          <w:lang w:val="sq-AL"/>
        </w:rPr>
        <w:t>2</w:t>
      </w:r>
      <w:r w:rsidRPr="00B67DFC">
        <w:rPr>
          <w:rFonts w:ascii="Garamond" w:eastAsia="MS Mincho" w:hAnsi="Garamond" w:cs="CG Times"/>
          <w:lang w:val="sq-AL"/>
        </w:rPr>
        <w:t>/banor për njësitë e tjera. Në çdo rast, strukturat sipas kësaj pike, nuk duhet të jenë më të vogla në sipërfaqe sesa standardet minimale të përcaktuara në manualet e projektimit për sipërfaqet sportive për fëmijë të moshës 6-10 vjeç.</w:t>
      </w:r>
    </w:p>
    <w:p w:rsidR="006909CF" w:rsidRPr="00B67DFC" w:rsidRDefault="006909CF" w:rsidP="00D74EF3">
      <w:pPr>
        <w:widowControl w:val="0"/>
        <w:ind w:firstLine="720"/>
        <w:jc w:val="both"/>
        <w:rPr>
          <w:rFonts w:ascii="Garamond" w:eastAsia="MS Mincho" w:hAnsi="Garamond" w:cs="CG Times"/>
          <w:lang w:val="sq-AL"/>
        </w:rPr>
      </w:pPr>
    </w:p>
    <w:p w:rsidR="00D74EF3" w:rsidRPr="00B67DFC" w:rsidRDefault="00D74EF3" w:rsidP="00D74EF3">
      <w:pPr>
        <w:widowControl w:val="0"/>
        <w:jc w:val="center"/>
        <w:rPr>
          <w:rFonts w:ascii="Garamond" w:eastAsia="MS Mincho" w:hAnsi="Garamond" w:cs="CG Times"/>
          <w:lang w:val="sq-AL"/>
        </w:rPr>
      </w:pPr>
      <w:r w:rsidRPr="00B67DFC">
        <w:rPr>
          <w:rFonts w:ascii="Garamond" w:eastAsia="MS Mincho" w:hAnsi="Garamond" w:cs="CG Times"/>
          <w:lang w:val="sq-AL"/>
        </w:rPr>
        <w:lastRenderedPageBreak/>
        <w:t>Neni 35/4</w:t>
      </w:r>
    </w:p>
    <w:p w:rsidR="00D74EF3" w:rsidRPr="00B67DFC" w:rsidRDefault="00D74EF3" w:rsidP="00D74EF3">
      <w:pPr>
        <w:widowControl w:val="0"/>
        <w:jc w:val="center"/>
        <w:outlineLvl w:val="2"/>
        <w:rPr>
          <w:rFonts w:ascii="Garamond" w:eastAsia="MS Mincho" w:hAnsi="Garamond" w:cs="CG Times"/>
          <w:b/>
          <w:bCs/>
          <w:lang w:val="sq-AL"/>
        </w:rPr>
      </w:pPr>
      <w:r w:rsidRPr="00B67DFC">
        <w:rPr>
          <w:rFonts w:ascii="Garamond" w:eastAsia="MS Mincho" w:hAnsi="Garamond" w:cs="CG Times"/>
          <w:b/>
          <w:bCs/>
          <w:lang w:val="sq-AL"/>
        </w:rPr>
        <w:t>Standardet për gjelbërimin në qendra të banuara</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1. Përcaktimet e këtij neni nuk përdoren për zonat që kanë përdorim homogjen B. bujqësi dhe N. natyror.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2. Zonat e gjelbra në nivel qyteti përbëhen nga:</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a) gjelbërimi i përgjithshëm publik;</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b) gjelbërimi publik i kufizuar;</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c) gjelbërimi i veçantë.</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3. Gjelbërimi i përgjithshëm publik dhe standardet minimale për të janë:</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ind w:firstLine="720"/>
        <w:jc w:val="both"/>
        <w:rPr>
          <w:rFonts w:ascii="Garamond" w:eastAsia="MS Mincho" w:hAnsi="Garamond" w:cs="CG Times"/>
          <w:lang w:val="sq-AL"/>
        </w:rPr>
      </w:pPr>
    </w:p>
    <w:tbl>
      <w:tblPr>
        <w:tblW w:w="5000" w:type="pct"/>
        <w:shd w:val="clear" w:color="auto" w:fill="FFFFFF"/>
        <w:tblLook w:val="0000" w:firstRow="0" w:lastRow="0" w:firstColumn="0" w:lastColumn="0" w:noHBand="0" w:noVBand="0"/>
      </w:tblPr>
      <w:tblGrid>
        <w:gridCol w:w="3767"/>
        <w:gridCol w:w="2334"/>
        <w:gridCol w:w="2529"/>
      </w:tblGrid>
      <w:tr w:rsidR="00D74EF3" w:rsidRPr="00B67DFC" w:rsidTr="0050532B">
        <w:trPr>
          <w:cantSplit/>
          <w:trHeight w:val="638"/>
        </w:trPr>
        <w:tc>
          <w:tcPr>
            <w:tcW w:w="218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tabs>
                <w:tab w:val="left" w:pos="500"/>
              </w:tabs>
              <w:ind w:left="144" w:right="144"/>
              <w:jc w:val="center"/>
              <w:rPr>
                <w:rFonts w:ascii="Garamond" w:eastAsia="MS Mincho" w:hAnsi="Garamond"/>
                <w:b/>
                <w:lang w:val="sq-AL"/>
              </w:rPr>
            </w:pPr>
            <w:r w:rsidRPr="00B67DFC">
              <w:rPr>
                <w:rFonts w:ascii="Garamond" w:eastAsia="MS Mincho" w:hAnsi="Garamond"/>
                <w:b/>
                <w:lang w:val="sq-AL"/>
              </w:rPr>
              <w:t>Lloji i gjelbërimit të përgjithshëm publik</w:t>
            </w:r>
          </w:p>
        </w:tc>
        <w:tc>
          <w:tcPr>
            <w:tcW w:w="1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tabs>
                <w:tab w:val="left" w:pos="500"/>
              </w:tabs>
              <w:jc w:val="center"/>
              <w:rPr>
                <w:rFonts w:ascii="Garamond" w:eastAsia="MS Mincho" w:hAnsi="Garamond"/>
                <w:b/>
                <w:bCs/>
                <w:lang w:val="sq-AL"/>
              </w:rPr>
            </w:pPr>
            <w:r w:rsidRPr="00B67DFC">
              <w:rPr>
                <w:rFonts w:ascii="Garamond" w:eastAsia="MS Mincho" w:hAnsi="Garamond"/>
                <w:b/>
                <w:lang w:val="sq-AL"/>
              </w:rPr>
              <w:t>Standarde minimale për njësitë e qeverisjes vendore deri në 10,000 banorë</w:t>
            </w:r>
          </w:p>
        </w:tc>
        <w:tc>
          <w:tcPr>
            <w:tcW w:w="146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tabs>
                <w:tab w:val="left" w:pos="500"/>
              </w:tabs>
              <w:jc w:val="center"/>
              <w:rPr>
                <w:rFonts w:ascii="Garamond" w:eastAsia="MS Mincho" w:hAnsi="Garamond"/>
                <w:b/>
                <w:bCs/>
                <w:lang w:val="sq-AL"/>
              </w:rPr>
            </w:pPr>
            <w:r w:rsidRPr="00B67DFC">
              <w:rPr>
                <w:rFonts w:ascii="Garamond" w:eastAsia="MS Mincho" w:hAnsi="Garamond"/>
                <w:b/>
                <w:lang w:val="sq-AL"/>
              </w:rPr>
              <w:t>Standarde minimale për njësitë e qeverisjes vendore deri në 10,000 banorë</w:t>
            </w:r>
          </w:p>
        </w:tc>
      </w:tr>
      <w:tr w:rsidR="00D74EF3" w:rsidRPr="00B67DFC" w:rsidTr="0050532B">
        <w:trPr>
          <w:cantSplit/>
          <w:trHeight w:val="830"/>
        </w:trPr>
        <w:tc>
          <w:tcPr>
            <w:tcW w:w="218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tabs>
                <w:tab w:val="left" w:pos="500"/>
              </w:tabs>
              <w:ind w:left="144" w:right="144"/>
              <w:jc w:val="both"/>
              <w:rPr>
                <w:rFonts w:ascii="Garamond" w:eastAsia="MS Mincho" w:hAnsi="Garamond"/>
                <w:lang w:val="sq-AL"/>
              </w:rPr>
            </w:pPr>
            <w:r w:rsidRPr="00B67DFC">
              <w:rPr>
                <w:rFonts w:ascii="Garamond" w:eastAsia="MS Mincho" w:hAnsi="Garamond"/>
                <w:b/>
                <w:lang w:val="sq-AL"/>
              </w:rPr>
              <w:t>a)</w:t>
            </w:r>
            <w:r w:rsidRPr="00B67DFC">
              <w:rPr>
                <w:rFonts w:ascii="Garamond" w:eastAsia="MS Mincho" w:hAnsi="Garamond"/>
                <w:lang w:val="sq-AL"/>
              </w:rPr>
              <w:t xml:space="preserve"> Gjelbërim në </w:t>
            </w:r>
            <w:proofErr w:type="spellStart"/>
            <w:r w:rsidRPr="00B67DFC">
              <w:rPr>
                <w:rFonts w:ascii="Garamond" w:eastAsia="MS Mincho" w:hAnsi="Garamond"/>
                <w:lang w:val="sq-AL"/>
              </w:rPr>
              <w:t>nënnjësi</w:t>
            </w:r>
            <w:proofErr w:type="spellEnd"/>
            <w:r w:rsidRPr="00B67DFC">
              <w:rPr>
                <w:rFonts w:ascii="Garamond" w:eastAsia="MS Mincho" w:hAnsi="Garamond"/>
                <w:lang w:val="sq-AL"/>
              </w:rPr>
              <w:t xml:space="preserve"> strukturore banimi, por jo gjelbërimi sipas germave “b” dhe “c” të kësaj pike. Brenda këtyre hapësirave mund të përfshihen edhe lojëra për fëmijë.</w:t>
            </w:r>
          </w:p>
        </w:tc>
        <w:tc>
          <w:tcPr>
            <w:tcW w:w="1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tabs>
                <w:tab w:val="left" w:pos="500"/>
              </w:tabs>
              <w:ind w:left="147"/>
              <w:jc w:val="center"/>
              <w:rPr>
                <w:rFonts w:ascii="Garamond" w:eastAsia="MS Mincho" w:hAnsi="Garamond"/>
                <w:lang w:val="sq-AL"/>
              </w:rPr>
            </w:pPr>
            <w:r w:rsidRPr="00B67DFC">
              <w:rPr>
                <w:rFonts w:ascii="Garamond" w:eastAsia="MS Mincho" w:hAnsi="Garamond"/>
                <w:lang w:val="sq-AL"/>
              </w:rPr>
              <w:t>2.5 m</w:t>
            </w:r>
            <w:r w:rsidRPr="00B67DFC">
              <w:rPr>
                <w:rFonts w:ascii="Garamond" w:eastAsia="MS Mincho" w:hAnsi="Garamond"/>
                <w:vertAlign w:val="superscript"/>
                <w:lang w:val="sq-AL"/>
              </w:rPr>
              <w:t>2</w:t>
            </w:r>
            <w:r w:rsidRPr="00B67DFC">
              <w:rPr>
                <w:rFonts w:ascii="Garamond" w:eastAsia="MS Mincho" w:hAnsi="Garamond"/>
                <w:lang w:val="sq-AL"/>
              </w:rPr>
              <w:t>/banor</w:t>
            </w:r>
          </w:p>
        </w:tc>
        <w:tc>
          <w:tcPr>
            <w:tcW w:w="146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tabs>
                <w:tab w:val="left" w:pos="500"/>
              </w:tabs>
              <w:ind w:left="147"/>
              <w:jc w:val="center"/>
              <w:rPr>
                <w:rFonts w:ascii="Garamond" w:eastAsia="MS Mincho" w:hAnsi="Garamond"/>
                <w:b/>
                <w:bCs/>
                <w:iCs/>
                <w:lang w:val="sq-AL"/>
              </w:rPr>
            </w:pPr>
            <w:r w:rsidRPr="00B67DFC">
              <w:rPr>
                <w:rFonts w:ascii="Garamond" w:eastAsia="MS Mincho" w:hAnsi="Garamond"/>
                <w:lang w:val="sq-AL"/>
              </w:rPr>
              <w:t>2.5 m</w:t>
            </w:r>
            <w:r w:rsidRPr="00B67DFC">
              <w:rPr>
                <w:rFonts w:ascii="Garamond" w:eastAsia="MS Mincho" w:hAnsi="Garamond"/>
                <w:vertAlign w:val="superscript"/>
                <w:lang w:val="sq-AL"/>
              </w:rPr>
              <w:t>2</w:t>
            </w:r>
            <w:r w:rsidRPr="00B67DFC">
              <w:rPr>
                <w:rFonts w:ascii="Garamond" w:eastAsia="MS Mincho" w:hAnsi="Garamond"/>
                <w:lang w:val="sq-AL"/>
              </w:rPr>
              <w:t>/banor</w:t>
            </w:r>
          </w:p>
        </w:tc>
      </w:tr>
      <w:tr w:rsidR="00D74EF3" w:rsidRPr="00B67DFC" w:rsidTr="0050532B">
        <w:trPr>
          <w:cantSplit/>
          <w:trHeight w:val="389"/>
        </w:trPr>
        <w:tc>
          <w:tcPr>
            <w:tcW w:w="218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tabs>
                <w:tab w:val="left" w:pos="500"/>
              </w:tabs>
              <w:ind w:left="144" w:right="144"/>
              <w:jc w:val="both"/>
              <w:rPr>
                <w:rFonts w:ascii="Garamond" w:eastAsia="MS Mincho" w:hAnsi="Garamond"/>
                <w:b/>
                <w:bCs/>
                <w:lang w:val="sq-AL"/>
              </w:rPr>
            </w:pPr>
            <w:r w:rsidRPr="00B67DFC">
              <w:rPr>
                <w:rFonts w:ascii="Garamond" w:eastAsia="MS Mincho" w:hAnsi="Garamond"/>
                <w:b/>
                <w:lang w:val="sq-AL"/>
              </w:rPr>
              <w:t>b)</w:t>
            </w:r>
            <w:r w:rsidRPr="00B67DFC">
              <w:rPr>
                <w:rFonts w:ascii="Garamond" w:eastAsia="MS Mincho" w:hAnsi="Garamond"/>
                <w:lang w:val="sq-AL"/>
              </w:rPr>
              <w:t xml:space="preserve"> Gjelbërim masiv në parqe dhe lulishte brenda qendrës së banuar</w:t>
            </w:r>
          </w:p>
        </w:tc>
        <w:tc>
          <w:tcPr>
            <w:tcW w:w="1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tabs>
                <w:tab w:val="left" w:pos="500"/>
              </w:tabs>
              <w:jc w:val="center"/>
              <w:rPr>
                <w:rFonts w:ascii="Garamond" w:eastAsia="MS Mincho" w:hAnsi="Garamond"/>
                <w:b/>
                <w:bCs/>
                <w:lang w:val="sq-AL"/>
              </w:rPr>
            </w:pPr>
            <w:r w:rsidRPr="00B67DFC">
              <w:rPr>
                <w:rFonts w:ascii="Garamond" w:eastAsia="MS Mincho" w:hAnsi="Garamond"/>
                <w:lang w:val="sq-AL"/>
              </w:rPr>
              <w:t>1 m</w:t>
            </w:r>
            <w:r w:rsidRPr="00B67DFC">
              <w:rPr>
                <w:rFonts w:ascii="Garamond" w:eastAsia="MS Mincho" w:hAnsi="Garamond"/>
                <w:vertAlign w:val="superscript"/>
                <w:lang w:val="sq-AL"/>
              </w:rPr>
              <w:t>2</w:t>
            </w:r>
            <w:r w:rsidRPr="00B67DFC">
              <w:rPr>
                <w:rFonts w:ascii="Garamond" w:eastAsia="MS Mincho" w:hAnsi="Garamond"/>
                <w:lang w:val="sq-AL"/>
              </w:rPr>
              <w:t>/banor</w:t>
            </w:r>
          </w:p>
        </w:tc>
        <w:tc>
          <w:tcPr>
            <w:tcW w:w="146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tabs>
                <w:tab w:val="left" w:pos="500"/>
              </w:tabs>
              <w:jc w:val="center"/>
              <w:rPr>
                <w:rFonts w:ascii="Garamond" w:eastAsia="MS Mincho" w:hAnsi="Garamond"/>
                <w:lang w:val="sq-AL"/>
              </w:rPr>
            </w:pPr>
            <w:r w:rsidRPr="00B67DFC">
              <w:rPr>
                <w:rFonts w:ascii="Garamond" w:eastAsia="MS Mincho" w:hAnsi="Garamond"/>
                <w:lang w:val="sq-AL"/>
              </w:rPr>
              <w:t>4 m</w:t>
            </w:r>
            <w:r w:rsidRPr="00B67DFC">
              <w:rPr>
                <w:rFonts w:ascii="Garamond" w:eastAsia="MS Mincho" w:hAnsi="Garamond"/>
                <w:vertAlign w:val="superscript"/>
                <w:lang w:val="sq-AL"/>
              </w:rPr>
              <w:t>2</w:t>
            </w:r>
            <w:r w:rsidRPr="00B67DFC">
              <w:rPr>
                <w:rFonts w:ascii="Garamond" w:eastAsia="MS Mincho" w:hAnsi="Garamond"/>
                <w:lang w:val="sq-AL"/>
              </w:rPr>
              <w:t>/banor</w:t>
            </w:r>
          </w:p>
        </w:tc>
      </w:tr>
      <w:tr w:rsidR="00D74EF3" w:rsidRPr="00B67DFC" w:rsidTr="0050532B">
        <w:trPr>
          <w:cantSplit/>
          <w:trHeight w:val="366"/>
        </w:trPr>
        <w:tc>
          <w:tcPr>
            <w:tcW w:w="218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tabs>
                <w:tab w:val="left" w:pos="500"/>
              </w:tabs>
              <w:ind w:left="144" w:right="144"/>
              <w:jc w:val="both"/>
              <w:rPr>
                <w:rFonts w:ascii="Garamond" w:eastAsia="MS Mincho" w:hAnsi="Garamond"/>
                <w:lang w:val="sq-AL"/>
              </w:rPr>
            </w:pPr>
            <w:r w:rsidRPr="00B67DFC">
              <w:rPr>
                <w:rFonts w:ascii="Garamond" w:eastAsia="MS Mincho" w:hAnsi="Garamond"/>
                <w:b/>
                <w:lang w:val="sq-AL"/>
              </w:rPr>
              <w:t>c)</w:t>
            </w:r>
            <w:r w:rsidRPr="00B67DFC">
              <w:rPr>
                <w:rFonts w:ascii="Garamond" w:eastAsia="MS Mincho" w:hAnsi="Garamond"/>
                <w:lang w:val="sq-AL"/>
              </w:rPr>
              <w:t xml:space="preserve"> Gjelbërim në rrugë, shëtitore, sheshe dhe brigje ujore sipas dispozitave ligjore në fuqi</w:t>
            </w:r>
          </w:p>
        </w:tc>
        <w:tc>
          <w:tcPr>
            <w:tcW w:w="1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tabs>
                <w:tab w:val="left" w:pos="500"/>
              </w:tabs>
              <w:jc w:val="center"/>
              <w:rPr>
                <w:rFonts w:ascii="Garamond" w:eastAsia="MS Mincho" w:hAnsi="Garamond"/>
                <w:lang w:val="sq-AL"/>
              </w:rPr>
            </w:pPr>
            <w:r w:rsidRPr="00B67DFC">
              <w:rPr>
                <w:rFonts w:ascii="Garamond" w:eastAsia="MS Mincho" w:hAnsi="Garamond"/>
                <w:lang w:val="sq-AL"/>
              </w:rPr>
              <w:t>1.5 m</w:t>
            </w:r>
            <w:r w:rsidRPr="00B67DFC">
              <w:rPr>
                <w:rFonts w:ascii="Garamond" w:eastAsia="MS Mincho" w:hAnsi="Garamond"/>
                <w:vertAlign w:val="superscript"/>
                <w:lang w:val="sq-AL"/>
              </w:rPr>
              <w:t>2</w:t>
            </w:r>
            <w:r w:rsidRPr="00B67DFC">
              <w:rPr>
                <w:rFonts w:ascii="Garamond" w:eastAsia="MS Mincho" w:hAnsi="Garamond"/>
                <w:lang w:val="sq-AL"/>
              </w:rPr>
              <w:t>/banor</w:t>
            </w:r>
          </w:p>
        </w:tc>
        <w:tc>
          <w:tcPr>
            <w:tcW w:w="146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tabs>
                <w:tab w:val="left" w:pos="500"/>
              </w:tabs>
              <w:jc w:val="center"/>
              <w:rPr>
                <w:rFonts w:ascii="Garamond" w:eastAsia="MS Mincho" w:hAnsi="Garamond"/>
                <w:lang w:val="sq-AL"/>
              </w:rPr>
            </w:pPr>
            <w:r w:rsidRPr="00B67DFC">
              <w:rPr>
                <w:rFonts w:ascii="Garamond" w:eastAsia="MS Mincho" w:hAnsi="Garamond"/>
                <w:lang w:val="sq-AL"/>
              </w:rPr>
              <w:t>2.5 m</w:t>
            </w:r>
            <w:r w:rsidRPr="00B67DFC">
              <w:rPr>
                <w:rFonts w:ascii="Garamond" w:eastAsia="MS Mincho" w:hAnsi="Garamond"/>
                <w:vertAlign w:val="superscript"/>
                <w:lang w:val="sq-AL"/>
              </w:rPr>
              <w:t>2</w:t>
            </w:r>
            <w:r w:rsidRPr="00B67DFC">
              <w:rPr>
                <w:rFonts w:ascii="Garamond" w:eastAsia="MS Mincho" w:hAnsi="Garamond"/>
                <w:lang w:val="sq-AL"/>
              </w:rPr>
              <w:t>/banor</w:t>
            </w:r>
          </w:p>
        </w:tc>
      </w:tr>
      <w:tr w:rsidR="00D74EF3" w:rsidRPr="00B67DFC" w:rsidTr="0050532B">
        <w:trPr>
          <w:cantSplit/>
          <w:trHeight w:val="203"/>
        </w:trPr>
        <w:tc>
          <w:tcPr>
            <w:tcW w:w="218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tabs>
                <w:tab w:val="left" w:pos="500"/>
              </w:tabs>
              <w:ind w:left="144" w:right="144"/>
              <w:jc w:val="both"/>
              <w:rPr>
                <w:rFonts w:ascii="Garamond" w:eastAsia="MS Mincho" w:hAnsi="Garamond"/>
                <w:lang w:val="sq-AL"/>
              </w:rPr>
            </w:pPr>
            <w:r w:rsidRPr="00B67DFC">
              <w:rPr>
                <w:rFonts w:ascii="Garamond" w:eastAsia="MS Mincho" w:hAnsi="Garamond"/>
                <w:b/>
                <w:lang w:val="sq-AL"/>
              </w:rPr>
              <w:t>d)</w:t>
            </w:r>
            <w:r w:rsidRPr="00B67DFC">
              <w:rPr>
                <w:rFonts w:ascii="Garamond" w:eastAsia="MS Mincho" w:hAnsi="Garamond"/>
                <w:lang w:val="sq-AL"/>
              </w:rPr>
              <w:t xml:space="preserve"> Gjithsej për </w:t>
            </w:r>
            <w:r w:rsidRPr="00B67DFC">
              <w:rPr>
                <w:rFonts w:ascii="Garamond" w:eastAsia="MS Mincho" w:hAnsi="Garamond"/>
                <w:b/>
                <w:lang w:val="sq-AL"/>
              </w:rPr>
              <w:t>a + b + c</w:t>
            </w:r>
          </w:p>
        </w:tc>
        <w:tc>
          <w:tcPr>
            <w:tcW w:w="1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tabs>
                <w:tab w:val="left" w:pos="500"/>
              </w:tabs>
              <w:jc w:val="center"/>
              <w:rPr>
                <w:rFonts w:ascii="Garamond" w:eastAsia="MS Mincho" w:hAnsi="Garamond"/>
                <w:lang w:val="sq-AL"/>
              </w:rPr>
            </w:pPr>
            <w:r w:rsidRPr="00B67DFC">
              <w:rPr>
                <w:rFonts w:ascii="Garamond" w:eastAsia="MS Mincho" w:hAnsi="Garamond"/>
                <w:lang w:val="sq-AL"/>
              </w:rPr>
              <w:t>5 m</w:t>
            </w:r>
            <w:r w:rsidRPr="00B67DFC">
              <w:rPr>
                <w:rFonts w:ascii="Garamond" w:eastAsia="MS Mincho" w:hAnsi="Garamond"/>
                <w:vertAlign w:val="superscript"/>
                <w:lang w:val="sq-AL"/>
              </w:rPr>
              <w:t>2</w:t>
            </w:r>
            <w:r w:rsidRPr="00B67DFC">
              <w:rPr>
                <w:rFonts w:ascii="Garamond" w:eastAsia="MS Mincho" w:hAnsi="Garamond"/>
                <w:lang w:val="sq-AL"/>
              </w:rPr>
              <w:t>/banor</w:t>
            </w:r>
          </w:p>
        </w:tc>
        <w:tc>
          <w:tcPr>
            <w:tcW w:w="146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tabs>
                <w:tab w:val="left" w:pos="500"/>
              </w:tabs>
              <w:jc w:val="center"/>
              <w:rPr>
                <w:rFonts w:ascii="Garamond" w:eastAsia="MS Mincho" w:hAnsi="Garamond"/>
                <w:lang w:val="sq-AL"/>
              </w:rPr>
            </w:pPr>
            <w:r w:rsidRPr="00B67DFC">
              <w:rPr>
                <w:rFonts w:ascii="Garamond" w:eastAsia="MS Mincho" w:hAnsi="Garamond"/>
                <w:lang w:val="sq-AL"/>
              </w:rPr>
              <w:t>9 m</w:t>
            </w:r>
            <w:r w:rsidRPr="00B67DFC">
              <w:rPr>
                <w:rFonts w:ascii="Garamond" w:eastAsia="MS Mincho" w:hAnsi="Garamond"/>
                <w:vertAlign w:val="superscript"/>
                <w:lang w:val="sq-AL"/>
              </w:rPr>
              <w:t>2</w:t>
            </w:r>
            <w:r w:rsidRPr="00B67DFC">
              <w:rPr>
                <w:rFonts w:ascii="Garamond" w:eastAsia="MS Mincho" w:hAnsi="Garamond"/>
                <w:lang w:val="sq-AL"/>
              </w:rPr>
              <w:t>/banor</w:t>
            </w:r>
          </w:p>
        </w:tc>
      </w:tr>
      <w:tr w:rsidR="00D74EF3" w:rsidRPr="00B67DFC" w:rsidTr="0050532B">
        <w:trPr>
          <w:cantSplit/>
          <w:trHeight w:val="1965"/>
        </w:trPr>
        <w:tc>
          <w:tcPr>
            <w:tcW w:w="218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tabs>
                <w:tab w:val="left" w:pos="500"/>
              </w:tabs>
              <w:ind w:left="144" w:right="144"/>
              <w:jc w:val="both"/>
              <w:rPr>
                <w:rFonts w:ascii="Garamond" w:eastAsia="MS Mincho" w:hAnsi="Garamond"/>
                <w:lang w:val="sq-AL"/>
              </w:rPr>
            </w:pPr>
            <w:r w:rsidRPr="00B67DFC">
              <w:rPr>
                <w:rFonts w:ascii="Garamond" w:eastAsia="MS Mincho" w:hAnsi="Garamond"/>
                <w:b/>
                <w:lang w:val="sq-AL"/>
              </w:rPr>
              <w:t>e)</w:t>
            </w:r>
            <w:r w:rsidRPr="00B67DFC">
              <w:rPr>
                <w:rFonts w:ascii="Garamond" w:eastAsia="MS Mincho" w:hAnsi="Garamond"/>
                <w:lang w:val="sq-AL"/>
              </w:rPr>
              <w:t xml:space="preserve"> Gjelbërim i zonës së pushimit park periferik, që veç gjelbërimit mund të përmbajë edhe struktura të ndryshme të shërbimit publik për aktivitete argëtuese, kulturore, sportive me sheshe të ndryshme lojërash për fëmijë e të rritur, rrugë këmbësore, shkallare etj. Në këto zona, sipërfaqja e asfaltuar dhe/ose e zënë me struktura përbën jo më shumë se 5% të sipërfaqes së përgjithshme të parkut.</w:t>
            </w:r>
          </w:p>
        </w:tc>
        <w:tc>
          <w:tcPr>
            <w:tcW w:w="1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tabs>
                <w:tab w:val="left" w:pos="500"/>
              </w:tabs>
              <w:jc w:val="center"/>
              <w:rPr>
                <w:rFonts w:ascii="Garamond" w:eastAsia="MS Mincho" w:hAnsi="Garamond"/>
                <w:lang w:val="sq-AL"/>
              </w:rPr>
            </w:pPr>
            <w:r w:rsidRPr="00B67DFC">
              <w:rPr>
                <w:rFonts w:ascii="Garamond" w:eastAsia="MS Mincho" w:hAnsi="Garamond"/>
                <w:lang w:val="sq-AL"/>
              </w:rPr>
              <w:t>8 m</w:t>
            </w:r>
            <w:r w:rsidRPr="00B67DFC">
              <w:rPr>
                <w:rFonts w:ascii="Garamond" w:eastAsia="MS Mincho" w:hAnsi="Garamond"/>
                <w:vertAlign w:val="superscript"/>
                <w:lang w:val="sq-AL"/>
              </w:rPr>
              <w:t>2</w:t>
            </w:r>
            <w:r w:rsidRPr="00B67DFC">
              <w:rPr>
                <w:rFonts w:ascii="Garamond" w:eastAsia="MS Mincho" w:hAnsi="Garamond"/>
                <w:lang w:val="sq-AL"/>
              </w:rPr>
              <w:t>/banor</w:t>
            </w:r>
          </w:p>
        </w:tc>
        <w:tc>
          <w:tcPr>
            <w:tcW w:w="146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tabs>
                <w:tab w:val="left" w:pos="500"/>
              </w:tabs>
              <w:jc w:val="center"/>
              <w:rPr>
                <w:rFonts w:ascii="Garamond" w:eastAsia="MS Mincho" w:hAnsi="Garamond"/>
                <w:lang w:val="sq-AL"/>
              </w:rPr>
            </w:pPr>
            <w:r w:rsidRPr="00B67DFC">
              <w:rPr>
                <w:rFonts w:ascii="Garamond" w:eastAsia="MS Mincho" w:hAnsi="Garamond"/>
                <w:lang w:val="sq-AL"/>
              </w:rPr>
              <w:t>17 m</w:t>
            </w:r>
            <w:r w:rsidRPr="00B67DFC">
              <w:rPr>
                <w:rFonts w:ascii="Garamond" w:eastAsia="MS Mincho" w:hAnsi="Garamond"/>
                <w:vertAlign w:val="superscript"/>
                <w:lang w:val="sq-AL"/>
              </w:rPr>
              <w:t>2</w:t>
            </w:r>
            <w:r w:rsidRPr="00B67DFC">
              <w:rPr>
                <w:rFonts w:ascii="Garamond" w:eastAsia="MS Mincho" w:hAnsi="Garamond"/>
                <w:lang w:val="sq-AL"/>
              </w:rPr>
              <w:t>/banor</w:t>
            </w:r>
          </w:p>
        </w:tc>
      </w:tr>
      <w:tr w:rsidR="00D74EF3" w:rsidRPr="00B67DFC" w:rsidTr="0050532B">
        <w:trPr>
          <w:cantSplit/>
          <w:trHeight w:val="135"/>
        </w:trPr>
        <w:tc>
          <w:tcPr>
            <w:tcW w:w="218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tabs>
                <w:tab w:val="left" w:pos="500"/>
              </w:tabs>
              <w:ind w:left="144" w:right="144"/>
              <w:rPr>
                <w:rFonts w:ascii="Garamond" w:eastAsia="MS Mincho" w:hAnsi="Garamond"/>
                <w:lang w:val="sq-AL"/>
              </w:rPr>
            </w:pPr>
            <w:r w:rsidRPr="00B67DFC">
              <w:rPr>
                <w:rFonts w:ascii="Garamond" w:eastAsia="MS Mincho" w:hAnsi="Garamond"/>
                <w:b/>
                <w:lang w:val="sq-AL"/>
              </w:rPr>
              <w:t>f)</w:t>
            </w:r>
            <w:r w:rsidRPr="00B67DFC">
              <w:rPr>
                <w:rFonts w:ascii="Garamond" w:eastAsia="MS Mincho" w:hAnsi="Garamond"/>
                <w:lang w:val="sq-AL"/>
              </w:rPr>
              <w:t xml:space="preserve"> Gjithsej për </w:t>
            </w:r>
            <w:r w:rsidRPr="00B67DFC">
              <w:rPr>
                <w:rFonts w:ascii="Garamond" w:eastAsia="MS Mincho" w:hAnsi="Garamond"/>
                <w:b/>
                <w:lang w:val="sq-AL"/>
              </w:rPr>
              <w:t>d + e</w:t>
            </w:r>
          </w:p>
        </w:tc>
        <w:tc>
          <w:tcPr>
            <w:tcW w:w="1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tabs>
                <w:tab w:val="left" w:pos="500"/>
              </w:tabs>
              <w:jc w:val="center"/>
              <w:rPr>
                <w:rFonts w:ascii="Garamond" w:eastAsia="MS Mincho" w:hAnsi="Garamond"/>
                <w:lang w:val="sq-AL"/>
              </w:rPr>
            </w:pPr>
            <w:r w:rsidRPr="00B67DFC">
              <w:rPr>
                <w:rFonts w:ascii="Garamond" w:eastAsia="MS Mincho" w:hAnsi="Garamond"/>
                <w:lang w:val="sq-AL"/>
              </w:rPr>
              <w:t>13 m</w:t>
            </w:r>
            <w:r w:rsidRPr="00B67DFC">
              <w:rPr>
                <w:rFonts w:ascii="Garamond" w:eastAsia="MS Mincho" w:hAnsi="Garamond"/>
                <w:vertAlign w:val="superscript"/>
                <w:lang w:val="sq-AL"/>
              </w:rPr>
              <w:t>2</w:t>
            </w:r>
            <w:r w:rsidRPr="00B67DFC">
              <w:rPr>
                <w:rFonts w:ascii="Garamond" w:eastAsia="MS Mincho" w:hAnsi="Garamond"/>
                <w:lang w:val="sq-AL"/>
              </w:rPr>
              <w:t>/banor</w:t>
            </w:r>
          </w:p>
        </w:tc>
        <w:tc>
          <w:tcPr>
            <w:tcW w:w="146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D74EF3" w:rsidRPr="00B67DFC" w:rsidRDefault="00D74EF3" w:rsidP="00D74EF3">
            <w:pPr>
              <w:widowControl w:val="0"/>
              <w:tabs>
                <w:tab w:val="left" w:pos="500"/>
              </w:tabs>
              <w:jc w:val="center"/>
              <w:rPr>
                <w:rFonts w:ascii="Garamond" w:eastAsia="MS Mincho" w:hAnsi="Garamond"/>
                <w:lang w:val="sq-AL"/>
              </w:rPr>
            </w:pPr>
            <w:r w:rsidRPr="00B67DFC">
              <w:rPr>
                <w:rFonts w:ascii="Garamond" w:eastAsia="MS Mincho" w:hAnsi="Garamond"/>
                <w:lang w:val="sq-AL"/>
              </w:rPr>
              <w:t>26 m</w:t>
            </w:r>
            <w:r w:rsidRPr="00B67DFC">
              <w:rPr>
                <w:rFonts w:ascii="Garamond" w:eastAsia="MS Mincho" w:hAnsi="Garamond"/>
                <w:vertAlign w:val="superscript"/>
                <w:lang w:val="sq-AL"/>
              </w:rPr>
              <w:t>2</w:t>
            </w:r>
            <w:r w:rsidRPr="00B67DFC">
              <w:rPr>
                <w:rFonts w:ascii="Garamond" w:eastAsia="MS Mincho" w:hAnsi="Garamond"/>
                <w:lang w:val="sq-AL"/>
              </w:rPr>
              <w:t>/banor</w:t>
            </w:r>
          </w:p>
        </w:tc>
      </w:tr>
    </w:tbl>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4. Çdo objekt banimi duhet të ketë në një rreze prej 400 metra, të paktën një hapësirë të gjelbër të llojit të përcaktuar në germën “b” të pikës 3 të këtij neni si standard minimal orientues të treguesit cilësor.</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lastRenderedPageBreak/>
        <w:t>5. Gjelbërimi shoqëror i kufizuar përfshin sipërfaqet e gjelbra të strukturave për përdorim publik, kryesisht shërbime, si edhe gjelbërimin vetjak të banesave individuale tip vilë, pavarësisht nëse banesat janë të bashkëngjitura apo të shkëputura. Standardi minimal orientues i treguesit cilësor është 1 deri në 2 m</w:t>
      </w:r>
      <w:r w:rsidRPr="00B67DFC">
        <w:rPr>
          <w:rFonts w:ascii="Garamond" w:eastAsia="MS Mincho" w:hAnsi="Garamond" w:cs="CG Times"/>
          <w:vertAlign w:val="superscript"/>
          <w:lang w:val="sq-AL"/>
        </w:rPr>
        <w:t>2</w:t>
      </w:r>
      <w:r w:rsidRPr="00B67DFC">
        <w:rPr>
          <w:rFonts w:ascii="Garamond" w:eastAsia="MS Mincho" w:hAnsi="Garamond" w:cs="CG Times"/>
          <w:lang w:val="sq-AL"/>
        </w:rPr>
        <w:t xml:space="preserve">/banor, dhe zona përdoret vetëm nga përdoruesit e strukturës, të tillë si: pacientët që përdorin hapësirën e gjelbër në një spital dhe banorët e banesës individuale. Kjo normë zbatohet edhe për strukturat për përdorim publik, në rast se nuk parashikohet ndryshe nga legjislacioni i posaçëm në fuqi.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6. Gjelbërimi i veçantë përfshin struktura dhe zona me funksione, të tilla si: kopsht botanik dhe/ose zoologjik, fidanishte dhe breza sanitarë mbrojtës. Në këtë rast standardet vlerësohen sipas rastit dhe manualeve të projektimit, por standardet minimale orientuese të treguesit cilësor janë:</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a) kopsht botanik</w:t>
      </w:r>
      <w:r w:rsidRPr="00B67DFC">
        <w:rPr>
          <w:rFonts w:ascii="Garamond" w:eastAsia="MS Mincho" w:hAnsi="Garamond" w:cs="CG Times"/>
          <w:lang w:val="sq-AL"/>
        </w:rPr>
        <w:tab/>
      </w:r>
      <w:r w:rsidRPr="00B67DFC">
        <w:rPr>
          <w:rFonts w:ascii="Garamond" w:eastAsia="MS Mincho" w:hAnsi="Garamond" w:cs="CG Times"/>
          <w:lang w:val="sq-AL"/>
        </w:rPr>
        <w:tab/>
      </w:r>
      <w:r w:rsidRPr="00B67DFC">
        <w:rPr>
          <w:rFonts w:ascii="Garamond" w:eastAsia="MS Mincho" w:hAnsi="Garamond" w:cs="CG Times"/>
          <w:lang w:val="sq-AL"/>
        </w:rPr>
        <w:tab/>
      </w:r>
      <w:r w:rsidRPr="00B67DFC">
        <w:rPr>
          <w:rFonts w:ascii="Garamond" w:eastAsia="MS Mincho" w:hAnsi="Garamond" w:cs="CG Times"/>
          <w:lang w:val="sq-AL"/>
        </w:rPr>
        <w:tab/>
        <w:t>0.3 – 0.5 m</w:t>
      </w:r>
      <w:r w:rsidRPr="00B67DFC">
        <w:rPr>
          <w:rFonts w:ascii="Garamond" w:eastAsia="MS Mincho" w:hAnsi="Garamond" w:cs="CG Times"/>
          <w:vertAlign w:val="superscript"/>
          <w:lang w:val="sq-AL"/>
        </w:rPr>
        <w:t>2</w:t>
      </w:r>
      <w:r w:rsidRPr="00B67DFC">
        <w:rPr>
          <w:rFonts w:ascii="Garamond" w:eastAsia="MS Mincho" w:hAnsi="Garamond" w:cs="CG Times"/>
          <w:lang w:val="sq-AL"/>
        </w:rPr>
        <w:t>/banor;</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b) kopsht zoologjik</w:t>
      </w:r>
      <w:r w:rsidRPr="00B67DFC">
        <w:rPr>
          <w:rFonts w:ascii="Garamond" w:eastAsia="MS Mincho" w:hAnsi="Garamond" w:cs="CG Times"/>
          <w:lang w:val="sq-AL"/>
        </w:rPr>
        <w:tab/>
      </w:r>
      <w:r w:rsidRPr="00B67DFC">
        <w:rPr>
          <w:rFonts w:ascii="Garamond" w:eastAsia="MS Mincho" w:hAnsi="Garamond" w:cs="CG Times"/>
          <w:lang w:val="sq-AL"/>
        </w:rPr>
        <w:tab/>
      </w:r>
      <w:r w:rsidRPr="00B67DFC">
        <w:rPr>
          <w:rFonts w:ascii="Garamond" w:eastAsia="MS Mincho" w:hAnsi="Garamond" w:cs="CG Times"/>
          <w:lang w:val="sq-AL"/>
        </w:rPr>
        <w:tab/>
      </w:r>
      <w:r w:rsidRPr="00B67DFC">
        <w:rPr>
          <w:rFonts w:ascii="Garamond" w:eastAsia="MS Mincho" w:hAnsi="Garamond" w:cs="CG Times"/>
          <w:lang w:val="sq-AL"/>
        </w:rPr>
        <w:tab/>
        <w:t xml:space="preserve">0.6 – 1 </w:t>
      </w:r>
      <w:r w:rsidRPr="00B67DFC">
        <w:rPr>
          <w:rFonts w:ascii="Garamond" w:eastAsia="MS Mincho" w:hAnsi="Garamond" w:cs="CG Times"/>
          <w:lang w:val="sq-AL"/>
        </w:rPr>
        <w:tab/>
        <w:t>m</w:t>
      </w:r>
      <w:r w:rsidRPr="00B67DFC">
        <w:rPr>
          <w:rFonts w:ascii="Garamond" w:eastAsia="MS Mincho" w:hAnsi="Garamond" w:cs="CG Times"/>
          <w:vertAlign w:val="superscript"/>
          <w:lang w:val="sq-AL"/>
        </w:rPr>
        <w:t>2</w:t>
      </w:r>
      <w:r w:rsidRPr="00B67DFC">
        <w:rPr>
          <w:rFonts w:ascii="Garamond" w:eastAsia="MS Mincho" w:hAnsi="Garamond" w:cs="CG Times"/>
          <w:lang w:val="sq-AL"/>
        </w:rPr>
        <w:t>/banor;</w:t>
      </w:r>
    </w:p>
    <w:p w:rsidR="00D74EF3" w:rsidRPr="00B67DFC" w:rsidRDefault="00D74EF3" w:rsidP="00D74EF3">
      <w:pPr>
        <w:widowControl w:val="0"/>
        <w:ind w:left="720"/>
        <w:jc w:val="both"/>
        <w:rPr>
          <w:rFonts w:ascii="Garamond" w:eastAsia="MS Mincho" w:hAnsi="Garamond" w:cs="CG Times"/>
          <w:lang w:val="sq-AL"/>
        </w:rPr>
      </w:pPr>
      <w:r w:rsidRPr="00B67DFC">
        <w:rPr>
          <w:rFonts w:ascii="Garamond" w:eastAsia="MS Mincho" w:hAnsi="Garamond" w:cs="CG Times"/>
          <w:lang w:val="sq-AL"/>
        </w:rPr>
        <w:t>c) fidanishte dhe/ose zonë sanitare</w:t>
      </w:r>
      <w:r w:rsidRPr="00B67DFC">
        <w:rPr>
          <w:rFonts w:ascii="Garamond" w:eastAsia="MS Mincho" w:hAnsi="Garamond" w:cs="CG Times"/>
          <w:lang w:val="sq-AL"/>
        </w:rPr>
        <w:tab/>
      </w:r>
      <w:r w:rsidRPr="00B67DFC">
        <w:rPr>
          <w:rFonts w:ascii="Garamond" w:eastAsia="MS Mincho" w:hAnsi="Garamond" w:cs="CG Times"/>
          <w:lang w:val="sq-AL"/>
        </w:rPr>
        <w:tab/>
        <w:t xml:space="preserve">0.8 – 2 </w:t>
      </w:r>
      <w:r w:rsidRPr="00B67DFC">
        <w:rPr>
          <w:rFonts w:ascii="Garamond" w:eastAsia="MS Mincho" w:hAnsi="Garamond" w:cs="CG Times"/>
          <w:lang w:val="sq-AL"/>
        </w:rPr>
        <w:tab/>
        <w:t>m</w:t>
      </w:r>
      <w:r w:rsidRPr="00B67DFC">
        <w:rPr>
          <w:rFonts w:ascii="Garamond" w:eastAsia="MS Mincho" w:hAnsi="Garamond" w:cs="CG Times"/>
          <w:vertAlign w:val="superscript"/>
          <w:lang w:val="sq-AL"/>
        </w:rPr>
        <w:t>2</w:t>
      </w:r>
      <w:r w:rsidRPr="00B67DFC">
        <w:rPr>
          <w:rFonts w:ascii="Garamond" w:eastAsia="MS Mincho" w:hAnsi="Garamond" w:cs="CG Times"/>
          <w:lang w:val="sq-AL"/>
        </w:rPr>
        <w:t>/banor dhe sipas përcaktimeve të kësaj rregulloreje për zonat mbrojtëse sanitare.</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7. Standarde të treguesve cilësorë për parqet dhe lulishtet pronë e personave fizikë dhe juridikë, privatë, nuk është subjekt i kësaj rregulloreje.</w:t>
      </w:r>
    </w:p>
    <w:p w:rsidR="00D74EF3" w:rsidRPr="00B67DFC" w:rsidRDefault="00D74EF3" w:rsidP="00D74EF3">
      <w:pPr>
        <w:widowControl w:val="0"/>
        <w:jc w:val="center"/>
        <w:rPr>
          <w:rFonts w:ascii="Garamond" w:eastAsia="MS Mincho" w:hAnsi="Garamond" w:cs="CG Times"/>
          <w:lang w:val="sq-AL"/>
        </w:rPr>
      </w:pPr>
    </w:p>
    <w:p w:rsidR="00D74EF3" w:rsidRPr="00B67DFC" w:rsidRDefault="00D74EF3" w:rsidP="00D74EF3">
      <w:pPr>
        <w:widowControl w:val="0"/>
        <w:jc w:val="center"/>
        <w:rPr>
          <w:rFonts w:ascii="Garamond" w:eastAsia="MS Mincho" w:hAnsi="Garamond" w:cs="CG Times"/>
          <w:lang w:val="sq-AL"/>
        </w:rPr>
      </w:pPr>
      <w:r w:rsidRPr="00B67DFC">
        <w:rPr>
          <w:rFonts w:ascii="Garamond" w:eastAsia="MS Mincho" w:hAnsi="Garamond" w:cs="CG Times"/>
          <w:lang w:val="sq-AL"/>
        </w:rPr>
        <w:t>Neni 35/5</w:t>
      </w:r>
    </w:p>
    <w:p w:rsidR="00D74EF3" w:rsidRPr="00B67DFC" w:rsidRDefault="00D74EF3" w:rsidP="00D74EF3">
      <w:pPr>
        <w:widowControl w:val="0"/>
        <w:jc w:val="center"/>
        <w:outlineLvl w:val="2"/>
        <w:rPr>
          <w:rFonts w:ascii="Garamond" w:eastAsia="MS Mincho" w:hAnsi="Garamond" w:cs="CG Times"/>
          <w:b/>
          <w:bCs/>
          <w:lang w:val="sq-AL"/>
        </w:rPr>
      </w:pPr>
      <w:r w:rsidRPr="00B67DFC">
        <w:rPr>
          <w:rFonts w:ascii="Garamond" w:eastAsia="MS Mincho" w:hAnsi="Garamond" w:cs="CG Times"/>
          <w:b/>
          <w:bCs/>
          <w:lang w:val="sq-AL"/>
        </w:rPr>
        <w:t>Standardet për fidanishte dhe zona mbrojtëse sanitare</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1. Në fidanishte dhe zona mbrojtëse sanitare, standardet minimale orientuese të cilësisë për mbjelljen janë:</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a) jo më pak se një fidan në 1 m</w:t>
      </w:r>
      <w:r w:rsidRPr="00B67DFC">
        <w:rPr>
          <w:rFonts w:ascii="Garamond" w:eastAsia="MS Mincho" w:hAnsi="Garamond" w:cs="CG Times"/>
          <w:vertAlign w:val="superscript"/>
          <w:lang w:val="sq-AL"/>
        </w:rPr>
        <w:t>2</w:t>
      </w:r>
      <w:r w:rsidRPr="00B67DFC">
        <w:rPr>
          <w:rFonts w:ascii="Garamond" w:eastAsia="MS Mincho" w:hAnsi="Garamond" w:cs="CG Times"/>
          <w:lang w:val="sq-AL"/>
        </w:rPr>
        <w:t xml:space="preserve"> për shkurret dhe në çdo rast sipas përcaktimeve të legjislacionit të posaçëm në fuqi;</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b) jo më pak se një fidan në 9 m</w:t>
      </w:r>
      <w:r w:rsidRPr="00B67DFC">
        <w:rPr>
          <w:rFonts w:ascii="Garamond" w:eastAsia="MS Mincho" w:hAnsi="Garamond" w:cs="CG Times"/>
          <w:vertAlign w:val="superscript"/>
          <w:lang w:val="sq-AL"/>
        </w:rPr>
        <w:t>2</w:t>
      </w:r>
      <w:r w:rsidRPr="00B67DFC">
        <w:rPr>
          <w:rFonts w:ascii="Garamond" w:eastAsia="MS Mincho" w:hAnsi="Garamond" w:cs="CG Times"/>
          <w:lang w:val="sq-AL"/>
        </w:rPr>
        <w:t>, për pemë me lartësi mesatare dhe në çdo rast sipas përcaktimeve të legjislacionit të posaçëm në fuqi;</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c) jo më pak se një fidan në 36 m</w:t>
      </w:r>
      <w:r w:rsidRPr="00B67DFC">
        <w:rPr>
          <w:rFonts w:ascii="Garamond" w:eastAsia="MS Mincho" w:hAnsi="Garamond" w:cs="CG Times"/>
          <w:vertAlign w:val="superscript"/>
          <w:lang w:val="sq-AL"/>
        </w:rPr>
        <w:t>2</w:t>
      </w:r>
      <w:r w:rsidRPr="00B67DFC">
        <w:rPr>
          <w:rFonts w:ascii="Garamond" w:eastAsia="MS Mincho" w:hAnsi="Garamond" w:cs="CG Times"/>
          <w:lang w:val="sq-AL"/>
        </w:rPr>
        <w:t xml:space="preserve">, për pemë të larta dhe në çdo rast sipas përcaktimeve të legjislacionit të posaçëm në fuqi.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2. Për planifikimin dhe krijimin e zonës së fidanishtes, standardet minimale, bazuar në popullsinë e përgjithshme të njësisë administrative të qeverisjes vendore, janë:</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a) Sipërfaqe për fidanë drurësh dhe shkurresh dekorative</w:t>
      </w:r>
      <w:r w:rsidRPr="00B67DFC">
        <w:rPr>
          <w:rFonts w:ascii="Garamond" w:eastAsia="MS Mincho" w:hAnsi="Garamond" w:cs="CG Times"/>
          <w:lang w:val="sq-AL"/>
        </w:rPr>
        <w:tab/>
        <w:t>0.6–1.5 m</w:t>
      </w:r>
      <w:r w:rsidRPr="00B67DFC">
        <w:rPr>
          <w:rFonts w:ascii="Garamond" w:eastAsia="MS Mincho" w:hAnsi="Garamond" w:cs="CG Times"/>
          <w:vertAlign w:val="superscript"/>
          <w:lang w:val="sq-AL"/>
        </w:rPr>
        <w:t>2</w:t>
      </w:r>
      <w:r w:rsidRPr="00B67DFC">
        <w:rPr>
          <w:rFonts w:ascii="Garamond" w:eastAsia="MS Mincho" w:hAnsi="Garamond" w:cs="CG Times"/>
          <w:lang w:val="sq-AL"/>
        </w:rPr>
        <w:t>/banor;</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b) Sipërfaqe për sera dhe lule dekorative </w:t>
      </w:r>
      <w:r w:rsidRPr="00B67DFC">
        <w:rPr>
          <w:rFonts w:ascii="Garamond" w:eastAsia="MS Mincho" w:hAnsi="Garamond" w:cs="CG Times"/>
          <w:lang w:val="sq-AL"/>
        </w:rPr>
        <w:tab/>
      </w:r>
      <w:r w:rsidRPr="00B67DFC">
        <w:rPr>
          <w:rFonts w:ascii="Garamond" w:eastAsia="MS Mincho" w:hAnsi="Garamond" w:cs="CG Times"/>
          <w:lang w:val="sq-AL"/>
        </w:rPr>
        <w:tab/>
      </w:r>
      <w:r w:rsidRPr="00B67DFC">
        <w:rPr>
          <w:rFonts w:ascii="Garamond" w:eastAsia="MS Mincho" w:hAnsi="Garamond" w:cs="CG Times"/>
          <w:lang w:val="sq-AL"/>
        </w:rPr>
        <w:tab/>
        <w:t>0.2–0.5 m</w:t>
      </w:r>
      <w:r w:rsidRPr="00B67DFC">
        <w:rPr>
          <w:rFonts w:ascii="Garamond" w:eastAsia="MS Mincho" w:hAnsi="Garamond" w:cs="CG Times"/>
          <w:vertAlign w:val="superscript"/>
          <w:lang w:val="sq-AL"/>
        </w:rPr>
        <w:t>2</w:t>
      </w:r>
      <w:r w:rsidRPr="00B67DFC">
        <w:rPr>
          <w:rFonts w:ascii="Garamond" w:eastAsia="MS Mincho" w:hAnsi="Garamond" w:cs="CG Times"/>
          <w:lang w:val="sq-AL"/>
        </w:rPr>
        <w:t>/banor.</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3. Llojet dhe përmasat e zonave mbrojtëse sanitare për përdorime të caktuara të tokës dhe për burimet dhe sipërfaqet natyrore përcaktohen në legjislacionin e posaçëm në fuqi.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4. Për strukturat industriale, përveçse kur është përcaktuar ndryshe në legjislacionin e posaçëm në fuqi, gjerësia minimale e zonës mbrojtëse sanitare përgjatë gjithë vijës kufizuese të saj është 50 m. Kjo gjerësi rritet sipas shkallës së ndotjes së zonës industriale, gjatë projektimit të zonës industriale.</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5. Për </w:t>
      </w:r>
      <w:proofErr w:type="spellStart"/>
      <w:r w:rsidRPr="00B67DFC">
        <w:rPr>
          <w:rFonts w:ascii="Garamond" w:eastAsia="MS Mincho" w:hAnsi="Garamond" w:cs="CG Times"/>
          <w:lang w:val="sq-AL"/>
        </w:rPr>
        <w:t>landfillet</w:t>
      </w:r>
      <w:proofErr w:type="spellEnd"/>
      <w:r w:rsidRPr="00B67DFC">
        <w:rPr>
          <w:rFonts w:ascii="Garamond" w:eastAsia="MS Mincho" w:hAnsi="Garamond" w:cs="CG Times"/>
          <w:lang w:val="sq-AL"/>
        </w:rPr>
        <w:t xml:space="preserve"> sanitare dhe për impiantet natyrale ose artificiale të trajtimit të ujërave të ndotura, përveçse kur është përcaktuar ndryshe në legjislacionin e posaçëm në fuqi, gjerësia minimale e zonës mbrojtëse sanitare përgjatë gjithë vijës kufizuese të saj është 100 m. Kjo gjerësi rritet sipas shkallës së ndotjes, gjatë projektimit të zonave sipas kësaj pike.</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6. Zonat mbrojtëse sanitare për burimet ujore përcaktohen në çdo rast sipas përcaktimeve të legjislacionit të posaçëm për rezervat ujore, ndërsa zonat mbrojtëse sanitare për aeroportet, aerodromet dhe fushat e fluturimit përcaktohen në çdo rast sipas përcaktimeve të Kodit Ajror të Republikës së Shqipërisë.</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7. Në rast se madhësia e zonave mbrojtëse sanitare për një përdorim të caktuar nuk </w:t>
      </w:r>
      <w:r w:rsidRPr="00B67DFC">
        <w:rPr>
          <w:rFonts w:ascii="Garamond" w:eastAsia="MS Mincho" w:hAnsi="Garamond" w:cs="CG Times"/>
          <w:lang w:val="sq-AL"/>
        </w:rPr>
        <w:lastRenderedPageBreak/>
        <w:t>është përcaktuar edhe nga dispozitat ligjore sektoriale, ajo llogaritet në varësi të shkallës së ndotjes së objekteve industriale dhe distancave që këto objekte duhet të kenë nga zonat e banimit ose zonat e mbrojtura, relievit të territorit dhe trëndafilit të erërave. Në këto raste, gjerësitë e zonat mbrojtëse sanitare klasifikohen në pesë grupe dhe vendimi për përdorimin e normës së secilit grup bëhet në bashkëpunim me autoritetet përkatëse sipas përcaktimit të legjislacionit të posaçëm në fuqi:</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a) grupi i parë, me gjerësi të zonës mbrojtëse sanitare jo më pak se 700 m;</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b) grupi i dytë, me gjerësi të zonës mbrojtëse sanitare jo më pak se 500 m;</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c) grupi i tretë, me gjerësi të zonës mbrojtëse sanitare jo më pak se 300 m;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ç) grupi i katërt, me gjerësi të zonës mbrojtëse sanitare jo më pak se 100 m;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d) grupi i pestë, me gjerësi të zonës mbrojtëse sanitare jo më pak se 50 m.</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jc w:val="center"/>
        <w:rPr>
          <w:rFonts w:ascii="Garamond" w:eastAsia="MS Mincho" w:hAnsi="Garamond" w:cs="CG Times"/>
          <w:caps/>
          <w:lang w:val="sq-AL"/>
        </w:rPr>
      </w:pPr>
      <w:r w:rsidRPr="00B67DFC">
        <w:rPr>
          <w:rFonts w:ascii="Garamond" w:eastAsia="MS Mincho" w:hAnsi="Garamond" w:cs="CG Times"/>
          <w:caps/>
          <w:lang w:val="sq-AL"/>
        </w:rPr>
        <w:t>SEKSIONI 2</w:t>
      </w:r>
    </w:p>
    <w:p w:rsidR="006909CF" w:rsidRPr="00B67DFC" w:rsidRDefault="00D74EF3" w:rsidP="006909CF">
      <w:pPr>
        <w:widowControl w:val="0"/>
        <w:jc w:val="center"/>
        <w:rPr>
          <w:rFonts w:ascii="Garamond" w:eastAsia="MS Mincho" w:hAnsi="Garamond" w:cs="CG Times"/>
          <w:caps/>
          <w:lang w:val="sq-AL"/>
        </w:rPr>
      </w:pPr>
      <w:r w:rsidRPr="00B67DFC">
        <w:rPr>
          <w:rFonts w:ascii="Garamond" w:eastAsia="MS Mincho" w:hAnsi="Garamond" w:cs="CG Times"/>
          <w:caps/>
          <w:lang w:val="sq-AL"/>
        </w:rPr>
        <w:t>KUSHTËZIME TË DETYRUESHME SEKTORIALE</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jc w:val="center"/>
        <w:rPr>
          <w:rFonts w:ascii="Garamond" w:eastAsia="MS Mincho" w:hAnsi="Garamond" w:cs="CG Times"/>
          <w:lang w:val="sq-AL"/>
        </w:rPr>
      </w:pPr>
      <w:r w:rsidRPr="00B67DFC">
        <w:rPr>
          <w:rFonts w:ascii="Garamond" w:eastAsia="MS Mincho" w:hAnsi="Garamond" w:cs="CG Times"/>
          <w:lang w:val="sq-AL"/>
        </w:rPr>
        <w:t>Neni 35/6</w:t>
      </w:r>
    </w:p>
    <w:p w:rsidR="00D74EF3" w:rsidRPr="00B67DFC" w:rsidRDefault="00D74EF3" w:rsidP="00D74EF3">
      <w:pPr>
        <w:widowControl w:val="0"/>
        <w:jc w:val="center"/>
        <w:outlineLvl w:val="2"/>
        <w:rPr>
          <w:rFonts w:ascii="Garamond" w:eastAsia="MS Mincho" w:hAnsi="Garamond" w:cs="CG Times"/>
          <w:b/>
          <w:bCs/>
          <w:lang w:val="sq-AL"/>
        </w:rPr>
      </w:pPr>
      <w:r w:rsidRPr="00B67DFC">
        <w:rPr>
          <w:rFonts w:ascii="Garamond" w:eastAsia="MS Mincho" w:hAnsi="Garamond" w:cs="CG Times"/>
          <w:b/>
          <w:bCs/>
          <w:lang w:val="sq-AL"/>
        </w:rPr>
        <w:t>Kushte dhe rregulla bazë për zhvillim në zona me kategori bazë të përdorimit të tokës B. bujqësi</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1. Zhvillimi dhe ndërtimi në zona bujqësore kryhet në bazë të instrumenteve të përgjithshme vendore të planifikimit dhe në përputhje me dispozitat e ligjit nr. 9244, datë 16.6.2004 “Për mbrojtjen e tokës bujqësore”, të ligjit nr. 8752, datë 26.3.2001 “Për krijimin dhe funksionimin e strukturave për administrimin dhe mbrojtjen e tokës”, dhe të vendimit nr. 655, datë 28.7.2010 të Këshillit të Ministrave “Për rregullat dhe procedurat e ndryshimit të kategorive të resurseve të tokës”.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2. Çdo instrument i përgjithshëm planifikimi që parashikon edhe ndryshim të kategorisë së përdorimit të tokës nga bujqësi, në përdorime të tjera, dhe nga pyll, kullotë, livadh dhe tokë e pafrytshme në përdorime të tjera dhe anasjellas shoqërohet, sipas rastit, me akt të posaçëm që garanton ndryshimin e kategorisë së përdorimit të tokës.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3. Procesi i përgatitjes se aktit të posaçëm sipas përcaktimit të pikës 2 të këtij neni, kryhet paralelisht me hartimin e instrumentit të përgjithshëm të planifikimit dhe miratohet me instrumentin e përgjithshëm të planifikimit. </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jc w:val="center"/>
        <w:rPr>
          <w:rFonts w:ascii="Garamond" w:eastAsia="MS Mincho" w:hAnsi="Garamond" w:cs="CG Times"/>
          <w:lang w:val="sq-AL"/>
        </w:rPr>
      </w:pPr>
      <w:r w:rsidRPr="00B67DFC">
        <w:rPr>
          <w:rFonts w:ascii="Garamond" w:eastAsia="MS Mincho" w:hAnsi="Garamond" w:cs="CG Times"/>
          <w:lang w:val="sq-AL"/>
        </w:rPr>
        <w:t>Neni 35/7</w:t>
      </w:r>
    </w:p>
    <w:p w:rsidR="00D74EF3" w:rsidRPr="00B67DFC" w:rsidRDefault="00D74EF3" w:rsidP="00D74EF3">
      <w:pPr>
        <w:widowControl w:val="0"/>
        <w:jc w:val="center"/>
        <w:outlineLvl w:val="2"/>
        <w:rPr>
          <w:rFonts w:ascii="Garamond" w:eastAsia="MS Mincho" w:hAnsi="Garamond" w:cs="CG Times"/>
          <w:b/>
          <w:bCs/>
          <w:lang w:val="sq-AL"/>
        </w:rPr>
      </w:pPr>
      <w:r w:rsidRPr="00B67DFC">
        <w:rPr>
          <w:rFonts w:ascii="Garamond" w:eastAsia="MS Mincho" w:hAnsi="Garamond" w:cs="CG Times"/>
          <w:b/>
          <w:bCs/>
          <w:lang w:val="sq-AL"/>
        </w:rPr>
        <w:t>Kushte dhe rregulla bazë për përdorimet e tokës të kategorisë I. industri</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1. Madhësia e zonave me përdorim të kategorisë bazë I. industri varet nga lloji i industrisë, strukturat dhe territoret që nevojiten për të, si dhe nga rregullat dhe kushtet e përcaktuara në politikat e zhvillimit strategjik dhe të planifikimit territorial të njësisë vendore apo të autoriteteve të qeverisjes qendrore.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2. Zona industriale duhet: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a) të lidhet me të gjitha rrugët e trafikut të rëndë të jashtëm dhe të shpejtësisë së lartë;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b) të respektojë distancat nga qendrat e banuara në varësi të llojit të aktivitetit dhe treguesve mjedisorë, sipas përcaktimeve të legjislacionit të posaçëm në fuqi;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c) të rrethohet me breza mbrojtës sanitarë;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ç) të pozicionohet në mënyrë të tillë që shkarkimet në ajër të mos lëvizin me erën drejt qytetit dhe për këtë duhet të bazohet në trëndafilin e erërave;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d) të ketë një rrjet të infrastrukturave të pavarur nga ai i qendrës dhe i zonës së banuar;</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lastRenderedPageBreak/>
        <w:t xml:space="preserve">dh) të përmbajë edhe zonat dhe zgjidhjet e brendshme për trajtimin e mbetjeve të </w:t>
      </w:r>
      <w:proofErr w:type="spellStart"/>
      <w:r w:rsidRPr="00B67DFC">
        <w:rPr>
          <w:rFonts w:ascii="Garamond" w:eastAsia="MS Mincho" w:hAnsi="Garamond" w:cs="CG Times"/>
          <w:lang w:val="sq-AL"/>
        </w:rPr>
        <w:t>të</w:t>
      </w:r>
      <w:proofErr w:type="spellEnd"/>
      <w:r w:rsidRPr="00B67DFC">
        <w:rPr>
          <w:rFonts w:ascii="Garamond" w:eastAsia="MS Mincho" w:hAnsi="Garamond" w:cs="CG Times"/>
          <w:lang w:val="sq-AL"/>
        </w:rPr>
        <w:t xml:space="preserve"> gjitha llojeve që shkarkohen nga aktiviteti industrial. </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jc w:val="center"/>
        <w:rPr>
          <w:rFonts w:ascii="Garamond" w:eastAsia="MS Mincho" w:hAnsi="Garamond" w:cs="CG Times"/>
          <w:lang w:val="sq-AL"/>
        </w:rPr>
      </w:pPr>
      <w:r w:rsidRPr="00B67DFC">
        <w:rPr>
          <w:rFonts w:ascii="Garamond" w:eastAsia="MS Mincho" w:hAnsi="Garamond" w:cs="CG Times"/>
          <w:lang w:val="sq-AL"/>
        </w:rPr>
        <w:t>Neni 35/8</w:t>
      </w:r>
    </w:p>
    <w:p w:rsidR="00D74EF3" w:rsidRPr="00B67DFC" w:rsidRDefault="00D74EF3" w:rsidP="00D74EF3">
      <w:pPr>
        <w:widowControl w:val="0"/>
        <w:jc w:val="center"/>
        <w:outlineLvl w:val="2"/>
        <w:rPr>
          <w:rFonts w:ascii="Garamond" w:eastAsia="MS Mincho" w:hAnsi="Garamond" w:cs="CG Times"/>
          <w:b/>
          <w:bCs/>
          <w:lang w:val="sq-AL"/>
        </w:rPr>
      </w:pPr>
      <w:r w:rsidRPr="00B67DFC">
        <w:rPr>
          <w:rFonts w:ascii="Garamond" w:eastAsia="MS Mincho" w:hAnsi="Garamond" w:cs="CG Times"/>
          <w:b/>
          <w:bCs/>
          <w:lang w:val="sq-AL"/>
        </w:rPr>
        <w:t>Rregulla dhe kushte bazë për planifikim dhe zhvillim në territore që i përkasin kategorisë bazë të përdorimit N. natyrore</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Procesi i planifikimit dhe i zhvillimit në territore që i përkasin kategorisë bazë të përdorimit N. natyrore, si dhe transferimi i tyre brenda së njëjtës kategori bazë të përdorimit të tokës ose jo nga autoriteti i planifikimit përkatës, rregullohet sipas dispozitave të legjislacionit të posaçëm në fuqi për pyjet dhe shërbimin pyjor, për tokën bujqësore, për turizmin, për kullotat dhe livadhet, për menaxhimin e rezervave ujore dhe për mjedisin. </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jc w:val="center"/>
        <w:rPr>
          <w:rFonts w:ascii="Garamond" w:eastAsia="MS Mincho" w:hAnsi="Garamond" w:cs="CG Times"/>
          <w:lang w:val="en-GB"/>
        </w:rPr>
      </w:pPr>
      <w:proofErr w:type="spellStart"/>
      <w:r w:rsidRPr="00B67DFC">
        <w:rPr>
          <w:rFonts w:ascii="Garamond" w:eastAsia="MS Mincho" w:hAnsi="Garamond" w:cs="CG Times"/>
          <w:lang w:val="en-GB"/>
        </w:rPr>
        <w:t>Neni</w:t>
      </w:r>
      <w:proofErr w:type="spellEnd"/>
      <w:r w:rsidRPr="00B67DFC">
        <w:rPr>
          <w:rFonts w:ascii="Garamond" w:eastAsia="MS Mincho" w:hAnsi="Garamond" w:cs="CG Times"/>
          <w:lang w:val="en-GB"/>
        </w:rPr>
        <w:t xml:space="preserve"> 35/9</w:t>
      </w:r>
    </w:p>
    <w:p w:rsidR="00D74EF3" w:rsidRPr="00B67DFC" w:rsidRDefault="00D74EF3" w:rsidP="00D74EF3">
      <w:pPr>
        <w:widowControl w:val="0"/>
        <w:ind w:firstLine="720"/>
        <w:jc w:val="center"/>
        <w:rPr>
          <w:rFonts w:ascii="Garamond" w:eastAsia="MS Mincho" w:hAnsi="Garamond" w:cs="CG Times"/>
          <w:b/>
          <w:lang w:val="sq-AL"/>
        </w:rPr>
      </w:pPr>
      <w:r w:rsidRPr="00B67DFC">
        <w:rPr>
          <w:rFonts w:ascii="Garamond" w:eastAsia="MS Mincho" w:hAnsi="Garamond" w:cs="CG Times"/>
          <w:b/>
          <w:lang w:val="sq-AL"/>
        </w:rPr>
        <w:t>Rregulla dhe kushte bazë për planifikim e zhvillim për struktura dhe territore të kategorive bazë të përdorimit S. shërbime dhe V. të veçanta</w:t>
      </w:r>
    </w:p>
    <w:p w:rsidR="00D74EF3" w:rsidRPr="00B67DFC" w:rsidRDefault="00D74EF3" w:rsidP="00D74EF3">
      <w:pPr>
        <w:widowControl w:val="0"/>
        <w:ind w:firstLine="720"/>
        <w:jc w:val="both"/>
        <w:rPr>
          <w:rFonts w:ascii="Garamond" w:eastAsia="MS Mincho" w:hAnsi="Garamond" w:cs="CG Times"/>
          <w:b/>
          <w:lang w:val="sq-AL"/>
        </w:rPr>
      </w:pP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1. Për identifikimin nevojave, ndërtimin dhe pozicionimin e impianteve të trajtimit të ujërave të ndotura, sipas kategorive “ujëra të ndotura urbane”, “ujëra të ndotura industriale”, për çdo degë të veçantë të industrisë, “ujëra nga kullimi i tokave bujqësore” dhe “ujëra të ndotura të çdo lloji”, një autoritet planifikimi zbaton dispozitat e ligjit nr. 9115, datë 24.7.2003 “Për trajtimin mjedisor të ujërave të ndotura”.</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2. Për ndërtimin dhe pozicionimin e impianteve të trajtimit dhe përpunimit të mbetjeve të ngurta sipas të gjitha kategorive të përbërjes së tyre, një autoritet planifikimi u referohet dispozitave të legjislacionit të posaçëm për administrimin e mbetjeve.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3. Parku zoologjik dhe/ose botanik duhet të vendoset në zona me gjelbërim natyror të pasur, në territore me kushte të favorshme </w:t>
      </w:r>
      <w:proofErr w:type="spellStart"/>
      <w:r w:rsidRPr="00B67DFC">
        <w:rPr>
          <w:rFonts w:ascii="Garamond" w:eastAsia="MS Mincho" w:hAnsi="Garamond" w:cs="CG Times"/>
          <w:lang w:val="sq-AL"/>
        </w:rPr>
        <w:t>higjieno</w:t>
      </w:r>
      <w:proofErr w:type="spellEnd"/>
      <w:r w:rsidRPr="00B67DFC">
        <w:rPr>
          <w:rFonts w:ascii="Garamond" w:eastAsia="MS Mincho" w:hAnsi="Garamond" w:cs="CG Times"/>
          <w:lang w:val="sq-AL"/>
        </w:rPr>
        <w:t xml:space="preserve">-sanitare dhe me </w:t>
      </w:r>
      <w:proofErr w:type="spellStart"/>
      <w:r w:rsidRPr="00B67DFC">
        <w:rPr>
          <w:rFonts w:ascii="Garamond" w:eastAsia="MS Mincho" w:hAnsi="Garamond" w:cs="CG Times"/>
          <w:lang w:val="sq-AL"/>
        </w:rPr>
        <w:t>akses</w:t>
      </w:r>
      <w:proofErr w:type="spellEnd"/>
      <w:r w:rsidRPr="00B67DFC">
        <w:rPr>
          <w:rFonts w:ascii="Garamond" w:eastAsia="MS Mincho" w:hAnsi="Garamond" w:cs="CG Times"/>
          <w:lang w:val="sq-AL"/>
        </w:rPr>
        <w:t xml:space="preserve"> shumë të mirë në infrastruktura dhe shërbime, me vlera panoramike dhe pranë sipërfaqeve ujore natyrore dhe/ose artificiale, sipas studimeve përkatëse për këtë përdorim. Lidhja me qendrën e banuar duhet të jetë e shpejtë dhe e drejtpërdrejtë, përmes rrugëve të trafikut të ulët. Kjo zonë nuk duhet të përshkohet nga rrugët e trafikut dhe duhet të përmbajë edhe zonat e parkimit dhe vendqëndrimet për transportin publik.</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4. Zona e pushimit, sipas përcaktimeve të pikës 3 shkronja “e” të nenit 35/4, përbëhet nga territoret e pushimit masiv pasiv ose aktiv të banorëve. Në qendra të ndryshme banimi ka karakteristika të ndryshme që lidhen me pozicionin gjeografik, me klimën, natyrën dhe të tjera të kësaj natyre. Këto zona duhet të lidhen sa më mirë me njësitë dhe </w:t>
      </w:r>
      <w:proofErr w:type="spellStart"/>
      <w:r w:rsidRPr="00B67DFC">
        <w:rPr>
          <w:rFonts w:ascii="Garamond" w:eastAsia="MS Mincho" w:hAnsi="Garamond" w:cs="CG Times"/>
          <w:lang w:val="sq-AL"/>
        </w:rPr>
        <w:t>nënnjësitë</w:t>
      </w:r>
      <w:proofErr w:type="spellEnd"/>
      <w:r w:rsidRPr="00B67DFC">
        <w:rPr>
          <w:rFonts w:ascii="Garamond" w:eastAsia="MS Mincho" w:hAnsi="Garamond" w:cs="CG Times"/>
          <w:lang w:val="sq-AL"/>
        </w:rPr>
        <w:t xml:space="preserve"> strukturore të banimit. Si normë orientuese e cilësisë për distancat, çdo ndërtesë banimi në zonat e reja për zhvillim duhet që në një rreze prej 2 000 metrash të sigurojë dalje në një park ose zonë të gjelbër prej të paktën 20 hektarë.</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5. Zonat me funksion sportiv vendosen në territore të sheshta dhe/ose të përshtatura për aktivitetin sportiv përkatës, të cilat nuk janë të përshtatshme për ndërtesa banimi dhe duhet të jenë të mbrojtura nga era, të </w:t>
      </w:r>
      <w:proofErr w:type="spellStart"/>
      <w:r w:rsidRPr="00B67DFC">
        <w:rPr>
          <w:rFonts w:ascii="Garamond" w:eastAsia="MS Mincho" w:hAnsi="Garamond" w:cs="CG Times"/>
          <w:lang w:val="sq-AL"/>
        </w:rPr>
        <w:t>diellëzuara</w:t>
      </w:r>
      <w:proofErr w:type="spellEnd"/>
      <w:r w:rsidRPr="00B67DFC">
        <w:rPr>
          <w:rFonts w:ascii="Garamond" w:eastAsia="MS Mincho" w:hAnsi="Garamond" w:cs="CG Times"/>
          <w:lang w:val="sq-AL"/>
        </w:rPr>
        <w:t xml:space="preserve"> dhe mundësisht pranë burimeve dhe pasqyrave ujore.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6. Zona homogjene universitare dhe e institucioneve kërkimore dhe shkencore përbëhet nga objektet arsimore profesionale dhe të arsimit të lartë, si dhe institucionet kërkimore e shkencore të fushave të ndryshme. Madhësia e kësaj zone është në funksion të numrit të objekteve që ajo përfshin dhe numrit të studentëve, të cilëve u shërben. Standardet për këto zona referohen në dispozitat ligjore të posaçme dhe politikat e ministrisë përgjegjëse </w:t>
      </w:r>
      <w:r w:rsidRPr="00B67DFC">
        <w:rPr>
          <w:rFonts w:ascii="Garamond" w:eastAsia="MS Mincho" w:hAnsi="Garamond" w:cs="CG Times"/>
          <w:lang w:val="sq-AL"/>
        </w:rPr>
        <w:lastRenderedPageBreak/>
        <w:t xml:space="preserve">për arsimin dhe shkencën. Zona homogjene universitare duhet të ketë lidhje të mirë dhe të drejtpërdrejtë me rrjetin rrugor kryesor dhe me të gjitha infrastrukturat dhe shërbimet publike në përgjithësi.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7. Zona e varrezave publike është territori i varrezave, sipërfaqja e të cilit llogaritet me treguesin 1.5 m</w:t>
      </w:r>
      <w:r w:rsidRPr="00B67DFC">
        <w:rPr>
          <w:rFonts w:ascii="Garamond" w:eastAsia="MS Mincho" w:hAnsi="Garamond" w:cs="CG Times"/>
          <w:vertAlign w:val="superscript"/>
          <w:lang w:val="sq-AL"/>
        </w:rPr>
        <w:t>2</w:t>
      </w:r>
      <w:r w:rsidRPr="00B67DFC">
        <w:rPr>
          <w:rFonts w:ascii="Garamond" w:eastAsia="MS Mincho" w:hAnsi="Garamond" w:cs="CG Times"/>
          <w:lang w:val="sq-AL"/>
        </w:rPr>
        <w:t>/banor të gjallë. Ky tregues përfshin edhe sipërfaqen e gjelbër dhe rrugët e brendshme të varrezave. Territori i varrezave përcaktohet jo më afër se 300 m nga banesat.</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jc w:val="center"/>
        <w:rPr>
          <w:rFonts w:ascii="Garamond" w:eastAsia="MS Mincho" w:hAnsi="Garamond" w:cs="CG Times"/>
          <w:lang w:val="sq-AL"/>
        </w:rPr>
      </w:pPr>
      <w:r w:rsidRPr="00B67DFC">
        <w:rPr>
          <w:rFonts w:ascii="Garamond" w:eastAsia="MS Mincho" w:hAnsi="Garamond" w:cs="CG Times"/>
          <w:lang w:val="sq-AL"/>
        </w:rPr>
        <w:t>Neni 35/10</w:t>
      </w:r>
    </w:p>
    <w:p w:rsidR="00D74EF3" w:rsidRPr="00B67DFC" w:rsidRDefault="00D74EF3" w:rsidP="00D74EF3">
      <w:pPr>
        <w:widowControl w:val="0"/>
        <w:jc w:val="center"/>
        <w:outlineLvl w:val="2"/>
        <w:rPr>
          <w:rFonts w:ascii="Garamond" w:eastAsia="MS Mincho" w:hAnsi="Garamond" w:cs="CG Times"/>
          <w:b/>
          <w:bCs/>
          <w:lang w:val="sq-AL"/>
        </w:rPr>
      </w:pPr>
      <w:r w:rsidRPr="00B67DFC">
        <w:rPr>
          <w:rFonts w:ascii="Garamond" w:eastAsia="MS Mincho" w:hAnsi="Garamond" w:cs="CG Times"/>
          <w:b/>
          <w:bCs/>
          <w:lang w:val="sq-AL"/>
        </w:rPr>
        <w:t>Rregulla dhe kushte bazë për zonat homogjene të spitaleve</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1. Zona homogjene e spitaleve përbëhet nga tërësia e objekteve shëndetësore me shtretër, të tilla si: spital patologjik, pediatri, kirurgji, maternitet.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2. Autoriteti përgjegjës për planifikimin dhe për ndërtimin e spitaleve, në varësi të kompetencës përkatëse në ofrimin e shërbimit, zbaton ligjit nr. 9106, datë 17.7.2003 “Për shërbimin spitalor në Republikën e Shqipërisë”.</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3. Territori i zonës së spitaleve zihet me ndërtime në masën 15% të tij dhe pjesa tjetër e tij shërben për gjelbërim, rrugë dhe shërbime ekonomike. Standardet për këto zona bazohen në dispozitat ligjore për shëndetin publik, por në çdo rast strukturat për spitalet dhe shëndetin publik respektojnë normën minimale prej 1 m</w:t>
      </w:r>
      <w:r w:rsidRPr="00B67DFC">
        <w:rPr>
          <w:rFonts w:ascii="Garamond" w:eastAsia="MS Mincho" w:hAnsi="Garamond" w:cs="CG Times"/>
          <w:vertAlign w:val="superscript"/>
          <w:lang w:val="sq-AL"/>
        </w:rPr>
        <w:t>2</w:t>
      </w:r>
      <w:r w:rsidRPr="00B67DFC">
        <w:rPr>
          <w:rFonts w:ascii="Garamond" w:eastAsia="MS Mincho" w:hAnsi="Garamond" w:cs="CG Times"/>
          <w:lang w:val="sq-AL"/>
        </w:rPr>
        <w:t xml:space="preserve"> për banor.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4. Zona homogjene e spitaleve duhet të ketë lidhje të mirë me qendrën dhe rrugët kryesore të qytetit, në vende të mbrojtura nga erërat e forta dhe me </w:t>
      </w:r>
      <w:proofErr w:type="spellStart"/>
      <w:r w:rsidRPr="00B67DFC">
        <w:rPr>
          <w:rFonts w:ascii="Garamond" w:eastAsia="MS Mincho" w:hAnsi="Garamond" w:cs="CG Times"/>
          <w:lang w:val="sq-AL"/>
        </w:rPr>
        <w:t>diellëzim</w:t>
      </w:r>
      <w:proofErr w:type="spellEnd"/>
      <w:r w:rsidRPr="00B67DFC">
        <w:rPr>
          <w:rFonts w:ascii="Garamond" w:eastAsia="MS Mincho" w:hAnsi="Garamond" w:cs="CG Times"/>
          <w:lang w:val="sq-AL"/>
        </w:rPr>
        <w:t xml:space="preserve"> të mirë, në vende të mbrojtura nga zhurmat, tymi, pluhurat dhe të gjithë ndotësit industrialë dhe bujqësorë në përgjithësi.</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 5. Territori i zonës së spitaleve duhet të ketë jo më pak se dy hyrje. </w:t>
      </w:r>
      <w:proofErr w:type="spellStart"/>
      <w:r w:rsidRPr="00B67DFC">
        <w:rPr>
          <w:rFonts w:ascii="Garamond" w:eastAsia="MS Mincho" w:hAnsi="Garamond" w:cs="CG Times"/>
          <w:lang w:val="sq-AL"/>
        </w:rPr>
        <w:t>Morgu</w:t>
      </w:r>
      <w:proofErr w:type="spellEnd"/>
      <w:r w:rsidRPr="00B67DFC">
        <w:rPr>
          <w:rFonts w:ascii="Garamond" w:eastAsia="MS Mincho" w:hAnsi="Garamond" w:cs="CG Times"/>
          <w:lang w:val="sq-AL"/>
        </w:rPr>
        <w:t xml:space="preserve"> duhet të ketë hyrje dhe dalje të veçantë. </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jc w:val="center"/>
        <w:rPr>
          <w:rFonts w:ascii="Garamond" w:eastAsia="MS Mincho" w:hAnsi="Garamond" w:cs="CG Times"/>
          <w:lang w:val="sq-AL"/>
        </w:rPr>
      </w:pPr>
    </w:p>
    <w:p w:rsidR="006909CF" w:rsidRPr="00B67DFC" w:rsidRDefault="006909CF" w:rsidP="00D74EF3">
      <w:pPr>
        <w:widowControl w:val="0"/>
        <w:jc w:val="center"/>
        <w:rPr>
          <w:rFonts w:ascii="Garamond" w:eastAsia="MS Mincho" w:hAnsi="Garamond" w:cs="CG Times"/>
          <w:lang w:val="sq-AL"/>
        </w:rPr>
      </w:pPr>
    </w:p>
    <w:p w:rsidR="00D74EF3" w:rsidRPr="00B67DFC" w:rsidRDefault="00D74EF3" w:rsidP="00D74EF3">
      <w:pPr>
        <w:widowControl w:val="0"/>
        <w:jc w:val="center"/>
        <w:rPr>
          <w:rFonts w:ascii="Garamond" w:eastAsia="MS Mincho" w:hAnsi="Garamond" w:cs="CG Times"/>
          <w:lang w:val="sq-AL"/>
        </w:rPr>
      </w:pPr>
      <w:r w:rsidRPr="00B67DFC">
        <w:rPr>
          <w:rFonts w:ascii="Garamond" w:eastAsia="MS Mincho" w:hAnsi="Garamond" w:cs="CG Times"/>
          <w:lang w:val="sq-AL"/>
        </w:rPr>
        <w:t>Neni 35/11</w:t>
      </w:r>
    </w:p>
    <w:p w:rsidR="00D74EF3" w:rsidRPr="00B67DFC" w:rsidRDefault="00D74EF3" w:rsidP="00D74EF3">
      <w:pPr>
        <w:widowControl w:val="0"/>
        <w:jc w:val="center"/>
        <w:outlineLvl w:val="2"/>
        <w:rPr>
          <w:rFonts w:ascii="Garamond" w:eastAsia="MS Mincho" w:hAnsi="Garamond" w:cs="CG Times"/>
          <w:b/>
          <w:bCs/>
          <w:lang w:val="sq-AL"/>
        </w:rPr>
      </w:pPr>
      <w:r w:rsidRPr="00B67DFC">
        <w:rPr>
          <w:rFonts w:ascii="Garamond" w:eastAsia="MS Mincho" w:hAnsi="Garamond" w:cs="CG Times"/>
          <w:b/>
          <w:bCs/>
          <w:lang w:val="sq-AL"/>
        </w:rPr>
        <w:t>Zonat me përparësi turizmin dhe parimet bazë</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1. Zonat me përparësi turizmin përbëhen nga zona me vlera natyrore, të peizazhit, kulturore, sportive, shëndetësore, pushimi dhe të tjera të kësaj natyre.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2. Konsiderohen zona me përparësi turizmin ato që përdoren:</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a) nga vizitorë për qëndrime të shkurtra ose ekskursione një- ose disaditore;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b) për pushime, të tilla si: plazhe detare, parqe pyjore, qendra alpine, </w:t>
      </w:r>
      <w:proofErr w:type="spellStart"/>
      <w:r w:rsidRPr="00B67DFC">
        <w:rPr>
          <w:rFonts w:ascii="Garamond" w:eastAsia="MS Mincho" w:hAnsi="Garamond" w:cs="CG Times"/>
          <w:lang w:val="sq-AL"/>
        </w:rPr>
        <w:t>brogje</w:t>
      </w:r>
      <w:proofErr w:type="spellEnd"/>
      <w:r w:rsidRPr="00B67DFC">
        <w:rPr>
          <w:rFonts w:ascii="Garamond" w:eastAsia="MS Mincho" w:hAnsi="Garamond" w:cs="CG Times"/>
          <w:lang w:val="sq-AL"/>
        </w:rPr>
        <w:t xml:space="preserve"> liqenesh, rezervuarësh e lumenjsh;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c) për aktivitete sportive, të tilla si: gara, ngjitje alpine, ski, golf, ekskursione, gjueti, peshkim;</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ç) për aktivitete kulturore, të tilla si: shfaqje, vizita në qendra e monumente të trashëgimisë kulturore, njohje të bukurive natyrore;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d) për aktivitete biznesi, të tilla si: seminare, panaire;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dh) për aktivitete shtetërore, institucionale dhe politike, të tilla si: kongrese, konferenca;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e) për aktivitete shëndetësore, të tilla: si kura termale, qendra rehabilitimi.</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3. Parimet e projektimit të zonave turistike janë si më poshtë vijon:</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a) Ruajtja dhe mbrojtja e mjediseve natyrore dhe me vlera të trashëgimisë historike dhe kulturore nga urbanizimi dhe zhvillimi;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lastRenderedPageBreak/>
        <w:t xml:space="preserve">b) Ruajtja e territoreve që përfshihen në sistemin natyror dhe në sistemin bujqësor, sipas përcaktimeve të kësaj rregulloreje;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c) Urbanizimi i kontrolluar i qyteteve dhe i fshatrave ekzistuese që ndodhen në zonat turistike, në harmoni me mjedisin, tokën bujqësore dhe burimet natyrore, pa ndotur ujin, ajrin dhe tokën, pa ndryshuar vlerat e </w:t>
      </w:r>
      <w:proofErr w:type="spellStart"/>
      <w:r w:rsidRPr="00B67DFC">
        <w:rPr>
          <w:rFonts w:ascii="Garamond" w:eastAsia="MS Mincho" w:hAnsi="Garamond" w:cs="CG Times"/>
          <w:lang w:val="sq-AL"/>
        </w:rPr>
        <w:t>biodiversitetit</w:t>
      </w:r>
      <w:proofErr w:type="spellEnd"/>
      <w:r w:rsidRPr="00B67DFC">
        <w:rPr>
          <w:rFonts w:ascii="Garamond" w:eastAsia="MS Mincho" w:hAnsi="Garamond" w:cs="CG Times"/>
          <w:lang w:val="sq-AL"/>
        </w:rPr>
        <w:t xml:space="preserve"> lokal dhe pa shkaktuar faktorë dëmtues për shëndetin e njeriut. Ndërtimi i strukturave në mjedisin detar bëhet vetëm për qëllime që i shërbejnë ruajtjes së tij ose për përdorimet specifike të rëndësishme që mund të kryhen vetëm në këtë mjedis.</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jc w:val="center"/>
        <w:rPr>
          <w:rFonts w:ascii="Garamond" w:eastAsia="MS Mincho" w:hAnsi="Garamond" w:cs="CG Times"/>
          <w:lang w:val="sq-AL"/>
        </w:rPr>
      </w:pPr>
      <w:r w:rsidRPr="00B67DFC">
        <w:rPr>
          <w:rFonts w:ascii="Garamond" w:eastAsia="MS Mincho" w:hAnsi="Garamond" w:cs="CG Times"/>
          <w:lang w:val="sq-AL"/>
        </w:rPr>
        <w:t>Neni 35/12</w:t>
      </w:r>
    </w:p>
    <w:p w:rsidR="00D74EF3" w:rsidRPr="00B67DFC" w:rsidRDefault="00D74EF3" w:rsidP="00D74EF3">
      <w:pPr>
        <w:widowControl w:val="0"/>
        <w:jc w:val="center"/>
        <w:outlineLvl w:val="2"/>
        <w:rPr>
          <w:rFonts w:ascii="Garamond" w:eastAsia="MS Mincho" w:hAnsi="Garamond" w:cs="CG Times"/>
          <w:b/>
          <w:bCs/>
          <w:lang w:val="sq-AL"/>
        </w:rPr>
      </w:pPr>
      <w:r w:rsidRPr="00B67DFC">
        <w:rPr>
          <w:rFonts w:ascii="Garamond" w:eastAsia="MS Mincho" w:hAnsi="Garamond" w:cs="CG Times"/>
          <w:b/>
          <w:bCs/>
          <w:lang w:val="sq-AL"/>
        </w:rPr>
        <w:t>Rregulla dhe kushte bazë për planifikim dhe zhvillim në territore turistike dhe bregdet</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1. Zhvillimet që lejohen të realizohen në territore turistike dhe bregdetare dhe në mjedisin detar zbatojnë dispozitat e legjislacionit të posaçëm në fuqi për mjedisin detar, rezervat ujore, turizmin, si edhe të gjitha dispozitat e tjera ligjore për planifikimin, ndërtimin, mjedisin, tokën, pronën dhe sektorë të tjerë, që kanë ndikim të ndërsjellë me turizmin dhe me zonat bregdetare.</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2. Nëse në zonat që kanë përparësi turizmin, në brigjet ujore dhe në mjedisin detar, ekzistojnë territore, të cilat janë të urbanizuara në momentin e hyrjes në fuqi me efekte të plota të ligjit nr. 10 119, datë 23.4.2009 “Për planifikimin e territorit”, menaxhimi, planifikimi dhe kontrolli i zhvillimit të këtyre territoreve të urbanizuara realizohen bazuar në dispozitat ligjore në fuqi për përdorimet e tokës të sistemit urban, por duke plotësuar në mënyrë të detyrueshme kushtin e </w:t>
      </w:r>
      <w:proofErr w:type="spellStart"/>
      <w:r w:rsidRPr="00B67DFC">
        <w:rPr>
          <w:rFonts w:ascii="Garamond" w:eastAsia="MS Mincho" w:hAnsi="Garamond" w:cs="CG Times"/>
          <w:lang w:val="sq-AL"/>
        </w:rPr>
        <w:t>mosrritjes</w:t>
      </w:r>
      <w:proofErr w:type="spellEnd"/>
      <w:r w:rsidRPr="00B67DFC">
        <w:rPr>
          <w:rFonts w:ascii="Garamond" w:eastAsia="MS Mincho" w:hAnsi="Garamond" w:cs="CG Times"/>
          <w:lang w:val="sq-AL"/>
        </w:rPr>
        <w:t xml:space="preserve"> së mëtejshme të intensitetit të ndërtimit dhe të koeficientit të shfrytëzimit të tokës për ndërtime, si dhe të gjitha kushtet dhe standardet që rrjedhin prej dispozitave të legjislacionit të posaçëm në fuqi për mbrojtjen e mjedisit, tokës bujqësore dhe të pafrytshme, pyjeve, kullotave dhe livadheve dhe të trashëgimisë kulturore dhe historike.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3. Autoritetet e planifikimit duhet të listojnë në mënyrë të qartë në instrumentin e përgjithshëm të planifikimit të gjitha përdorimet e lejuara, të kushtëzuara dhe të ndaluara për zonat me përparësi turizmin, si edhe kushtet përkatëse që rrjedhin prej tyre.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4. Në zonat që kanë përparësi turizmin në bregdet dhe përgjatë rezervave të tjera ujore dhe që nuk janë të ndërtuara në momentin e hyrjes në fuqi me efekte të plota të ligjit nr. 10 119, datë 23.4.2009 “Për planifikimin e territorit”, nuk lejohet të kryhen ndërtime në një brez të njëjtë me atë të përcaktuar për brigjet ujore në ligjin nr. 8093, datë 21.3.1996 “Për rezervat ujore”. Përmasat e brezit të ndaluar për ndërtime në këtë ligj janë minimale dhe duhet të rriten në përpjesëtim të drejtë në rast se kushtet fizike të bregut ujor janë të tilla, që:</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a) tokat janë të përmbytura ose kërcënohen nga përmbytja, rrëshqitja, erozioni dhe paqëndrueshmëria e tokave;</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b) mbartin vlera natyrore, ekonomike, </w:t>
      </w:r>
      <w:proofErr w:type="spellStart"/>
      <w:r w:rsidRPr="00B67DFC">
        <w:rPr>
          <w:rFonts w:ascii="Garamond" w:eastAsia="MS Mincho" w:hAnsi="Garamond" w:cs="CG Times"/>
          <w:lang w:val="sq-AL"/>
        </w:rPr>
        <w:t>peizazhistikë</w:t>
      </w:r>
      <w:proofErr w:type="spellEnd"/>
      <w:r w:rsidRPr="00B67DFC">
        <w:rPr>
          <w:rFonts w:ascii="Garamond" w:eastAsia="MS Mincho" w:hAnsi="Garamond" w:cs="CG Times"/>
          <w:lang w:val="sq-AL"/>
        </w:rPr>
        <w:t xml:space="preserve">, vlera kulturore, mjedisore, të cilat mbrohen nga dispozita ligjore sektoriale në fuqi;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c) mbartin çështje të rëndësisë kombëtare, të cilat ruhen dhe/ose zhvillohen sipas dispozitave ligjore përkatëse.</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5. Ndërtimet dhe veprimtaritë që lejohet të kryhen në hapësirën e përmendur në pikën 4 të këtij neni, janë vetëm ato të lejuara nga ligji nr. 8093, datë 21.3.1996 “Për rezervat ujore” dhe nga dispozitat e legjislacionit të posaçëm në fuqi.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6. Në hapësirën e përshkruar në pikën 4 të këtij neni dhe duke mos cenuar sipërfaqen e përcaktuar në shkronjën “a” të pikës 5 të nenit 2 të ligjit nr. 8093, datë 21.3.1996 “Për rezervat ujore”, kur këto hapësira lejohet të shfrytëzohen për plazhe të miratuara, autoriteti vendor i </w:t>
      </w:r>
      <w:r w:rsidRPr="00B67DFC">
        <w:rPr>
          <w:rFonts w:ascii="Garamond" w:eastAsia="MS Mincho" w:hAnsi="Garamond" w:cs="CG Times"/>
          <w:lang w:val="sq-AL"/>
        </w:rPr>
        <w:lastRenderedPageBreak/>
        <w:t xml:space="preserve">planifikimit mund të ndërtojë, në bashkërendim me autoritetet e ujit, kalime për këmbësorë në drejtimin normal me vijën e bregut, me një gjerësi maksimale 90 </w:t>
      </w:r>
      <w:proofErr w:type="spellStart"/>
      <w:r w:rsidRPr="00B67DFC">
        <w:rPr>
          <w:rFonts w:ascii="Garamond" w:eastAsia="MS Mincho" w:hAnsi="Garamond" w:cs="CG Times"/>
          <w:lang w:val="sq-AL"/>
        </w:rPr>
        <w:t>cm</w:t>
      </w:r>
      <w:proofErr w:type="spellEnd"/>
      <w:r w:rsidRPr="00B67DFC">
        <w:rPr>
          <w:rFonts w:ascii="Garamond" w:eastAsia="MS Mincho" w:hAnsi="Garamond" w:cs="CG Times"/>
          <w:lang w:val="sq-AL"/>
        </w:rPr>
        <w:t xml:space="preserve"> dhe me shpeshtësi çdo 500 metra në distancë reale.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7. Planet e përgjithshme të integruara, </w:t>
      </w:r>
      <w:proofErr w:type="spellStart"/>
      <w:r w:rsidRPr="00B67DFC">
        <w:rPr>
          <w:rFonts w:ascii="Garamond" w:eastAsia="MS Mincho" w:hAnsi="Garamond" w:cs="CG Times"/>
          <w:lang w:val="sq-AL"/>
        </w:rPr>
        <w:t>ndërvendore</w:t>
      </w:r>
      <w:proofErr w:type="spellEnd"/>
      <w:r w:rsidRPr="00B67DFC">
        <w:rPr>
          <w:rFonts w:ascii="Garamond" w:eastAsia="MS Mincho" w:hAnsi="Garamond" w:cs="CG Times"/>
          <w:lang w:val="sq-AL"/>
        </w:rPr>
        <w:t xml:space="preserve"> dhe vendore, të territoreve që përfshijnë zona me përparësi turizmin në bregdet dhe mjedis detar, parashikojnë në çdo rast ekzistencën e hapësirave të hapura natyrore, që:</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a) shtrihen në drejtim normal me vijën bregdetare;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b) shërbejnë si kufizuese të shtrirjes së zhvillimeve urbane;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c) kanë një shpeshtësi prej të paktën 2000 metra. Kjo distancë matet midis vijave kufizuese që përballin njëra-tjetrën të 2 hapësirave të hapura gjatë gjithë gjatësisë së kufijve;</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ç) nuk ndërtohen, nuk lihen djerrë dhe gjithmonë janë të pyllëzuara, përdoren si kullota ose për kultivim kulturash bujqësore.</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8. Një qendër urbane e banuar e re me mbi 500 banorë ose zgjerim i një qendre të tillë ekzistuese drejt bregut të detit ose liqenit mund të jetë jo më afër se 250 m nga brinja e sipërme e shtratit natyror për brigjet e pjerrëta dhe nga vija e nivelit maksimal 25-vjeçar të ujit për brigjet e sheshta dhe, në çdo rast, nuk duhet të jetë e dukshme nga bregu.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9. Në çdo rast, brezat dhe hapësirat pyjore ekzistuese në zonat me përparësi turizmin nuk mund të preken nga ndërtimet, përveçse kur përcaktohet ndryshe nga legjislacioni i posaçëm në fuqi dhe në përputhje me rregullat dhe kushtet e përcaktuara nga legjislacioni.</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10. Në zonat me përparësi turizmin në bregdet dhe në territoret e njësive të qeverisjes vendore që kanë vijë bregdetare ose liqenore, rrugët e reja për qarkullimin transit, të klasifikuara nga ligji nr. 8378, datë 22.7.1998 të “Kodit Rrugor të Republikës së Shqipërisë”, në kategoritë autostradë, rrugë kryesore </w:t>
      </w:r>
      <w:proofErr w:type="spellStart"/>
      <w:r w:rsidRPr="00B67DFC">
        <w:rPr>
          <w:rFonts w:ascii="Garamond" w:eastAsia="MS Mincho" w:hAnsi="Garamond" w:cs="CG Times"/>
          <w:lang w:val="sq-AL"/>
        </w:rPr>
        <w:t>interurbane</w:t>
      </w:r>
      <w:proofErr w:type="spellEnd"/>
      <w:r w:rsidRPr="00B67DFC">
        <w:rPr>
          <w:rFonts w:ascii="Garamond" w:eastAsia="MS Mincho" w:hAnsi="Garamond" w:cs="CG Times"/>
          <w:lang w:val="sq-AL"/>
        </w:rPr>
        <w:t xml:space="preserve">, rrugë dytësore </w:t>
      </w:r>
      <w:proofErr w:type="spellStart"/>
      <w:r w:rsidRPr="00B67DFC">
        <w:rPr>
          <w:rFonts w:ascii="Garamond" w:eastAsia="MS Mincho" w:hAnsi="Garamond" w:cs="CG Times"/>
          <w:lang w:val="sq-AL"/>
        </w:rPr>
        <w:t>interurbane</w:t>
      </w:r>
      <w:proofErr w:type="spellEnd"/>
      <w:r w:rsidRPr="00B67DFC">
        <w:rPr>
          <w:rFonts w:ascii="Garamond" w:eastAsia="MS Mincho" w:hAnsi="Garamond" w:cs="CG Times"/>
          <w:lang w:val="sq-AL"/>
        </w:rPr>
        <w:t xml:space="preserve"> dhe rrugë lokale </w:t>
      </w:r>
      <w:proofErr w:type="spellStart"/>
      <w:r w:rsidRPr="00B67DFC">
        <w:rPr>
          <w:rFonts w:ascii="Garamond" w:eastAsia="MS Mincho" w:hAnsi="Garamond" w:cs="CG Times"/>
          <w:lang w:val="sq-AL"/>
        </w:rPr>
        <w:t>interurbane</w:t>
      </w:r>
      <w:proofErr w:type="spellEnd"/>
      <w:r w:rsidRPr="00B67DFC">
        <w:rPr>
          <w:rFonts w:ascii="Garamond" w:eastAsia="MS Mincho" w:hAnsi="Garamond" w:cs="CG Times"/>
          <w:lang w:val="sq-AL"/>
        </w:rPr>
        <w:t xml:space="preserve">, ndërtohen në largësi nga vija e bregut, e përcaktuar sipas pikës 8 të këtij neni, jo më pak se 250 metra në distancë reale dhe normale me vijën e bregut përgjatë gjatësisë së saj. Rrugët e nevojshme të shërbimit për këto kategori nuk vendosen përgjatë bregut dhe as në hapësirën e përcaktuar në këtë pikë.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11. Rrugët e shërbimit, të nevojshme për të lidhur komplekset dhe/ose fshatrat turistike me rrugën e transitit, të përshkruar në pikën 10 të këtij neni, ndërtohen në përputhje me përcaktimet e kësaj rregulloreje dhe të dispozitave të legjislacionit të posaçëm në fuqi.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12. Rrugët dhe sheshet e ndërtimit për aktivitetet ekonomike të nevojshme për mjediset ujore, të tilla si: portet, ndërtohen sipas nevojave të aktivitetit, bazuar në PDV-në e zonës përkatëse, projektit të zhvillimit dhe të ndërtimit, të studimit të ndikimit nga zhvillimi dhe në përputhje me dispozitat e legjislacionit të posaçëm në fuqi. </w:t>
      </w:r>
    </w:p>
    <w:p w:rsidR="006909CF" w:rsidRPr="00B67DFC" w:rsidRDefault="006909CF" w:rsidP="00D74EF3">
      <w:pPr>
        <w:widowControl w:val="0"/>
        <w:jc w:val="center"/>
        <w:rPr>
          <w:rFonts w:ascii="Garamond" w:eastAsia="MS Mincho" w:hAnsi="Garamond" w:cs="CG Times"/>
          <w:lang w:val="sq-AL"/>
        </w:rPr>
      </w:pPr>
    </w:p>
    <w:p w:rsidR="00D74EF3" w:rsidRPr="00B67DFC" w:rsidRDefault="00D74EF3" w:rsidP="00D74EF3">
      <w:pPr>
        <w:widowControl w:val="0"/>
        <w:jc w:val="center"/>
        <w:rPr>
          <w:rFonts w:ascii="Garamond" w:eastAsia="MS Mincho" w:hAnsi="Garamond" w:cs="CG Times"/>
          <w:lang w:val="sq-AL"/>
        </w:rPr>
      </w:pPr>
      <w:r w:rsidRPr="00B67DFC">
        <w:rPr>
          <w:rFonts w:ascii="Garamond" w:eastAsia="MS Mincho" w:hAnsi="Garamond" w:cs="CG Times"/>
          <w:lang w:val="sq-AL"/>
        </w:rPr>
        <w:t>Neni 35/13</w:t>
      </w:r>
    </w:p>
    <w:p w:rsidR="00D74EF3" w:rsidRPr="00B67DFC" w:rsidRDefault="00D74EF3" w:rsidP="00D74EF3">
      <w:pPr>
        <w:widowControl w:val="0"/>
        <w:jc w:val="center"/>
        <w:outlineLvl w:val="2"/>
        <w:rPr>
          <w:rFonts w:ascii="Garamond" w:eastAsia="MS Mincho" w:hAnsi="Garamond" w:cs="CG Times"/>
          <w:b/>
          <w:bCs/>
          <w:lang w:val="sq-AL"/>
        </w:rPr>
      </w:pPr>
      <w:r w:rsidRPr="00B67DFC">
        <w:rPr>
          <w:rFonts w:ascii="Garamond" w:eastAsia="MS Mincho" w:hAnsi="Garamond" w:cs="CG Times"/>
          <w:b/>
          <w:bCs/>
          <w:lang w:val="sq-AL"/>
        </w:rPr>
        <w:t>Treguesit dhe standardet bazë për projektimin e zonave turistike dhe bregdetare</w:t>
      </w:r>
    </w:p>
    <w:p w:rsidR="00D74EF3" w:rsidRPr="00B67DFC" w:rsidRDefault="00D74EF3" w:rsidP="00D74EF3">
      <w:pPr>
        <w:rPr>
          <w:rFonts w:ascii="Garamond" w:eastAsia="MS Mincho" w:hAnsi="Garamond"/>
          <w:lang w:val="sq-AL"/>
        </w:rPr>
      </w:pP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1. Standardet orientuese jodetyruese për planifikimin dhe projektimin e komplekseve turistike janë:</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a) Tabela 1: Treguesit e cilësisë dhe dendësisë për komplekse turistike</w:t>
      </w:r>
    </w:p>
    <w:p w:rsidR="00D74EF3" w:rsidRPr="00B67DFC" w:rsidRDefault="00D74EF3" w:rsidP="00D74EF3">
      <w:pPr>
        <w:widowControl w:val="0"/>
        <w:ind w:firstLine="720"/>
        <w:jc w:val="both"/>
        <w:rPr>
          <w:rFonts w:ascii="Garamond" w:eastAsia="MS Mincho" w:hAnsi="Garamond" w:cs="CG Times"/>
          <w:lang w:val="sq-AL"/>
        </w:rPr>
      </w:pPr>
    </w:p>
    <w:tbl>
      <w:tblPr>
        <w:tblW w:w="5130" w:type="pct"/>
        <w:jc w:val="center"/>
        <w:shd w:val="clear" w:color="auto" w:fill="FFFFFF"/>
        <w:tblLook w:val="0000" w:firstRow="0" w:lastRow="0" w:firstColumn="0" w:lastColumn="0" w:noHBand="0" w:noVBand="0"/>
      </w:tblPr>
      <w:tblGrid>
        <w:gridCol w:w="3462"/>
        <w:gridCol w:w="2693"/>
        <w:gridCol w:w="2699"/>
      </w:tblGrid>
      <w:tr w:rsidR="00D74EF3" w:rsidRPr="00B67DFC" w:rsidTr="0050532B">
        <w:trPr>
          <w:cantSplit/>
          <w:trHeight w:val="207"/>
          <w:jc w:val="center"/>
        </w:trPr>
        <w:tc>
          <w:tcPr>
            <w:tcW w:w="195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
                <w:lang w:val="sq-AL"/>
              </w:rPr>
            </w:pPr>
            <w:r w:rsidRPr="00B67DFC">
              <w:rPr>
                <w:rFonts w:ascii="Garamond" w:eastAsia="MS Mincho" w:hAnsi="Garamond"/>
                <w:b/>
                <w:lang w:val="sq-AL"/>
              </w:rPr>
              <w:t>Kategoria dhe treguesit</w:t>
            </w:r>
          </w:p>
        </w:tc>
        <w:tc>
          <w:tcPr>
            <w:tcW w:w="152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
                <w:lang w:val="sq-AL"/>
              </w:rPr>
            </w:pPr>
            <w:r w:rsidRPr="00B67DFC">
              <w:rPr>
                <w:rFonts w:ascii="Garamond" w:eastAsia="MS Mincho" w:hAnsi="Garamond"/>
                <w:b/>
                <w:lang w:val="sq-AL"/>
              </w:rPr>
              <w:t xml:space="preserve">Kategoria turistike e ulët </w:t>
            </w:r>
          </w:p>
          <w:p w:rsidR="00D74EF3" w:rsidRPr="00B67DFC" w:rsidRDefault="00D74EF3" w:rsidP="00D74EF3">
            <w:pPr>
              <w:widowControl w:val="0"/>
              <w:tabs>
                <w:tab w:val="left" w:pos="1120"/>
              </w:tabs>
              <w:jc w:val="center"/>
              <w:rPr>
                <w:rFonts w:ascii="Garamond" w:eastAsia="MS Mincho" w:hAnsi="Garamond"/>
                <w:b/>
                <w:lang w:val="sq-AL"/>
              </w:rPr>
            </w:pPr>
            <w:r w:rsidRPr="00B67DFC">
              <w:rPr>
                <w:rFonts w:ascii="Garamond" w:eastAsia="MS Mincho" w:hAnsi="Garamond"/>
                <w:b/>
                <w:lang w:val="sq-AL"/>
              </w:rPr>
              <w:t>dhe e mesme</w:t>
            </w:r>
          </w:p>
        </w:tc>
        <w:tc>
          <w:tcPr>
            <w:tcW w:w="152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center"/>
              <w:rPr>
                <w:rFonts w:ascii="Garamond" w:eastAsia="MS Mincho" w:hAnsi="Garamond"/>
                <w:b/>
                <w:lang w:val="sq-AL"/>
              </w:rPr>
            </w:pPr>
            <w:r w:rsidRPr="00B67DFC">
              <w:rPr>
                <w:rFonts w:ascii="Garamond" w:eastAsia="MS Mincho" w:hAnsi="Garamond"/>
                <w:b/>
                <w:lang w:val="sq-AL"/>
              </w:rPr>
              <w:t xml:space="preserve">Kategoria turistike e lartë </w:t>
            </w:r>
          </w:p>
          <w:p w:rsidR="00D74EF3" w:rsidRPr="00B67DFC" w:rsidRDefault="00D74EF3" w:rsidP="00D74EF3">
            <w:pPr>
              <w:widowControl w:val="0"/>
              <w:tabs>
                <w:tab w:val="left" w:pos="1120"/>
              </w:tabs>
              <w:jc w:val="center"/>
              <w:rPr>
                <w:rFonts w:ascii="Garamond" w:eastAsia="MS Mincho" w:hAnsi="Garamond"/>
                <w:b/>
                <w:lang w:val="sq-AL"/>
              </w:rPr>
            </w:pPr>
            <w:r w:rsidRPr="00B67DFC">
              <w:rPr>
                <w:rFonts w:ascii="Garamond" w:eastAsia="MS Mincho" w:hAnsi="Garamond"/>
                <w:b/>
                <w:lang w:val="sq-AL"/>
              </w:rPr>
              <w:t>dhe elitë</w:t>
            </w:r>
          </w:p>
        </w:tc>
      </w:tr>
      <w:tr w:rsidR="00D74EF3" w:rsidRPr="00B67DFC" w:rsidTr="0050532B">
        <w:trPr>
          <w:cantSplit/>
          <w:trHeight w:val="409"/>
          <w:jc w:val="center"/>
        </w:trPr>
        <w:tc>
          <w:tcPr>
            <w:tcW w:w="195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ind w:left="147"/>
              <w:rPr>
                <w:rFonts w:ascii="Garamond" w:eastAsia="MS Mincho" w:hAnsi="Garamond"/>
                <w:lang w:val="sq-AL"/>
              </w:rPr>
            </w:pPr>
            <w:r w:rsidRPr="00B67DFC">
              <w:rPr>
                <w:rFonts w:ascii="Garamond" w:eastAsia="MS Mincho" w:hAnsi="Garamond"/>
                <w:lang w:val="sq-AL"/>
              </w:rPr>
              <w:t>Dendësia turistike e komplekseve turistike</w:t>
            </w:r>
          </w:p>
        </w:tc>
        <w:tc>
          <w:tcPr>
            <w:tcW w:w="152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both"/>
              <w:rPr>
                <w:rFonts w:ascii="Garamond" w:eastAsia="MS Mincho" w:hAnsi="Garamond"/>
                <w:lang w:val="sq-AL"/>
              </w:rPr>
            </w:pPr>
            <w:r w:rsidRPr="00B67DFC">
              <w:rPr>
                <w:rFonts w:ascii="Garamond" w:eastAsia="MS Mincho" w:hAnsi="Garamond"/>
                <w:lang w:val="sq-AL"/>
              </w:rPr>
              <w:t xml:space="preserve"> 100 – 150 vizitor/ha</w:t>
            </w:r>
          </w:p>
        </w:tc>
        <w:tc>
          <w:tcPr>
            <w:tcW w:w="152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both"/>
              <w:rPr>
                <w:rFonts w:ascii="Garamond" w:eastAsia="MS Mincho" w:hAnsi="Garamond"/>
                <w:lang w:val="sq-AL"/>
              </w:rPr>
            </w:pPr>
            <w:r w:rsidRPr="00B67DFC">
              <w:rPr>
                <w:rFonts w:ascii="Garamond" w:eastAsia="MS Mincho" w:hAnsi="Garamond"/>
                <w:lang w:val="sq-AL"/>
              </w:rPr>
              <w:t xml:space="preserve"> 50 – 100 vizitor/ha</w:t>
            </w:r>
          </w:p>
        </w:tc>
      </w:tr>
      <w:tr w:rsidR="00D74EF3" w:rsidRPr="00B67DFC" w:rsidTr="0050532B">
        <w:trPr>
          <w:cantSplit/>
          <w:trHeight w:val="387"/>
          <w:jc w:val="center"/>
        </w:trPr>
        <w:tc>
          <w:tcPr>
            <w:tcW w:w="195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ind w:left="147"/>
              <w:rPr>
                <w:rFonts w:ascii="Garamond" w:eastAsia="MS Mincho" w:hAnsi="Garamond"/>
                <w:lang w:val="sq-AL"/>
              </w:rPr>
            </w:pPr>
            <w:r w:rsidRPr="00B67DFC">
              <w:rPr>
                <w:rFonts w:ascii="Garamond" w:eastAsia="MS Mincho" w:hAnsi="Garamond"/>
                <w:lang w:val="sq-AL"/>
              </w:rPr>
              <w:lastRenderedPageBreak/>
              <w:t>Sipërfaqe mesatare e plazhit ranor, zhavorr, shkëmbor</w:t>
            </w:r>
          </w:p>
        </w:tc>
        <w:tc>
          <w:tcPr>
            <w:tcW w:w="152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both"/>
              <w:rPr>
                <w:rFonts w:ascii="Garamond" w:eastAsia="MS Mincho" w:hAnsi="Garamond"/>
                <w:lang w:val="sq-AL"/>
              </w:rPr>
            </w:pPr>
            <w:r w:rsidRPr="00B67DFC">
              <w:rPr>
                <w:rFonts w:ascii="Garamond" w:eastAsia="MS Mincho" w:hAnsi="Garamond"/>
                <w:lang w:val="sq-AL"/>
              </w:rPr>
              <w:t xml:space="preserve"> jo më pak se 6 m</w:t>
            </w:r>
            <w:r w:rsidRPr="00B67DFC">
              <w:rPr>
                <w:rFonts w:ascii="Garamond" w:eastAsia="MS Mincho" w:hAnsi="Garamond"/>
                <w:vertAlign w:val="superscript"/>
                <w:lang w:val="sq-AL"/>
              </w:rPr>
              <w:t>2</w:t>
            </w:r>
            <w:r w:rsidRPr="00B67DFC">
              <w:rPr>
                <w:rFonts w:ascii="Garamond" w:eastAsia="MS Mincho" w:hAnsi="Garamond"/>
                <w:lang w:val="sq-AL"/>
              </w:rPr>
              <w:t>/vizitor</w:t>
            </w:r>
          </w:p>
        </w:tc>
        <w:tc>
          <w:tcPr>
            <w:tcW w:w="152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both"/>
              <w:rPr>
                <w:rFonts w:ascii="Garamond" w:eastAsia="MS Mincho" w:hAnsi="Garamond"/>
                <w:lang w:val="sq-AL"/>
              </w:rPr>
            </w:pPr>
            <w:r w:rsidRPr="00B67DFC">
              <w:rPr>
                <w:rFonts w:ascii="Garamond" w:eastAsia="MS Mincho" w:hAnsi="Garamond"/>
                <w:lang w:val="sq-AL"/>
              </w:rPr>
              <w:t xml:space="preserve"> jo më pak se 10 m</w:t>
            </w:r>
            <w:r w:rsidRPr="00B67DFC">
              <w:rPr>
                <w:rFonts w:ascii="Garamond" w:eastAsia="MS Mincho" w:hAnsi="Garamond"/>
                <w:vertAlign w:val="superscript"/>
                <w:lang w:val="sq-AL"/>
              </w:rPr>
              <w:t>2</w:t>
            </w:r>
            <w:r w:rsidRPr="00B67DFC">
              <w:rPr>
                <w:rFonts w:ascii="Garamond" w:eastAsia="MS Mincho" w:hAnsi="Garamond"/>
                <w:lang w:val="sq-AL"/>
              </w:rPr>
              <w:t>/vizitor</w:t>
            </w:r>
          </w:p>
        </w:tc>
      </w:tr>
      <w:tr w:rsidR="00D74EF3" w:rsidRPr="00B67DFC" w:rsidTr="0050532B">
        <w:trPr>
          <w:cantSplit/>
          <w:trHeight w:val="365"/>
          <w:jc w:val="center"/>
        </w:trPr>
        <w:tc>
          <w:tcPr>
            <w:tcW w:w="195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ind w:left="147"/>
              <w:rPr>
                <w:rFonts w:ascii="Garamond" w:eastAsia="MS Mincho" w:hAnsi="Garamond"/>
                <w:lang w:val="sq-AL"/>
              </w:rPr>
            </w:pPr>
            <w:r w:rsidRPr="00B67DFC">
              <w:rPr>
                <w:rFonts w:ascii="Garamond" w:eastAsia="MS Mincho" w:hAnsi="Garamond"/>
                <w:lang w:val="sq-AL"/>
              </w:rPr>
              <w:t>Gjatësia e bregut të plazhit</w:t>
            </w:r>
          </w:p>
        </w:tc>
        <w:tc>
          <w:tcPr>
            <w:tcW w:w="152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both"/>
              <w:rPr>
                <w:rFonts w:ascii="Garamond" w:eastAsia="MS Mincho" w:hAnsi="Garamond"/>
                <w:lang w:val="sq-AL"/>
              </w:rPr>
            </w:pPr>
            <w:r w:rsidRPr="00B67DFC">
              <w:rPr>
                <w:rFonts w:ascii="Garamond" w:eastAsia="MS Mincho" w:hAnsi="Garamond"/>
                <w:lang w:val="sq-AL"/>
              </w:rPr>
              <w:t xml:space="preserve"> jo më pak se 0.5 </w:t>
            </w:r>
            <w:proofErr w:type="spellStart"/>
            <w:r w:rsidRPr="00B67DFC">
              <w:rPr>
                <w:rFonts w:ascii="Garamond" w:eastAsia="MS Mincho" w:hAnsi="Garamond"/>
                <w:lang w:val="sq-AL"/>
              </w:rPr>
              <w:t>ml</w:t>
            </w:r>
            <w:proofErr w:type="spellEnd"/>
            <w:r w:rsidRPr="00B67DFC">
              <w:rPr>
                <w:rFonts w:ascii="Garamond" w:eastAsia="MS Mincho" w:hAnsi="Garamond"/>
                <w:lang w:val="sq-AL"/>
              </w:rPr>
              <w:t>/vizitor</w:t>
            </w:r>
          </w:p>
        </w:tc>
        <w:tc>
          <w:tcPr>
            <w:tcW w:w="152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both"/>
              <w:rPr>
                <w:rFonts w:ascii="Garamond" w:eastAsia="MS Mincho" w:hAnsi="Garamond"/>
                <w:lang w:val="sq-AL"/>
              </w:rPr>
            </w:pPr>
            <w:r w:rsidRPr="00B67DFC">
              <w:rPr>
                <w:rFonts w:ascii="Garamond" w:eastAsia="MS Mincho" w:hAnsi="Garamond"/>
                <w:lang w:val="sq-AL"/>
              </w:rPr>
              <w:t xml:space="preserve"> jo më pak se 0.7 </w:t>
            </w:r>
            <w:proofErr w:type="spellStart"/>
            <w:r w:rsidRPr="00B67DFC">
              <w:rPr>
                <w:rFonts w:ascii="Garamond" w:eastAsia="MS Mincho" w:hAnsi="Garamond"/>
                <w:lang w:val="sq-AL"/>
              </w:rPr>
              <w:t>ml</w:t>
            </w:r>
            <w:proofErr w:type="spellEnd"/>
            <w:r w:rsidRPr="00B67DFC">
              <w:rPr>
                <w:rFonts w:ascii="Garamond" w:eastAsia="MS Mincho" w:hAnsi="Garamond"/>
                <w:lang w:val="sq-AL"/>
              </w:rPr>
              <w:t>/vizitor</w:t>
            </w:r>
          </w:p>
        </w:tc>
      </w:tr>
      <w:tr w:rsidR="00D74EF3" w:rsidRPr="00B67DFC" w:rsidTr="0050532B">
        <w:trPr>
          <w:cantSplit/>
          <w:trHeight w:val="285"/>
          <w:jc w:val="center"/>
        </w:trPr>
        <w:tc>
          <w:tcPr>
            <w:tcW w:w="195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ind w:left="147"/>
              <w:rPr>
                <w:rFonts w:ascii="Garamond" w:eastAsia="MS Mincho" w:hAnsi="Garamond"/>
                <w:lang w:val="sq-AL"/>
              </w:rPr>
            </w:pPr>
            <w:r w:rsidRPr="00B67DFC">
              <w:rPr>
                <w:rFonts w:ascii="Garamond" w:eastAsia="MS Mincho" w:hAnsi="Garamond"/>
                <w:lang w:val="sq-AL"/>
              </w:rPr>
              <w:t>Sipërfaqja e detit për lundrim</w:t>
            </w:r>
          </w:p>
        </w:tc>
        <w:tc>
          <w:tcPr>
            <w:tcW w:w="152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both"/>
              <w:rPr>
                <w:rFonts w:ascii="Garamond" w:eastAsia="MS Mincho" w:hAnsi="Garamond"/>
                <w:lang w:val="sq-AL"/>
              </w:rPr>
            </w:pPr>
            <w:r w:rsidRPr="00B67DFC">
              <w:rPr>
                <w:rFonts w:ascii="Garamond" w:eastAsia="MS Mincho" w:hAnsi="Garamond"/>
                <w:lang w:val="sq-AL"/>
              </w:rPr>
              <w:t xml:space="preserve"> 1 ha/anije me motor</w:t>
            </w:r>
          </w:p>
          <w:p w:rsidR="00D74EF3" w:rsidRPr="00B67DFC" w:rsidRDefault="00D74EF3" w:rsidP="00D74EF3">
            <w:pPr>
              <w:widowControl w:val="0"/>
              <w:tabs>
                <w:tab w:val="left" w:pos="1120"/>
              </w:tabs>
              <w:jc w:val="both"/>
              <w:rPr>
                <w:rFonts w:ascii="Garamond" w:eastAsia="MS Mincho" w:hAnsi="Garamond"/>
                <w:lang w:val="sq-AL"/>
              </w:rPr>
            </w:pPr>
            <w:r w:rsidRPr="00B67DFC">
              <w:rPr>
                <w:rFonts w:ascii="Garamond" w:eastAsia="MS Mincho" w:hAnsi="Garamond"/>
                <w:lang w:val="sq-AL"/>
              </w:rPr>
              <w:t xml:space="preserve"> 0.5 ha/ anije me vela</w:t>
            </w:r>
          </w:p>
        </w:tc>
        <w:tc>
          <w:tcPr>
            <w:tcW w:w="152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74EF3" w:rsidRPr="00B67DFC" w:rsidRDefault="00D74EF3" w:rsidP="00D74EF3">
            <w:pPr>
              <w:widowControl w:val="0"/>
              <w:tabs>
                <w:tab w:val="left" w:pos="1120"/>
              </w:tabs>
              <w:jc w:val="both"/>
              <w:rPr>
                <w:rFonts w:ascii="Garamond" w:eastAsia="MS Mincho" w:hAnsi="Garamond"/>
                <w:lang w:val="sq-AL"/>
              </w:rPr>
            </w:pPr>
            <w:r w:rsidRPr="00B67DFC">
              <w:rPr>
                <w:rFonts w:ascii="Garamond" w:eastAsia="MS Mincho" w:hAnsi="Garamond"/>
                <w:lang w:val="sq-AL"/>
              </w:rPr>
              <w:t xml:space="preserve"> 1 ha/anije me motor</w:t>
            </w:r>
          </w:p>
          <w:p w:rsidR="00D74EF3" w:rsidRPr="00B67DFC" w:rsidRDefault="00D74EF3" w:rsidP="00D74EF3">
            <w:pPr>
              <w:widowControl w:val="0"/>
              <w:tabs>
                <w:tab w:val="left" w:pos="1120"/>
              </w:tabs>
              <w:jc w:val="both"/>
              <w:rPr>
                <w:rFonts w:ascii="Garamond" w:eastAsia="MS Mincho" w:hAnsi="Garamond"/>
                <w:lang w:val="sq-AL"/>
              </w:rPr>
            </w:pPr>
            <w:r w:rsidRPr="00B67DFC">
              <w:rPr>
                <w:rFonts w:ascii="Garamond" w:eastAsia="MS Mincho" w:hAnsi="Garamond"/>
                <w:lang w:val="sq-AL"/>
              </w:rPr>
              <w:t xml:space="preserve"> 0.5 ha/ anije me vela</w:t>
            </w:r>
          </w:p>
        </w:tc>
      </w:tr>
    </w:tbl>
    <w:p w:rsidR="00D74EF3" w:rsidRPr="00B67DFC" w:rsidRDefault="00D74EF3" w:rsidP="00D74EF3">
      <w:pPr>
        <w:widowControl w:val="0"/>
        <w:rPr>
          <w:rFonts w:ascii="Garamond" w:eastAsia="MS Mincho" w:hAnsi="Garamond"/>
          <w:lang w:val="sq-AL"/>
        </w:rPr>
      </w:pP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b) Kompleksi/</w:t>
      </w:r>
      <w:proofErr w:type="spellStart"/>
      <w:r w:rsidRPr="00B67DFC">
        <w:rPr>
          <w:rFonts w:ascii="Garamond" w:eastAsia="MS Mincho" w:hAnsi="Garamond" w:cs="CG Times"/>
          <w:lang w:val="sq-AL"/>
        </w:rPr>
        <w:t>resorti</w:t>
      </w:r>
      <w:proofErr w:type="spellEnd"/>
      <w:r w:rsidRPr="00B67DFC">
        <w:rPr>
          <w:rFonts w:ascii="Garamond" w:eastAsia="MS Mincho" w:hAnsi="Garamond" w:cs="CG Times"/>
          <w:lang w:val="sq-AL"/>
        </w:rPr>
        <w:t xml:space="preserve"> turistik përmban ndërtime dhe struktura për banim, të tilla si: hotele, apartamente, vila, “</w:t>
      </w:r>
      <w:proofErr w:type="spellStart"/>
      <w:r w:rsidRPr="00B67DFC">
        <w:rPr>
          <w:rFonts w:ascii="Garamond" w:eastAsia="MS Mincho" w:hAnsi="Garamond" w:cs="CG Times"/>
          <w:lang w:val="sq-AL"/>
        </w:rPr>
        <w:t>bungalow</w:t>
      </w:r>
      <w:proofErr w:type="spellEnd"/>
      <w:r w:rsidRPr="00B67DFC">
        <w:rPr>
          <w:rFonts w:ascii="Garamond" w:eastAsia="MS Mincho" w:hAnsi="Garamond" w:cs="CG Times"/>
          <w:lang w:val="sq-AL"/>
        </w:rPr>
        <w:t>”, “</w:t>
      </w:r>
      <w:proofErr w:type="spellStart"/>
      <w:r w:rsidRPr="00B67DFC">
        <w:rPr>
          <w:rFonts w:ascii="Garamond" w:eastAsia="MS Mincho" w:hAnsi="Garamond" w:cs="CG Times"/>
          <w:lang w:val="sq-AL"/>
        </w:rPr>
        <w:t>kamper</w:t>
      </w:r>
      <w:proofErr w:type="spellEnd"/>
      <w:r w:rsidRPr="00B67DFC">
        <w:rPr>
          <w:rFonts w:ascii="Garamond" w:eastAsia="MS Mincho" w:hAnsi="Garamond" w:cs="CG Times"/>
          <w:lang w:val="sq-AL"/>
        </w:rPr>
        <w:t>”, çadra, si dhe shërbime të tilla si: restorant, bar, disko, dyqane, zyra, hapësirë për lojëra dhe sport, rrugë dhe sheshe, parqe dhe lulishte, parkim.</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2. Nuk përfshihen në standardin e dendësisë turistike territoret e pyjeve, të sipërfaqeve ranore, </w:t>
      </w:r>
      <w:proofErr w:type="spellStart"/>
      <w:r w:rsidRPr="00B67DFC">
        <w:rPr>
          <w:rFonts w:ascii="Garamond" w:eastAsia="MS Mincho" w:hAnsi="Garamond" w:cs="CG Times"/>
          <w:lang w:val="sq-AL"/>
        </w:rPr>
        <w:t>gurale</w:t>
      </w:r>
      <w:proofErr w:type="spellEnd"/>
      <w:r w:rsidRPr="00B67DFC">
        <w:rPr>
          <w:rFonts w:ascii="Garamond" w:eastAsia="MS Mincho" w:hAnsi="Garamond" w:cs="CG Times"/>
          <w:lang w:val="sq-AL"/>
        </w:rPr>
        <w:t xml:space="preserve"> e shkëmbore, të pasqyrave ujore, të strukturave të përbashkëta të zonës turistike, të rrugëve të jashtme, të parkimeve qendrore, të veprave të pastrimit dhe të tjera të kësaj natyre.</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jc w:val="center"/>
        <w:rPr>
          <w:rFonts w:ascii="Garamond" w:eastAsia="MS Mincho" w:hAnsi="Garamond" w:cs="CG Times"/>
          <w:lang w:val="sq-AL"/>
        </w:rPr>
      </w:pPr>
      <w:r w:rsidRPr="00B67DFC">
        <w:rPr>
          <w:rFonts w:ascii="Garamond" w:eastAsia="MS Mincho" w:hAnsi="Garamond" w:cs="CG Times"/>
          <w:lang w:val="sq-AL"/>
        </w:rPr>
        <w:t>Neni 35/13</w:t>
      </w:r>
    </w:p>
    <w:p w:rsidR="00D74EF3" w:rsidRPr="00B67DFC" w:rsidRDefault="00D74EF3" w:rsidP="00D74EF3">
      <w:pPr>
        <w:widowControl w:val="0"/>
        <w:jc w:val="center"/>
        <w:outlineLvl w:val="2"/>
        <w:rPr>
          <w:rFonts w:ascii="Garamond" w:eastAsia="MS Mincho" w:hAnsi="Garamond" w:cs="CG Times"/>
          <w:b/>
          <w:bCs/>
          <w:lang w:val="sq-AL"/>
        </w:rPr>
      </w:pPr>
      <w:r w:rsidRPr="00B67DFC">
        <w:rPr>
          <w:rFonts w:ascii="Garamond" w:eastAsia="MS Mincho" w:hAnsi="Garamond" w:cs="CG Times"/>
          <w:b/>
          <w:bCs/>
          <w:lang w:val="sq-AL"/>
        </w:rPr>
        <w:t>Rregulla dhe kushte bazë për zhvillim në lidhje me kategorinë bazë të përdorimit M. monumente kulture dhe historike</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1. Rregullat dhe kushtet e mbrojtjes nga zhvillimi dhe/ose të zhvillimit, përfshirë punimet e restaurimit, në zona që klasifikohen në përdorimin M. monumente kulture dhe historike, si edhe në afërsi të tyre, përcaktohen në përputhje me dispozitat e ligjit nr. 9048, datë 7.4.2003 “Për trashëgiminë kulturore”.</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2. Rreth zonave që klasifikohen si monumente kulture të mbrojtura, sipas të gjitha niveleve dhe klasifikimeve të ligjit të referuar në pikën 1 të këtij neni, përcaktohet një sipërfaqe toke si zonë mbrojtëse, në përputhje me vlerat e tyre arkitektonike, me përshtatshmërinë e tyre urbanistike, territoriale dhe estetike, me rrethinën dhe me rrethanat ekologjike e mjedisore. Përmasat e zonës mbrojtëse përcaktohen në përputhje me dispozitat e ligjit të referuar në pikën 1 të këtij neni, por, në çdo rast, gjerësia e vazhduar e zonës mbrojtëse nuk do të jetë më e vogël se 100 metra. Brenda kësaj zone mbrojtëse mund të lejohen zhvillime vetëm në përputhje me legjislacionin në fuqi.</w:t>
      </w:r>
    </w:p>
    <w:p w:rsidR="00D74EF3" w:rsidRPr="00B67DFC" w:rsidRDefault="00D74EF3" w:rsidP="00D74EF3">
      <w:pPr>
        <w:widowControl w:val="0"/>
        <w:jc w:val="both"/>
        <w:rPr>
          <w:rFonts w:ascii="Garamond" w:eastAsia="MS Mincho" w:hAnsi="Garamond" w:cs="CG Times"/>
          <w:lang w:val="sq-AL"/>
        </w:rPr>
      </w:pPr>
    </w:p>
    <w:p w:rsidR="00D74EF3" w:rsidRPr="00B67DFC" w:rsidRDefault="00D74EF3" w:rsidP="00D74EF3">
      <w:pPr>
        <w:widowControl w:val="0"/>
        <w:jc w:val="center"/>
        <w:rPr>
          <w:rFonts w:ascii="Garamond" w:eastAsia="MS Mincho" w:hAnsi="Garamond" w:cs="CG Times"/>
          <w:caps/>
          <w:lang w:val="sq-AL"/>
        </w:rPr>
      </w:pPr>
      <w:r w:rsidRPr="00B67DFC">
        <w:rPr>
          <w:rFonts w:ascii="Garamond" w:eastAsia="MS Mincho" w:hAnsi="Garamond" w:cs="CG Times"/>
          <w:caps/>
          <w:lang w:val="sq-AL"/>
        </w:rPr>
        <w:t>KREU V/II</w:t>
      </w:r>
    </w:p>
    <w:p w:rsidR="00D74EF3" w:rsidRPr="00B67DFC" w:rsidRDefault="00D74EF3" w:rsidP="00D74EF3">
      <w:pPr>
        <w:widowControl w:val="0"/>
        <w:jc w:val="center"/>
        <w:rPr>
          <w:rFonts w:ascii="Garamond" w:eastAsia="MS Mincho" w:hAnsi="Garamond" w:cs="CG Times"/>
          <w:caps/>
          <w:lang w:val="sq-AL"/>
        </w:rPr>
      </w:pPr>
      <w:r w:rsidRPr="00B67DFC">
        <w:rPr>
          <w:rFonts w:ascii="Garamond" w:eastAsia="MS Mincho" w:hAnsi="Garamond" w:cs="CG Times"/>
          <w:caps/>
          <w:lang w:val="sq-AL"/>
        </w:rPr>
        <w:t>PËRDORIMI I TOKËS DHE STRUKTURAVE NË TË, NJËSITË DHE NËNNJËSITË STRUKTURORE</w:t>
      </w:r>
    </w:p>
    <w:p w:rsidR="006909CF" w:rsidRPr="00B67DFC" w:rsidRDefault="006909CF" w:rsidP="006909CF">
      <w:pPr>
        <w:widowControl w:val="0"/>
        <w:jc w:val="center"/>
        <w:outlineLvl w:val="0"/>
        <w:rPr>
          <w:rFonts w:ascii="Garamond" w:eastAsia="MS Mincho" w:hAnsi="Garamond" w:cs="CG Times"/>
          <w:caps/>
          <w:lang w:val="sq-AL"/>
        </w:rPr>
      </w:pPr>
      <w:r w:rsidRPr="00B67DFC">
        <w:rPr>
          <w:rFonts w:ascii="Garamond" w:eastAsia="MS Mincho" w:hAnsi="Garamond" w:cs="CG Times"/>
          <w:lang w:val="sq-AL"/>
        </w:rPr>
        <w:t>(Shtuar me VKM nr. 312, datë 13.3.2013)</w:t>
      </w:r>
    </w:p>
    <w:p w:rsidR="006909CF" w:rsidRPr="00B67DFC" w:rsidRDefault="006909CF" w:rsidP="00D74EF3">
      <w:pPr>
        <w:widowControl w:val="0"/>
        <w:jc w:val="center"/>
        <w:rPr>
          <w:rFonts w:ascii="Garamond" w:eastAsia="MS Mincho" w:hAnsi="Garamond" w:cs="CG Times"/>
          <w:caps/>
          <w:lang w:val="sq-AL"/>
        </w:rPr>
      </w:pP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jc w:val="center"/>
        <w:rPr>
          <w:rFonts w:ascii="Garamond" w:eastAsia="MS Mincho" w:hAnsi="Garamond" w:cs="CG Times"/>
          <w:caps/>
          <w:lang w:val="sq-AL"/>
        </w:rPr>
      </w:pPr>
      <w:r w:rsidRPr="00B67DFC">
        <w:rPr>
          <w:rFonts w:ascii="Garamond" w:eastAsia="MS Mincho" w:hAnsi="Garamond" w:cs="CG Times"/>
          <w:caps/>
          <w:lang w:val="sq-AL"/>
        </w:rPr>
        <w:t>SEKSIONI 1</w:t>
      </w:r>
    </w:p>
    <w:p w:rsidR="00D74EF3" w:rsidRPr="00B67DFC" w:rsidRDefault="00D74EF3" w:rsidP="00D74EF3">
      <w:pPr>
        <w:widowControl w:val="0"/>
        <w:jc w:val="center"/>
        <w:rPr>
          <w:rFonts w:ascii="Garamond" w:eastAsia="MS Mincho" w:hAnsi="Garamond" w:cs="CG Times"/>
          <w:caps/>
          <w:lang w:val="sq-AL"/>
        </w:rPr>
      </w:pPr>
      <w:r w:rsidRPr="00B67DFC">
        <w:rPr>
          <w:rFonts w:ascii="Garamond" w:eastAsia="MS Mincho" w:hAnsi="Garamond" w:cs="CG Times"/>
          <w:caps/>
          <w:lang w:val="sq-AL"/>
        </w:rPr>
        <w:t>PËRCAKTIMI I KATEGORIVE BAZË TË PËRDORIMIT TË TOKËS DHE TË STRUKTURAVE</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jc w:val="center"/>
        <w:rPr>
          <w:rFonts w:ascii="Garamond" w:eastAsia="MS Mincho" w:hAnsi="Garamond" w:cs="CG Times"/>
          <w:lang w:val="sq-AL"/>
        </w:rPr>
      </w:pPr>
      <w:r w:rsidRPr="00B67DFC">
        <w:rPr>
          <w:rFonts w:ascii="Garamond" w:eastAsia="MS Mincho" w:hAnsi="Garamond" w:cs="CG Times"/>
          <w:lang w:val="sq-AL"/>
        </w:rPr>
        <w:t>Neni 35/14</w:t>
      </w:r>
    </w:p>
    <w:p w:rsidR="00D74EF3" w:rsidRPr="00B67DFC" w:rsidRDefault="00D74EF3" w:rsidP="00D74EF3">
      <w:pPr>
        <w:widowControl w:val="0"/>
        <w:jc w:val="center"/>
        <w:outlineLvl w:val="2"/>
        <w:rPr>
          <w:rFonts w:ascii="Garamond" w:eastAsia="MS Mincho" w:hAnsi="Garamond" w:cs="CG Times"/>
          <w:b/>
          <w:bCs/>
          <w:lang w:val="sq-AL"/>
        </w:rPr>
      </w:pPr>
      <w:r w:rsidRPr="00B67DFC">
        <w:rPr>
          <w:rFonts w:ascii="Garamond" w:eastAsia="MS Mincho" w:hAnsi="Garamond" w:cs="CG Times"/>
          <w:b/>
          <w:bCs/>
          <w:lang w:val="sq-AL"/>
        </w:rPr>
        <w:t xml:space="preserve">Qëllimi i </w:t>
      </w:r>
      <w:proofErr w:type="spellStart"/>
      <w:r w:rsidRPr="00B67DFC">
        <w:rPr>
          <w:rFonts w:ascii="Garamond" w:eastAsia="MS Mincho" w:hAnsi="Garamond" w:cs="CG Times"/>
          <w:b/>
          <w:bCs/>
          <w:lang w:val="sq-AL"/>
        </w:rPr>
        <w:t>zonimit</w:t>
      </w:r>
      <w:proofErr w:type="spellEnd"/>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1. </w:t>
      </w:r>
      <w:proofErr w:type="spellStart"/>
      <w:r w:rsidRPr="00B67DFC">
        <w:rPr>
          <w:rFonts w:ascii="Garamond" w:eastAsia="MS Mincho" w:hAnsi="Garamond" w:cs="CG Times"/>
          <w:lang w:val="sq-AL"/>
        </w:rPr>
        <w:t>Zonimi</w:t>
      </w:r>
      <w:proofErr w:type="spellEnd"/>
      <w:r w:rsidRPr="00B67DFC">
        <w:rPr>
          <w:rFonts w:ascii="Garamond" w:eastAsia="MS Mincho" w:hAnsi="Garamond" w:cs="CG Times"/>
          <w:lang w:val="sq-AL"/>
        </w:rPr>
        <w:t xml:space="preserve"> i territorit është një proces që kryhet gjatë hartimit të instrumentit të përgjithshëm vendor të planifikimit ose për gjendjen ekzistuese të territorit në rastet e përdorimit të rregullores model të planifikimit.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lastRenderedPageBreak/>
        <w:t xml:space="preserve">2. </w:t>
      </w:r>
      <w:proofErr w:type="spellStart"/>
      <w:r w:rsidRPr="00B67DFC">
        <w:rPr>
          <w:rFonts w:ascii="Garamond" w:eastAsia="MS Mincho" w:hAnsi="Garamond" w:cs="CG Times"/>
          <w:lang w:val="sq-AL"/>
        </w:rPr>
        <w:t>Zonimi</w:t>
      </w:r>
      <w:proofErr w:type="spellEnd"/>
      <w:r w:rsidRPr="00B67DFC">
        <w:rPr>
          <w:rFonts w:ascii="Garamond" w:eastAsia="MS Mincho" w:hAnsi="Garamond" w:cs="CG Times"/>
          <w:lang w:val="sq-AL"/>
        </w:rPr>
        <w:t xml:space="preserve"> i territorit ka për qëllim:</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a) promovimin e zhvillimit të qëndrueshëm të territorit përmes garantimit të një mjedisi të pastër, të shëndetit publik, sigurisë publike, mundësive për zhvillim ekonomik, mirëqenies ekonomike, sociale dhe morale;</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b) harmonizimin e përdorimeve të tokës dhe strukturave, brenda një zone dhe midis zonave, me qëllim sigurimin e </w:t>
      </w:r>
      <w:proofErr w:type="spellStart"/>
      <w:r w:rsidRPr="00B67DFC">
        <w:rPr>
          <w:rFonts w:ascii="Garamond" w:eastAsia="MS Mincho" w:hAnsi="Garamond" w:cs="CG Times"/>
          <w:lang w:val="sq-AL"/>
        </w:rPr>
        <w:t>aksesit</w:t>
      </w:r>
      <w:proofErr w:type="spellEnd"/>
      <w:r w:rsidRPr="00B67DFC">
        <w:rPr>
          <w:rFonts w:ascii="Garamond" w:eastAsia="MS Mincho" w:hAnsi="Garamond" w:cs="CG Times"/>
          <w:lang w:val="sq-AL"/>
        </w:rPr>
        <w:t xml:space="preserve"> në shërbime dhe strehim të popullsisë;</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c) ruajtjen e vlerës së pronës në një zonë ose inkurajimin e rritjes së vlerës së saj dhe ruajtjen e balancës në vlerën e pronës në nivel qyteti;</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ç) ruajtjen ose përmirësimin e vlerave dhe karakterit të një zone në përputhje me harmonizimin e interesave publike dhe private në zhvillimin e zonës;</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d) përmirësimin e sistemit të lëvizjes brenda një zone, rregullimin e trafikut, sigurimin e </w:t>
      </w:r>
      <w:proofErr w:type="spellStart"/>
      <w:r w:rsidRPr="00B67DFC">
        <w:rPr>
          <w:rFonts w:ascii="Garamond" w:eastAsia="MS Mincho" w:hAnsi="Garamond" w:cs="CG Times"/>
          <w:lang w:val="sq-AL"/>
        </w:rPr>
        <w:t>aksesit</w:t>
      </w:r>
      <w:proofErr w:type="spellEnd"/>
      <w:r w:rsidRPr="00B67DFC">
        <w:rPr>
          <w:rFonts w:ascii="Garamond" w:eastAsia="MS Mincho" w:hAnsi="Garamond" w:cs="CG Times"/>
          <w:lang w:val="sq-AL"/>
        </w:rPr>
        <w:t xml:space="preserve"> për çdo zonë dhe sigurimin e hapësirës publike për parkim brenda një zone.</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jc w:val="center"/>
        <w:rPr>
          <w:rFonts w:ascii="Garamond" w:eastAsia="MS Mincho" w:hAnsi="Garamond" w:cs="CG Times"/>
          <w:lang w:val="sq-AL"/>
        </w:rPr>
      </w:pPr>
      <w:r w:rsidRPr="00B67DFC">
        <w:rPr>
          <w:rFonts w:ascii="Garamond" w:eastAsia="MS Mincho" w:hAnsi="Garamond" w:cs="CG Times"/>
          <w:lang w:val="sq-AL"/>
        </w:rPr>
        <w:t>Neni 35/15</w:t>
      </w:r>
    </w:p>
    <w:p w:rsidR="00D74EF3" w:rsidRPr="00B67DFC" w:rsidRDefault="00D74EF3" w:rsidP="00D74EF3">
      <w:pPr>
        <w:widowControl w:val="0"/>
        <w:jc w:val="center"/>
        <w:outlineLvl w:val="2"/>
        <w:rPr>
          <w:rFonts w:ascii="Garamond" w:eastAsia="MS Mincho" w:hAnsi="Garamond" w:cs="CG Times"/>
          <w:b/>
          <w:bCs/>
          <w:lang w:val="sq-AL"/>
        </w:rPr>
      </w:pPr>
      <w:r w:rsidRPr="00B67DFC">
        <w:rPr>
          <w:rFonts w:ascii="Garamond" w:eastAsia="MS Mincho" w:hAnsi="Garamond" w:cs="CG Times"/>
          <w:b/>
          <w:bCs/>
          <w:lang w:val="sq-AL"/>
        </w:rPr>
        <w:t xml:space="preserve"> Qëllimi i përcaktimit të kategorive bazë të përdorimit të tokës apo të strukturave në të</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Përcaktimi i kategorive bazë të përdorimit të tokës apo strukturave në të ka për qëllim:</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a) të lehtësojë procesin e </w:t>
      </w:r>
      <w:proofErr w:type="spellStart"/>
      <w:r w:rsidRPr="00B67DFC">
        <w:rPr>
          <w:rFonts w:ascii="Garamond" w:eastAsia="MS Mincho" w:hAnsi="Garamond" w:cs="CG Times"/>
          <w:lang w:val="sq-AL"/>
        </w:rPr>
        <w:t>zonimit</w:t>
      </w:r>
      <w:proofErr w:type="spellEnd"/>
      <w:r w:rsidRPr="00B67DFC">
        <w:rPr>
          <w:rFonts w:ascii="Garamond" w:eastAsia="MS Mincho" w:hAnsi="Garamond" w:cs="CG Times"/>
          <w:lang w:val="sq-AL"/>
        </w:rPr>
        <w:t xml:space="preserve"> sipas mënyrës së përdorimit të tokës;</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b) të unifikojë metodologjinë bazë, terminologjinë dhe kodet e përdorura gjatë një procesi </w:t>
      </w:r>
      <w:proofErr w:type="spellStart"/>
      <w:r w:rsidRPr="00B67DFC">
        <w:rPr>
          <w:rFonts w:ascii="Garamond" w:eastAsia="MS Mincho" w:hAnsi="Garamond" w:cs="CG Times"/>
          <w:lang w:val="sq-AL"/>
        </w:rPr>
        <w:t>zonimi</w:t>
      </w:r>
      <w:proofErr w:type="spellEnd"/>
      <w:r w:rsidRPr="00B67DFC">
        <w:rPr>
          <w:rFonts w:ascii="Garamond" w:eastAsia="MS Mincho" w:hAnsi="Garamond" w:cs="CG Times"/>
          <w:lang w:val="sq-AL"/>
        </w:rPr>
        <w:t xml:space="preserve"> sipas përdorimit të tokës në një instrument planifikimi, por pa kufizuar përdorimin e metodologjive, mënyrave dhe tipave të tjerë të </w:t>
      </w:r>
      <w:proofErr w:type="spellStart"/>
      <w:r w:rsidRPr="00B67DFC">
        <w:rPr>
          <w:rFonts w:ascii="Garamond" w:eastAsia="MS Mincho" w:hAnsi="Garamond" w:cs="CG Times"/>
          <w:lang w:val="sq-AL"/>
        </w:rPr>
        <w:t>zonimit</w:t>
      </w:r>
      <w:proofErr w:type="spellEnd"/>
      <w:r w:rsidRPr="00B67DFC">
        <w:rPr>
          <w:rFonts w:ascii="Garamond" w:eastAsia="MS Mincho" w:hAnsi="Garamond" w:cs="CG Times"/>
          <w:lang w:val="sq-AL"/>
        </w:rPr>
        <w:t xml:space="preserve"> në përgjithësi;</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c) të krijojë një bazë krahasuese në lidhje me kategoritë e përdorimit të tokës dhe të strukturave në të </w:t>
      </w:r>
      <w:proofErr w:type="spellStart"/>
      <w:r w:rsidRPr="00B67DFC">
        <w:rPr>
          <w:rFonts w:ascii="Garamond" w:eastAsia="MS Mincho" w:hAnsi="Garamond" w:cs="CG Times"/>
          <w:lang w:val="sq-AL"/>
        </w:rPr>
        <w:t>të</w:t>
      </w:r>
      <w:proofErr w:type="spellEnd"/>
      <w:r w:rsidRPr="00B67DFC">
        <w:rPr>
          <w:rFonts w:ascii="Garamond" w:eastAsia="MS Mincho" w:hAnsi="Garamond" w:cs="CG Times"/>
          <w:lang w:val="sq-AL"/>
        </w:rPr>
        <w:t xml:space="preserve"> cilat përcaktohen në instrumentet e planifikimit nga autoritetet e planifikimit në territore të ndryshme;</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ç) të renditë kategoritë e përdorimit të tokës dhe të strukturave të </w:t>
      </w:r>
      <w:proofErr w:type="spellStart"/>
      <w:r w:rsidRPr="00B67DFC">
        <w:rPr>
          <w:rFonts w:ascii="Garamond" w:eastAsia="MS Mincho" w:hAnsi="Garamond" w:cs="CG Times"/>
          <w:lang w:val="sq-AL"/>
        </w:rPr>
        <w:t>të</w:t>
      </w:r>
      <w:proofErr w:type="spellEnd"/>
      <w:r w:rsidRPr="00B67DFC">
        <w:rPr>
          <w:rFonts w:ascii="Garamond" w:eastAsia="MS Mincho" w:hAnsi="Garamond" w:cs="CG Times"/>
          <w:lang w:val="sq-AL"/>
        </w:rPr>
        <w:t xml:space="preserve"> cilave duhet t’u referohet një autoritet planifikimi ose një zhvillues, në momentin e hartimit të një instrumenti të përgjithshëm të planifikimit, të planit të detajuar vendor ose të përgatitjes së projektit që përfshihet në kërkesën për zhvillim.</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jc w:val="center"/>
        <w:rPr>
          <w:rFonts w:ascii="Garamond" w:eastAsia="MS Mincho" w:hAnsi="Garamond" w:cs="CG Times"/>
          <w:lang w:val="sq-AL"/>
        </w:rPr>
      </w:pPr>
      <w:r w:rsidRPr="00B67DFC">
        <w:rPr>
          <w:rFonts w:ascii="Garamond" w:eastAsia="MS Mincho" w:hAnsi="Garamond" w:cs="CG Times"/>
          <w:lang w:val="sq-AL"/>
        </w:rPr>
        <w:t>Neni 35/16</w:t>
      </w:r>
    </w:p>
    <w:p w:rsidR="00D74EF3" w:rsidRPr="00B67DFC" w:rsidRDefault="00D74EF3" w:rsidP="00D74EF3">
      <w:pPr>
        <w:widowControl w:val="0"/>
        <w:jc w:val="center"/>
        <w:outlineLvl w:val="2"/>
        <w:rPr>
          <w:rFonts w:ascii="Garamond" w:eastAsia="MS Mincho" w:hAnsi="Garamond" w:cs="CG Times"/>
          <w:b/>
          <w:bCs/>
          <w:lang w:val="sq-AL"/>
        </w:rPr>
      </w:pPr>
      <w:r w:rsidRPr="00B67DFC">
        <w:rPr>
          <w:rFonts w:ascii="Garamond" w:eastAsia="MS Mincho" w:hAnsi="Garamond" w:cs="CG Times"/>
          <w:b/>
          <w:bCs/>
          <w:lang w:val="sq-AL"/>
        </w:rPr>
        <w:t xml:space="preserve"> Kategoritë bazë të përdorimit të tokës dhe të strukturave në të</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1. Kategoritë bazë të përdorimit të tokës dhe të strukturave në të shërbejnë si referencë në procesin e </w:t>
      </w:r>
      <w:proofErr w:type="spellStart"/>
      <w:r w:rsidRPr="00B67DFC">
        <w:rPr>
          <w:rFonts w:ascii="Garamond" w:eastAsia="MS Mincho" w:hAnsi="Garamond" w:cs="CG Times"/>
          <w:lang w:val="sq-AL"/>
        </w:rPr>
        <w:t>zonimit</w:t>
      </w:r>
      <w:proofErr w:type="spellEnd"/>
      <w:r w:rsidRPr="00B67DFC">
        <w:rPr>
          <w:rFonts w:ascii="Garamond" w:eastAsia="MS Mincho" w:hAnsi="Garamond" w:cs="CG Times"/>
          <w:lang w:val="sq-AL"/>
        </w:rPr>
        <w:t xml:space="preserve"> sipas përdorimit të tokës, të kryer nga çdo autoritet planifikimi. Autoritetet e planifikimit e </w:t>
      </w:r>
      <w:proofErr w:type="spellStart"/>
      <w:r w:rsidRPr="00B67DFC">
        <w:rPr>
          <w:rFonts w:ascii="Garamond" w:eastAsia="MS Mincho" w:hAnsi="Garamond" w:cs="CG Times"/>
          <w:lang w:val="sq-AL"/>
        </w:rPr>
        <w:t>zonojnë</w:t>
      </w:r>
      <w:proofErr w:type="spellEnd"/>
      <w:r w:rsidRPr="00B67DFC">
        <w:rPr>
          <w:rFonts w:ascii="Garamond" w:eastAsia="MS Mincho" w:hAnsi="Garamond" w:cs="CG Times"/>
          <w:lang w:val="sq-AL"/>
        </w:rPr>
        <w:t xml:space="preserve"> territorin nën administrimin e tyre sipas kategorive bazë të përcaktuara në këtë nen dhe sipas të gjitha nënkategorive të nevojshme dhe të rëndësishme për rastin përkatës, në përputhje me përcaktimet e kësaj rregulloreje për kategoritë bazë dhe përdorimet e lejuara, të ndaluara, kushtëzuara dhe të papërputhshme.</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2. Kategoritë bazë të përdorimit të tokës dhe të strukturave në të përcaktohen sipas katër sistemeve të mëposhtme territoriale: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a) Sistemi urban përfshin të gjitha kategoritë bazë sipas përcaktimeve të kësaj rregulloreje, përveç përdorimeve për bujqësi;</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b) Sistemi i </w:t>
      </w:r>
      <w:proofErr w:type="spellStart"/>
      <w:r w:rsidRPr="00B67DFC">
        <w:rPr>
          <w:rFonts w:ascii="Garamond" w:eastAsia="MS Mincho" w:hAnsi="Garamond" w:cs="CG Times"/>
          <w:lang w:val="sq-AL"/>
        </w:rPr>
        <w:t>urbanizueshëm</w:t>
      </w:r>
      <w:proofErr w:type="spellEnd"/>
      <w:r w:rsidRPr="00B67DFC">
        <w:rPr>
          <w:rFonts w:ascii="Garamond" w:eastAsia="MS Mincho" w:hAnsi="Garamond" w:cs="CG Times"/>
          <w:lang w:val="sq-AL"/>
        </w:rPr>
        <w:t xml:space="preserve"> përfshin zona të sistemeve të tjera, të cilat do të konvertohen në sistemin urban ose do të vazhdojnë procesin e nisur të urbanizimit në një periudhë të ardhshme, sipas parashikimeve të instrumentit të përgjithshëm të planifikimit të territorit;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c) Sistemi natyror përfshin kategorinë bazë N, sipas përcaktimeve të kësaj rregulloreje;</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lastRenderedPageBreak/>
        <w:t>ç) Sistemi bujqësor përfshin kategorinë bazë B, sipas përcaktimeve të kësaj rregulloreje.</w:t>
      </w:r>
    </w:p>
    <w:p w:rsidR="00D74EF3" w:rsidRPr="00B67DFC" w:rsidRDefault="00D74EF3" w:rsidP="006909CF">
      <w:pPr>
        <w:widowControl w:val="0"/>
        <w:ind w:firstLine="720"/>
        <w:jc w:val="both"/>
        <w:rPr>
          <w:rFonts w:ascii="Garamond" w:eastAsia="MS Mincho" w:hAnsi="Garamond" w:cs="CG Times"/>
          <w:lang w:val="sq-AL"/>
        </w:rPr>
      </w:pPr>
      <w:r w:rsidRPr="00B67DFC">
        <w:rPr>
          <w:rFonts w:ascii="Garamond" w:eastAsia="MS Mincho" w:hAnsi="Garamond" w:cs="CG Times"/>
          <w:lang w:val="sq-AL"/>
        </w:rPr>
        <w:t>3. Në çdo rast, përfshirja e një strukture apo përdorimi toke në një sistem lidhet ngushtë me funksionin e strukturës dhe parcelës apo parcelave.</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4. Autoriteti i planifikimit i referohet dhe përdor gjatë procesit të </w:t>
      </w:r>
      <w:proofErr w:type="spellStart"/>
      <w:r w:rsidRPr="00B67DFC">
        <w:rPr>
          <w:rFonts w:ascii="Garamond" w:eastAsia="MS Mincho" w:hAnsi="Garamond" w:cs="CG Times"/>
          <w:lang w:val="sq-AL"/>
        </w:rPr>
        <w:t>zonimit</w:t>
      </w:r>
      <w:proofErr w:type="spellEnd"/>
      <w:r w:rsidRPr="00B67DFC">
        <w:rPr>
          <w:rFonts w:ascii="Garamond" w:eastAsia="MS Mincho" w:hAnsi="Garamond" w:cs="CG Times"/>
          <w:lang w:val="sq-AL"/>
        </w:rPr>
        <w:t xml:space="preserve"> sipas përdorimit të tokës dhe strukturave në të këto kategori dhe kode:</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a) Përdorimi, banim: A “Banim”;</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b) Përdorimi, industri: I “Industri”;</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c) Përdorimi, bujqësi: B “Bujqësi”;</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ç) Përdorimi, shërbime: S “Shërbime”;</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d) Përdorimi, i veçantë: V “Përdorime të veçanta”;</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dh) Përdorimi, zona natyrore: N “Natyror”;</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e) Përdorimi, monumente kulture dhe historike: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M “Monumente kulture dhe historike”;</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ë) Përdorimi, zona ushtarake: U “Ushtarake”;</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f) Përdorim administrativ; ADM  “Administrativ”;</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g) Përdorim, argëtim/rekreacion; R “Argëtim rekreacion”;</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gj) Përdorim arsim; ARS “Arsim”;</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h) Përdorim, shëndetësi; H “Shëndetësi”;</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i) Përdorim, infrastrukturë; IN “Infrastrukturë”;</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j) Përdorim transport; TRN “Transport”;</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5. Organizimi i kategorive dhe nënkategorive të përdorimit të tokës dhe strukturave në të jepet i plotë në shtojcën 3 të kësaj rregulloreje.</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jc w:val="center"/>
        <w:rPr>
          <w:rFonts w:ascii="Garamond" w:eastAsia="MS Mincho" w:hAnsi="Garamond" w:cs="CG Times"/>
          <w:caps/>
          <w:lang w:val="sq-AL"/>
        </w:rPr>
      </w:pPr>
      <w:r w:rsidRPr="00B67DFC">
        <w:rPr>
          <w:rFonts w:ascii="Garamond" w:eastAsia="MS Mincho" w:hAnsi="Garamond" w:cs="CG Times"/>
          <w:caps/>
          <w:lang w:val="sq-AL"/>
        </w:rPr>
        <w:t>SEKSIONI 2</w:t>
      </w:r>
    </w:p>
    <w:p w:rsidR="00D74EF3" w:rsidRPr="00B67DFC" w:rsidRDefault="00D74EF3" w:rsidP="00D74EF3">
      <w:pPr>
        <w:widowControl w:val="0"/>
        <w:jc w:val="center"/>
        <w:rPr>
          <w:rFonts w:ascii="Garamond" w:eastAsia="MS Mincho" w:hAnsi="Garamond" w:cs="CG Times"/>
          <w:caps/>
          <w:lang w:val="sq-AL"/>
        </w:rPr>
      </w:pPr>
      <w:r w:rsidRPr="00B67DFC">
        <w:rPr>
          <w:rFonts w:ascii="Garamond" w:eastAsia="MS Mincho" w:hAnsi="Garamond" w:cs="CG Times"/>
          <w:caps/>
          <w:lang w:val="sq-AL"/>
        </w:rPr>
        <w:t>KATEGORITË E LEJUARA, TË KUSHTËZUARA DHE TË NDALUARA TË PËRDORIMIT TË TOKËS DHE TË STRUKTURAVE NË TË, NË NJË ZONË</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jc w:val="center"/>
        <w:rPr>
          <w:rFonts w:ascii="Garamond" w:eastAsia="MS Mincho" w:hAnsi="Garamond" w:cs="CG Times"/>
          <w:lang w:val="sq-AL"/>
        </w:rPr>
      </w:pPr>
      <w:r w:rsidRPr="00B67DFC">
        <w:rPr>
          <w:rFonts w:ascii="Garamond" w:eastAsia="MS Mincho" w:hAnsi="Garamond" w:cs="CG Times"/>
          <w:lang w:val="sq-AL"/>
        </w:rPr>
        <w:t>Neni 35/17</w:t>
      </w:r>
    </w:p>
    <w:p w:rsidR="00D74EF3" w:rsidRPr="00B67DFC" w:rsidRDefault="00D74EF3" w:rsidP="00D74EF3">
      <w:pPr>
        <w:widowControl w:val="0"/>
        <w:jc w:val="center"/>
        <w:outlineLvl w:val="2"/>
        <w:rPr>
          <w:rFonts w:ascii="Garamond" w:eastAsia="MS Mincho" w:hAnsi="Garamond" w:cs="CG Times"/>
          <w:b/>
          <w:bCs/>
          <w:lang w:val="sq-AL"/>
        </w:rPr>
      </w:pPr>
      <w:r w:rsidRPr="00B67DFC">
        <w:rPr>
          <w:rFonts w:ascii="Garamond" w:eastAsia="MS Mincho" w:hAnsi="Garamond" w:cs="CG Times"/>
          <w:b/>
          <w:bCs/>
          <w:lang w:val="sq-AL"/>
        </w:rPr>
        <w:t>Kategoritë e lejuara të përdorimit të tokës dhe të strukturave në të</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1. Kategoritë e lejuara të përdorimit të tokës dhe strukturave në të për një zonë të caktuar vlerësohen kategoritë e zhvillimeve të lejuara në atë zonë sipas përcaktimeve të kësaj rregulloreje për kategoritë bazë dhe në përputhje me instrumentet e planifikimit dhe të kontrollit të zhvillimit në fuqi.</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2. Kategoritë e lejuara të përdorimit të tokës dhe strukturave në të: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a) ndajnë përkatësisht përfitimet e ndërsjella;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b) nuk bien në kundërshtim me qëllimin e </w:t>
      </w:r>
      <w:proofErr w:type="spellStart"/>
      <w:r w:rsidRPr="00B67DFC">
        <w:rPr>
          <w:rFonts w:ascii="Garamond" w:eastAsia="MS Mincho" w:hAnsi="Garamond" w:cs="CG Times"/>
          <w:lang w:val="sq-AL"/>
        </w:rPr>
        <w:t>zonimit</w:t>
      </w:r>
      <w:proofErr w:type="spellEnd"/>
      <w:r w:rsidRPr="00B67DFC">
        <w:rPr>
          <w:rFonts w:ascii="Garamond" w:eastAsia="MS Mincho" w:hAnsi="Garamond" w:cs="CG Times"/>
          <w:lang w:val="sq-AL"/>
        </w:rPr>
        <w:t>, me funksionet dhe me natyrën e kategorive bazë të përdorimit të tokës dhe të strukturave në të në një zonë;</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c) përputhen me kushtet e vendosura nga dispozitat ligjore në fuqi dhe nga instrumentet e planifikimit në fuqi për sigurinë e mjedisit, të shëndetit, të tokës bujqësore dhe të vlerave historike dhe kulturore për përdorimet dhe funksionet ekzistuese dhe të autorizuara në zonën përkatëse dhe në zonat fqinje në kufi.</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3. Çdo autoritet planifikimi harton si pjesë të rregulloreve të planifikimit, një listë të kategorive dhe nënkategorive të lejuara të përdorimit në një zonë në përputhje me shtojcën 3 të kësaj rregulloreje, ku përcaktohen kriteret, rregullat, kushtet dhe standardet specifike që duhet të ndiqen për realizimin e zhvillimit të lejuar. Kjo listë mund të përfshijë edhe raste të lejuara të kombinimeve të kategorive ose nënkategorive të ndryshme të përdorimit të tokës në një zonë.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lastRenderedPageBreak/>
        <w:t xml:space="preserve">4. Në rastet kur një zhvillues, pronar apo subjekt publik përgatit një kërkesë për një zhvillim të lejuar sipas rregullores vendore të planifikimit, shqyrtimi i kërkesës bëhet në përputhje me rregulloren vendore të planifikimit, për sa kohë që ajo i përfshin të gjitha kriteret dhe rregullat e nevojshme për realizimin e zhvillimit. </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jc w:val="center"/>
        <w:rPr>
          <w:rFonts w:ascii="Garamond" w:eastAsia="MS Mincho" w:hAnsi="Garamond" w:cs="CG Times"/>
          <w:lang w:val="sq-AL"/>
        </w:rPr>
      </w:pPr>
      <w:r w:rsidRPr="00B67DFC">
        <w:rPr>
          <w:rFonts w:ascii="Garamond" w:eastAsia="MS Mincho" w:hAnsi="Garamond" w:cs="CG Times"/>
          <w:lang w:val="sq-AL"/>
        </w:rPr>
        <w:t>Neni 35/18</w:t>
      </w:r>
    </w:p>
    <w:p w:rsidR="00D74EF3" w:rsidRPr="00B67DFC" w:rsidRDefault="00D74EF3" w:rsidP="00D74EF3">
      <w:pPr>
        <w:widowControl w:val="0"/>
        <w:jc w:val="center"/>
        <w:outlineLvl w:val="2"/>
        <w:rPr>
          <w:rFonts w:ascii="Garamond" w:eastAsia="MS Mincho" w:hAnsi="Garamond" w:cs="CG Times"/>
          <w:b/>
          <w:bCs/>
          <w:lang w:val="sq-AL"/>
        </w:rPr>
      </w:pPr>
      <w:r w:rsidRPr="00B67DFC">
        <w:rPr>
          <w:rFonts w:ascii="Garamond" w:eastAsia="MS Mincho" w:hAnsi="Garamond" w:cs="CG Times"/>
          <w:b/>
          <w:bCs/>
          <w:lang w:val="sq-AL"/>
        </w:rPr>
        <w:t xml:space="preserve"> Kategoritë e ndaluara të përdorimit të tokës dhe strukturave në të</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1. Për kategoritë e ndaluara të përdorimit të tokës dhe të strukturave në të për një zonë të caktuar vlerësohen zhvillimet e ndaluara në atë zonë, sipas përcaktimeve të kësaj rregulloreje për kategoritë bazë dhe në përputhje me instrumentet e përgjithshme të planifikimit në fuqi.</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2. Kategoritë e ndaluara të përdorimit të tokës dhe të strukturave në të në një zonë hartohen në rregulloret e planifikimit në fuqi.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3. Kriteret që ndjek një autoritet planifikimi për të përcaktuar zhvillimet e ndaluara në një zonë, por pa u kufizuar vetëm në to, janë si më poshtë vijon:</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a) Kategoritë e përdorimit të tokës që bien në kundërshtim me qëllimet e </w:t>
      </w:r>
      <w:proofErr w:type="spellStart"/>
      <w:r w:rsidRPr="00B67DFC">
        <w:rPr>
          <w:rFonts w:ascii="Garamond" w:eastAsia="MS Mincho" w:hAnsi="Garamond" w:cs="CG Times"/>
          <w:lang w:val="sq-AL"/>
        </w:rPr>
        <w:t>zonimit</w:t>
      </w:r>
      <w:proofErr w:type="spellEnd"/>
      <w:r w:rsidRPr="00B67DFC">
        <w:rPr>
          <w:rFonts w:ascii="Garamond" w:eastAsia="MS Mincho" w:hAnsi="Garamond" w:cs="CG Times"/>
          <w:lang w:val="sq-AL"/>
        </w:rPr>
        <w:t>, sipas përcaktimeve të kësaj rregulloreje dhe instrumenteve të planifikimit në fuqi;</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b) Kur një zhvillim kërkohet të realizohet në një zonë që i përket një kategorie bazë të ndryshme nga ajo e zhvillimit të kërkuar, për sa kohë që nuk parashikohet ndryshe dhe në mënyrë të argumentuar në instrumentin e planifikimit në fuqi;</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c) Çdo përdorim që pavarësisht nga kategoria bazë së cilës i përket, krijon ndotje në mjedis përtej parametrave dhe standardeve të parashikuar në legjislacionin e posaçëm mjedisor, dëmton shëndetin, dëmton strukturat dhe monumentet e trashëgimisë kulturore;</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ç) Çdo zhvillim në tokë bujqësore, që edhe pse mund të jetë brenda kategorisë bazë të përdorimit të tokës dhe strukturës në të, nuk respekton rregullat, standardet dhe treguesit e planifikimit dhe të zhvillimit, sipas përcaktimeve të kësaj rregulloreje dhe të instrumenteve të planifikimit në fuqi.</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jc w:val="center"/>
        <w:rPr>
          <w:rFonts w:ascii="Garamond" w:eastAsia="MS Mincho" w:hAnsi="Garamond" w:cs="CG Times"/>
          <w:lang w:val="sq-AL"/>
        </w:rPr>
      </w:pPr>
      <w:r w:rsidRPr="00B67DFC">
        <w:rPr>
          <w:rFonts w:ascii="Garamond" w:eastAsia="MS Mincho" w:hAnsi="Garamond" w:cs="CG Times"/>
          <w:lang w:val="sq-AL"/>
        </w:rPr>
        <w:t>Neni 35/19</w:t>
      </w:r>
    </w:p>
    <w:p w:rsidR="00D74EF3" w:rsidRPr="00B67DFC" w:rsidRDefault="00D74EF3" w:rsidP="00D74EF3">
      <w:pPr>
        <w:widowControl w:val="0"/>
        <w:jc w:val="center"/>
        <w:outlineLvl w:val="2"/>
        <w:rPr>
          <w:rFonts w:ascii="Garamond" w:eastAsia="MS Mincho" w:hAnsi="Garamond" w:cs="CG Times"/>
          <w:b/>
          <w:bCs/>
          <w:lang w:val="sq-AL"/>
        </w:rPr>
      </w:pPr>
      <w:r w:rsidRPr="00B67DFC">
        <w:rPr>
          <w:rFonts w:ascii="Garamond" w:eastAsia="MS Mincho" w:hAnsi="Garamond" w:cs="CG Times"/>
          <w:b/>
          <w:bCs/>
          <w:lang w:val="sq-AL"/>
        </w:rPr>
        <w:t xml:space="preserve"> Kategoritë e kushtëzuara të përdorimit të tokës dhe të strukturave në të</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1. Për kategoritë e kushtëzuara të përdorimit të tokës dhe të strukturave në të për një zonë të caktuar vlerësohen zhvillimet jo të ndaluara, realizimi i të cilave lejohet përmes plotësimit të kushteve shtesë ose të reja në kërkesën përkatëse për zhvillim dhe në përputhje me përcaktimet e kësaj rregulloreje dhe të rregulloreve të planifikimit e të kontrollit të zhvillimit në fuqi.</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2. Autoriteti i planifikimit harton një listë të zhvillimeve të kushtëzuara, si pjesë e rregullores së planifikimit dhe mund të parashikojë kushte shtesë në rregulloren e planifikimit ose vlerëson përfshirjen e kushteve të posaçme për çdo rast, në formularin e kërkesës për zhvillim.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3. Në çdo rast, nëse një autoritet planifikimi nuk ka përcaktuar paraprakisht nëse një zhvillim është i lejuar, i ndaluar ose i kushtëzuar, ose nuk ka parashikuar kushte shtesë për zhvillimin e kushtëzuar, ai mund t‘i kërkojë zhvilluesit të përgatitë një studim të ndikimit nga zhvillimi para se të vendosë për lejimin ose jo të zhvillimit. </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jc w:val="center"/>
        <w:rPr>
          <w:rFonts w:ascii="Garamond" w:eastAsia="MS Mincho" w:hAnsi="Garamond" w:cs="CG Times"/>
          <w:caps/>
          <w:lang w:val="sq-AL"/>
        </w:rPr>
      </w:pPr>
      <w:r w:rsidRPr="00B67DFC">
        <w:rPr>
          <w:rFonts w:ascii="Garamond" w:eastAsia="MS Mincho" w:hAnsi="Garamond" w:cs="CG Times"/>
          <w:caps/>
          <w:lang w:val="sq-AL"/>
        </w:rPr>
        <w:t>SEKSIONI 3</w:t>
      </w:r>
    </w:p>
    <w:p w:rsidR="00D74EF3" w:rsidRPr="00B67DFC" w:rsidRDefault="00D74EF3" w:rsidP="00D74EF3">
      <w:pPr>
        <w:widowControl w:val="0"/>
        <w:jc w:val="center"/>
        <w:rPr>
          <w:rFonts w:ascii="Garamond" w:eastAsia="MS Mincho" w:hAnsi="Garamond" w:cs="CG Times"/>
          <w:caps/>
          <w:lang w:val="sq-AL"/>
        </w:rPr>
      </w:pPr>
      <w:r w:rsidRPr="00B67DFC">
        <w:rPr>
          <w:rFonts w:ascii="Garamond" w:eastAsia="MS Mincho" w:hAnsi="Garamond" w:cs="CG Times"/>
          <w:caps/>
          <w:lang w:val="sq-AL"/>
        </w:rPr>
        <w:t>ZONAT PËR TË CILAT PËRCAKTOHEN TREGUESIT E PLANIFIKIMIT DHE TË ZHVILLIMIT</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jc w:val="center"/>
        <w:rPr>
          <w:rFonts w:ascii="Garamond" w:eastAsia="MS Mincho" w:hAnsi="Garamond" w:cs="CG Times"/>
          <w:lang w:val="sq-AL"/>
        </w:rPr>
      </w:pPr>
      <w:r w:rsidRPr="00B67DFC">
        <w:rPr>
          <w:rFonts w:ascii="Garamond" w:eastAsia="MS Mincho" w:hAnsi="Garamond" w:cs="CG Times"/>
          <w:lang w:val="sq-AL"/>
        </w:rPr>
        <w:t>Neni 35/20</w:t>
      </w:r>
    </w:p>
    <w:p w:rsidR="00D74EF3" w:rsidRPr="00B67DFC" w:rsidRDefault="00D74EF3" w:rsidP="00D74EF3">
      <w:pPr>
        <w:widowControl w:val="0"/>
        <w:jc w:val="center"/>
        <w:outlineLvl w:val="2"/>
        <w:rPr>
          <w:rFonts w:ascii="Garamond" w:eastAsia="MS Mincho" w:hAnsi="Garamond" w:cs="CG Times"/>
          <w:b/>
          <w:bCs/>
          <w:lang w:val="sq-AL"/>
        </w:rPr>
      </w:pPr>
      <w:r w:rsidRPr="00B67DFC">
        <w:rPr>
          <w:rFonts w:ascii="Garamond" w:eastAsia="MS Mincho" w:hAnsi="Garamond" w:cs="CG Times"/>
          <w:b/>
          <w:bCs/>
          <w:lang w:val="sq-AL"/>
        </w:rPr>
        <w:t xml:space="preserve">Zonat në të cilat është e detyrueshme të përcaktohen treguesit e planifikimit dhe të zhvillimit </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Zonat në të cilat është e detyrueshme të përcaktohen treguesit e planifikimit dhe të zhvillimit sipas përcaktimeve të kësaj rregulloreje, janë </w:t>
      </w:r>
      <w:proofErr w:type="spellStart"/>
      <w:r w:rsidRPr="00B67DFC">
        <w:rPr>
          <w:rFonts w:ascii="Garamond" w:eastAsia="MS Mincho" w:hAnsi="Garamond" w:cs="CG Times"/>
          <w:lang w:val="sq-AL"/>
        </w:rPr>
        <w:t>nënnjësitë</w:t>
      </w:r>
      <w:proofErr w:type="spellEnd"/>
      <w:r w:rsidRPr="00B67DFC">
        <w:rPr>
          <w:rFonts w:ascii="Garamond" w:eastAsia="MS Mincho" w:hAnsi="Garamond" w:cs="CG Times"/>
          <w:lang w:val="sq-AL"/>
        </w:rPr>
        <w:t xml:space="preserve"> strukturore, zonat për prioritet zhvillimi dhe, sipas rastit, edhe njësitë strukturore, të gjitha të caktuara paraprakisht nga instrumenti i përgjithshëm vendor ose </w:t>
      </w:r>
      <w:proofErr w:type="spellStart"/>
      <w:r w:rsidRPr="00B67DFC">
        <w:rPr>
          <w:rFonts w:ascii="Garamond" w:eastAsia="MS Mincho" w:hAnsi="Garamond" w:cs="CG Times"/>
          <w:lang w:val="sq-AL"/>
        </w:rPr>
        <w:t>ndërvendor</w:t>
      </w:r>
      <w:proofErr w:type="spellEnd"/>
      <w:r w:rsidRPr="00B67DFC">
        <w:rPr>
          <w:rFonts w:ascii="Garamond" w:eastAsia="MS Mincho" w:hAnsi="Garamond" w:cs="CG Times"/>
          <w:lang w:val="sq-AL"/>
        </w:rPr>
        <w:t xml:space="preserve"> i planifikimit. </w:t>
      </w:r>
    </w:p>
    <w:p w:rsidR="006909CF" w:rsidRPr="00B67DFC" w:rsidRDefault="006909CF" w:rsidP="00D74EF3">
      <w:pPr>
        <w:widowControl w:val="0"/>
        <w:jc w:val="center"/>
        <w:rPr>
          <w:rFonts w:ascii="Garamond" w:eastAsia="MS Mincho" w:hAnsi="Garamond" w:cs="CG Times"/>
          <w:lang w:val="sq-AL"/>
        </w:rPr>
      </w:pPr>
    </w:p>
    <w:p w:rsidR="00D74EF3" w:rsidRPr="00B67DFC" w:rsidRDefault="00D74EF3" w:rsidP="00D74EF3">
      <w:pPr>
        <w:widowControl w:val="0"/>
        <w:jc w:val="center"/>
        <w:rPr>
          <w:rFonts w:ascii="Garamond" w:eastAsia="MS Mincho" w:hAnsi="Garamond" w:cs="CG Times"/>
          <w:lang w:val="sq-AL"/>
        </w:rPr>
      </w:pPr>
      <w:r w:rsidRPr="00B67DFC">
        <w:rPr>
          <w:rFonts w:ascii="Garamond" w:eastAsia="MS Mincho" w:hAnsi="Garamond" w:cs="CG Times"/>
          <w:lang w:val="sq-AL"/>
        </w:rPr>
        <w:t>Neni 35/21</w:t>
      </w:r>
    </w:p>
    <w:p w:rsidR="00D74EF3" w:rsidRPr="00B67DFC" w:rsidRDefault="00D74EF3" w:rsidP="00D74EF3">
      <w:pPr>
        <w:widowControl w:val="0"/>
        <w:jc w:val="center"/>
        <w:outlineLvl w:val="2"/>
        <w:rPr>
          <w:rFonts w:ascii="Garamond" w:eastAsia="MS Mincho" w:hAnsi="Garamond" w:cs="CG Times"/>
          <w:b/>
          <w:bCs/>
          <w:lang w:val="sq-AL"/>
        </w:rPr>
      </w:pPr>
      <w:r w:rsidRPr="00B67DFC">
        <w:rPr>
          <w:rFonts w:ascii="Garamond" w:eastAsia="MS Mincho" w:hAnsi="Garamond" w:cs="CG Times"/>
          <w:b/>
          <w:bCs/>
          <w:lang w:val="sq-AL"/>
        </w:rPr>
        <w:t xml:space="preserve"> Kriteret e detyrueshme të përcaktimit të njësive strukturore</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Autoriteti i planifikimit përcakton kufijtë e njësive strukturore, duke iu referuar këtyre kritereve të detyrueshme, por pa u kufizuar vetëm në to:</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a) Kufizimi nga rrjeti rrugor kryesor ekzistues dhe/ose i propozuar, dhe sipas rastit edhe nga kufizues të tjerë natyralë e artificialë, të cilët krijojnë elemente me karakter qartësisht të matshëm në territor dhe, sipas rastit, mund të përfshijnë linja hekurudhore, vija ujore, lumenj ose përrenj, kanale të hapura, breza sanitarë dhe të tjera të kësaj natyre;</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b) Ekzistenca e një ekuilibri midis përdorimeve dhe funksioneve brenda çdo njësie strukturore, që përcaktohet përmes treguesve të planifikimit dhe të zhvillimit, të cilët garantohen në çdo </w:t>
      </w:r>
      <w:proofErr w:type="spellStart"/>
      <w:r w:rsidRPr="00B67DFC">
        <w:rPr>
          <w:rFonts w:ascii="Garamond" w:eastAsia="MS Mincho" w:hAnsi="Garamond" w:cs="CG Times"/>
          <w:lang w:val="sq-AL"/>
        </w:rPr>
        <w:t>nënnjesi</w:t>
      </w:r>
      <w:proofErr w:type="spellEnd"/>
      <w:r w:rsidRPr="00B67DFC">
        <w:rPr>
          <w:rFonts w:ascii="Garamond" w:eastAsia="MS Mincho" w:hAnsi="Garamond" w:cs="CG Times"/>
          <w:lang w:val="sq-AL"/>
        </w:rPr>
        <w:t xml:space="preserve"> përbërëse të njësisë strukturore;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c) Ekzistenca e funksioneve urbane që plotësojnë njëri-tjetrin dhe nevojat e popullatës urbane;</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ç) Bashkekzistenca e përdorimeve të tokës dhe të strukturave në një njësi strukturore që janë të përputhshme dhe nuk paraqesin raste të përdorimeve të ndaluara ose, sipas rastit, ekzistenca e përdorimit homogjen të tokës dhe strukturave në të, në të gjithë njësinë;</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d) Rëndësia që ka njësia strukturore në historinë territoriale </w:t>
      </w:r>
      <w:proofErr w:type="spellStart"/>
      <w:r w:rsidRPr="00B67DFC">
        <w:rPr>
          <w:rFonts w:ascii="Garamond" w:eastAsia="MS Mincho" w:hAnsi="Garamond" w:cs="CG Times"/>
          <w:lang w:val="sq-AL"/>
        </w:rPr>
        <w:t>qytetformuese</w:t>
      </w:r>
      <w:proofErr w:type="spellEnd"/>
      <w:r w:rsidRPr="00B67DFC">
        <w:rPr>
          <w:rFonts w:ascii="Garamond" w:eastAsia="MS Mincho" w:hAnsi="Garamond" w:cs="CG Times"/>
          <w:lang w:val="sq-AL"/>
        </w:rPr>
        <w:t xml:space="preserve"> të territorit përkatës;</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dh) Ekzistenca e identiteteve dhe karakteristikave të veçanta që njësia strukturore mund të ketë, duke përfshirë vlerat e trashëgimisë kulturore dhe vlera të rëndësishme mjedisore.</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jc w:val="center"/>
        <w:rPr>
          <w:rFonts w:ascii="Garamond" w:eastAsia="MS Mincho" w:hAnsi="Garamond" w:cs="CG Times"/>
          <w:lang w:val="sq-AL"/>
        </w:rPr>
      </w:pPr>
      <w:r w:rsidRPr="00B67DFC">
        <w:rPr>
          <w:rFonts w:ascii="Garamond" w:eastAsia="MS Mincho" w:hAnsi="Garamond" w:cs="CG Times"/>
          <w:lang w:val="sq-AL"/>
        </w:rPr>
        <w:t>Neni 35/22</w:t>
      </w:r>
    </w:p>
    <w:p w:rsidR="00D74EF3" w:rsidRPr="00B67DFC" w:rsidRDefault="00D74EF3" w:rsidP="00D74EF3">
      <w:pPr>
        <w:widowControl w:val="0"/>
        <w:jc w:val="center"/>
        <w:outlineLvl w:val="2"/>
        <w:rPr>
          <w:rFonts w:ascii="Garamond" w:eastAsia="MS Mincho" w:hAnsi="Garamond" w:cs="CG Times"/>
          <w:b/>
          <w:bCs/>
          <w:lang w:val="sq-AL"/>
        </w:rPr>
      </w:pPr>
      <w:r w:rsidRPr="00B67DFC">
        <w:rPr>
          <w:rFonts w:ascii="Garamond" w:eastAsia="MS Mincho" w:hAnsi="Garamond" w:cs="CG Times"/>
          <w:b/>
          <w:bCs/>
          <w:lang w:val="sq-AL"/>
        </w:rPr>
        <w:t xml:space="preserve">Kriteret e detyrueshme të përcaktimit të </w:t>
      </w:r>
      <w:proofErr w:type="spellStart"/>
      <w:r w:rsidRPr="00B67DFC">
        <w:rPr>
          <w:rFonts w:ascii="Garamond" w:eastAsia="MS Mincho" w:hAnsi="Garamond" w:cs="CG Times"/>
          <w:b/>
          <w:bCs/>
          <w:lang w:val="sq-AL"/>
        </w:rPr>
        <w:t>nënnjësive</w:t>
      </w:r>
      <w:proofErr w:type="spellEnd"/>
      <w:r w:rsidRPr="00B67DFC">
        <w:rPr>
          <w:rFonts w:ascii="Garamond" w:eastAsia="MS Mincho" w:hAnsi="Garamond" w:cs="CG Times"/>
          <w:b/>
          <w:bCs/>
          <w:lang w:val="sq-AL"/>
        </w:rPr>
        <w:t xml:space="preserve"> strukturore</w:t>
      </w:r>
    </w:p>
    <w:p w:rsidR="00D74EF3" w:rsidRPr="00B67DFC" w:rsidRDefault="00D74EF3" w:rsidP="00D74EF3">
      <w:pPr>
        <w:widowControl w:val="0"/>
        <w:ind w:firstLine="720"/>
        <w:jc w:val="both"/>
        <w:rPr>
          <w:rFonts w:ascii="Garamond" w:eastAsia="MS Mincho" w:hAnsi="Garamond" w:cs="CG Times"/>
          <w:lang w:val="sq-AL"/>
        </w:rPr>
      </w:pP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1. </w:t>
      </w:r>
      <w:proofErr w:type="spellStart"/>
      <w:r w:rsidRPr="00B67DFC">
        <w:rPr>
          <w:rFonts w:ascii="Garamond" w:eastAsia="MS Mincho" w:hAnsi="Garamond" w:cs="CG Times"/>
          <w:lang w:val="sq-AL"/>
        </w:rPr>
        <w:t>Nënnjësia</w:t>
      </w:r>
      <w:proofErr w:type="spellEnd"/>
      <w:r w:rsidRPr="00B67DFC">
        <w:rPr>
          <w:rFonts w:ascii="Garamond" w:eastAsia="MS Mincho" w:hAnsi="Garamond" w:cs="CG Times"/>
          <w:lang w:val="sq-AL"/>
        </w:rPr>
        <w:t xml:space="preserve"> strukturore është një nënndarje e njësisë strukturore. Bëhet për qëllime të planifikimit, të zbatimi të instrumentit të planifikimit, të realizimit dhe kontrollit të zhvillimit dhe përbën qelizën më të vogël të planifikimit dhe qelizën më të madhe të zhvillimit në një territor. Çdo kërkesë për zhvillim bazohet në treguesit e planifikimit dhe kushtet e zhvillimit që vendosen në </w:t>
      </w:r>
      <w:proofErr w:type="spellStart"/>
      <w:r w:rsidRPr="00B67DFC">
        <w:rPr>
          <w:rFonts w:ascii="Garamond" w:eastAsia="MS Mincho" w:hAnsi="Garamond" w:cs="CG Times"/>
          <w:lang w:val="sq-AL"/>
        </w:rPr>
        <w:t>nënnjësinë</w:t>
      </w:r>
      <w:proofErr w:type="spellEnd"/>
      <w:r w:rsidRPr="00B67DFC">
        <w:rPr>
          <w:rFonts w:ascii="Garamond" w:eastAsia="MS Mincho" w:hAnsi="Garamond" w:cs="CG Times"/>
          <w:lang w:val="sq-AL"/>
        </w:rPr>
        <w:t xml:space="preserve"> strukturore përkatëse.</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2. Një </w:t>
      </w:r>
      <w:proofErr w:type="spellStart"/>
      <w:r w:rsidRPr="00B67DFC">
        <w:rPr>
          <w:rFonts w:ascii="Garamond" w:eastAsia="MS Mincho" w:hAnsi="Garamond" w:cs="CG Times"/>
          <w:lang w:val="sq-AL"/>
        </w:rPr>
        <w:t>nënnjësi</w:t>
      </w:r>
      <w:proofErr w:type="spellEnd"/>
      <w:r w:rsidRPr="00B67DFC">
        <w:rPr>
          <w:rFonts w:ascii="Garamond" w:eastAsia="MS Mincho" w:hAnsi="Garamond" w:cs="CG Times"/>
          <w:lang w:val="sq-AL"/>
        </w:rPr>
        <w:t xml:space="preserve"> strukturore mund të përputhet me një njësi strukturore, kur:</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a) njësia strukturore, edhe pse me sipërfaqe të madhe, ka përdorim homogjen dhe tregues të njëtrajtshëm të planifikimit dhe të zhvillimit, e tillë si një sipërfaqeje bujqësore, pyll, park, kullotë;</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b) qendra e banuar që trajtohet nga instrumenti i përgjithshëm vendor i planifikimit është aq e vogël në sipërfaqe dhe popullsi, sa numri i njësive strukturore është tepër i kufizuar dhe këto të fundit kanë sipërfaqe të vogël.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lastRenderedPageBreak/>
        <w:t xml:space="preserve">3. Autoriteti i planifikimit garanton që treguesit e planifikimit dhe të zhvillimit parashikohen me përpikëri sipas përcaktimeve të kësaj rregulloreje dhe nuk krijohen pengesa në procesin e zhvillimit edhe nëse një njësi strukturore nuk ndahet në </w:t>
      </w:r>
      <w:proofErr w:type="spellStart"/>
      <w:r w:rsidRPr="00B67DFC">
        <w:rPr>
          <w:rFonts w:ascii="Garamond" w:eastAsia="MS Mincho" w:hAnsi="Garamond" w:cs="CG Times"/>
          <w:lang w:val="sq-AL"/>
        </w:rPr>
        <w:t>nënnjësi</w:t>
      </w:r>
      <w:proofErr w:type="spellEnd"/>
      <w:r w:rsidRPr="00B67DFC">
        <w:rPr>
          <w:rFonts w:ascii="Garamond" w:eastAsia="MS Mincho" w:hAnsi="Garamond" w:cs="CG Times"/>
          <w:lang w:val="sq-AL"/>
        </w:rPr>
        <w:t xml:space="preserve"> strukturore, për arsyet e përmendura në këtë nen.</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 4. </w:t>
      </w:r>
      <w:proofErr w:type="spellStart"/>
      <w:r w:rsidRPr="00B67DFC">
        <w:rPr>
          <w:rFonts w:ascii="Garamond" w:eastAsia="MS Mincho" w:hAnsi="Garamond" w:cs="CG Times"/>
          <w:lang w:val="sq-AL"/>
        </w:rPr>
        <w:t>Nënnjësitë</w:t>
      </w:r>
      <w:proofErr w:type="spellEnd"/>
      <w:r w:rsidRPr="00B67DFC">
        <w:rPr>
          <w:rFonts w:ascii="Garamond" w:eastAsia="MS Mincho" w:hAnsi="Garamond" w:cs="CG Times"/>
          <w:lang w:val="sq-AL"/>
        </w:rPr>
        <w:t xml:space="preserve"> strukturore krijohen në përputhje me përcaktimet e pikës 6 të këtij neni, dhe nga mbivendosja e hartës së kategorive të përdorimeve të tokës dhe të strukturave në të, sipas rastit, të propozuara ose ekzistuese, me hartat e tjera të planit të propozuar të përdorimit të tokës dhe planit të infrastrukturave dhe shërbimeve sipas përcaktimeve të kësaj rregulloreje.</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5. Autoriteti i planifikimit krijon </w:t>
      </w:r>
      <w:proofErr w:type="spellStart"/>
      <w:r w:rsidRPr="00B67DFC">
        <w:rPr>
          <w:rFonts w:ascii="Garamond" w:eastAsia="MS Mincho" w:hAnsi="Garamond" w:cs="CG Times"/>
          <w:lang w:val="sq-AL"/>
        </w:rPr>
        <w:t>nënnjësitë</w:t>
      </w:r>
      <w:proofErr w:type="spellEnd"/>
      <w:r w:rsidRPr="00B67DFC">
        <w:rPr>
          <w:rFonts w:ascii="Garamond" w:eastAsia="MS Mincho" w:hAnsi="Garamond" w:cs="CG Times"/>
          <w:lang w:val="sq-AL"/>
        </w:rPr>
        <w:t xml:space="preserve"> strukturore të gjendjes ekzistuese, duke u mbështetur në informacionin ekzistues për territorin nëse mungojnë instrumentet përkatëse të planifikimit.</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6. Në çdo rast, kriteret e detyrueshme për përcaktimin e një </w:t>
      </w:r>
      <w:proofErr w:type="spellStart"/>
      <w:r w:rsidRPr="00B67DFC">
        <w:rPr>
          <w:rFonts w:ascii="Garamond" w:eastAsia="MS Mincho" w:hAnsi="Garamond" w:cs="CG Times"/>
          <w:lang w:val="sq-AL"/>
        </w:rPr>
        <w:t>nënnjësie</w:t>
      </w:r>
      <w:proofErr w:type="spellEnd"/>
      <w:r w:rsidRPr="00B67DFC">
        <w:rPr>
          <w:rFonts w:ascii="Garamond" w:eastAsia="MS Mincho" w:hAnsi="Garamond" w:cs="CG Times"/>
          <w:lang w:val="sq-AL"/>
        </w:rPr>
        <w:t xml:space="preserve"> strukturore, por pa u kufizuar vetëm në to, përfshijnë:</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a) garantimin e </w:t>
      </w:r>
      <w:proofErr w:type="spellStart"/>
      <w:r w:rsidRPr="00B67DFC">
        <w:rPr>
          <w:rFonts w:ascii="Garamond" w:eastAsia="MS Mincho" w:hAnsi="Garamond" w:cs="CG Times"/>
          <w:lang w:val="sq-AL"/>
        </w:rPr>
        <w:t>kompaktësise</w:t>
      </w:r>
      <w:proofErr w:type="spellEnd"/>
      <w:r w:rsidRPr="00B67DFC">
        <w:rPr>
          <w:rFonts w:ascii="Garamond" w:eastAsia="MS Mincho" w:hAnsi="Garamond" w:cs="CG Times"/>
          <w:lang w:val="sq-AL"/>
        </w:rPr>
        <w:t xml:space="preserve"> dhe njëtrajtshmërisë së tipologjisë hapësinore ekzistuese ose të propozuar; </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b) ekzistencën e treguesve të njëtrajtshëm të planifikimit dhe të zhvillimit;</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c) ekzistencën e përdorimit homogjen të tokës dhe të strukturave në të, sipas shkronjës “ç”, kategorive bazë të përdorimit dhe nënkategorive të përdorimit të parashikuara nga autoriteti i planifikimit, përfshirë edhe funksione ose aktivitete homogjene. Në rastet kur për arsye të përligjura, </w:t>
      </w:r>
      <w:proofErr w:type="spellStart"/>
      <w:r w:rsidRPr="00B67DFC">
        <w:rPr>
          <w:rFonts w:ascii="Garamond" w:eastAsia="MS Mincho" w:hAnsi="Garamond" w:cs="CG Times"/>
          <w:lang w:val="sq-AL"/>
        </w:rPr>
        <w:t>nënnjësia</w:t>
      </w:r>
      <w:proofErr w:type="spellEnd"/>
      <w:r w:rsidRPr="00B67DFC">
        <w:rPr>
          <w:rFonts w:ascii="Garamond" w:eastAsia="MS Mincho" w:hAnsi="Garamond" w:cs="CG Times"/>
          <w:lang w:val="sq-AL"/>
        </w:rPr>
        <w:t xml:space="preserve"> ka ose parashikohet të ketë përdorim të përzier, atëherë treguesit e zhvillimit dhe të planifikimit paraqiten për çdo kategori ose nënkategori përdorimi;</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ç) ekzistencën e vlerave të rëndësishme të trashëgimisë kulturore dhe aspekte të rëndësishme të mjedisit dhe të shëndetit, sipas rastit;</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d) kufizimin nga rrjeti rrugor, pavarësisht nga kategoritë e rrugëve dhe, nëse është rasti, nga linja hekurudhore, kanale të hapura, breza sanitarë, vija ujore, përrenj, lumenj dhe të tjera të kësaj natyre;</w:t>
      </w:r>
    </w:p>
    <w:p w:rsidR="00D74EF3" w:rsidRPr="00B67DFC" w:rsidRDefault="00D74EF3" w:rsidP="00D74EF3">
      <w:pPr>
        <w:widowControl w:val="0"/>
        <w:ind w:firstLine="720"/>
        <w:jc w:val="both"/>
        <w:rPr>
          <w:rFonts w:ascii="Garamond" w:eastAsia="MS Mincho" w:hAnsi="Garamond" w:cs="CG Times"/>
          <w:lang w:val="sq-AL"/>
        </w:rPr>
      </w:pPr>
      <w:r w:rsidRPr="00B67DFC">
        <w:rPr>
          <w:rFonts w:ascii="Garamond" w:eastAsia="MS Mincho" w:hAnsi="Garamond" w:cs="CG Times"/>
          <w:lang w:val="sq-AL"/>
        </w:rPr>
        <w:t xml:space="preserve"> dh) paracaktimin e një zone me prioritet zhvillimi ose për realizimin e një projekti me rëndësi në nivel qyteti nga një instrument vendor planifikimi në fuqi, sipas rastit.</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outlineLvl w:val="0"/>
        <w:rPr>
          <w:rFonts w:ascii="Garamond" w:hAnsi="Garamond"/>
          <w:caps/>
          <w:lang w:val="sq-AL" w:bidi="en-US"/>
        </w:rPr>
      </w:pPr>
      <w:r w:rsidRPr="00B67DFC">
        <w:rPr>
          <w:rFonts w:ascii="Garamond" w:hAnsi="Garamond"/>
          <w:caps/>
          <w:lang w:val="sq-AL" w:bidi="en-US"/>
        </w:rPr>
        <w:t>KREU VI</w:t>
      </w:r>
    </w:p>
    <w:p w:rsidR="00F020CC" w:rsidRPr="00B67DFC" w:rsidRDefault="00F020CC" w:rsidP="00F020CC">
      <w:pPr>
        <w:widowControl w:val="0"/>
        <w:jc w:val="center"/>
        <w:outlineLvl w:val="0"/>
        <w:rPr>
          <w:rFonts w:ascii="Garamond" w:hAnsi="Garamond"/>
          <w:caps/>
          <w:lang w:val="sq-AL" w:bidi="en-US"/>
        </w:rPr>
      </w:pPr>
      <w:r w:rsidRPr="00B67DFC">
        <w:rPr>
          <w:rFonts w:ascii="Garamond" w:hAnsi="Garamond"/>
          <w:caps/>
          <w:lang w:val="sq-AL" w:bidi="en-US"/>
        </w:rPr>
        <w:t>DISPOZITA KALIMTARE DHE TË FUNDIT</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t>Neni 36</w:t>
      </w:r>
    </w:p>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1. Planet e përgjithshme vendore, të cilat janë në proces hartimi në momentin e fillimit me efekte të plota të ligjit nr.10 119, datë 23.4.2009 “Për planifikimin e territorit”, zbatojnë pjesën e mbetur të procesit në përputhje me përcaktimet e këtij ligji dhe të akteve nënligjore në zbatim të tij. Përmbajtja, struktura dhe formati i këtyre planeve rishikohet në përputhje me dispozitat e kësaj rregulloreje. </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2. Planet e përgjithshme vendore të hartuara dhe të miratuara nga hyrja në fuqi e ligjit nr.10 119, datë 23.4.2009 “Për planifikimin e territorit”, deri në datën e fillimit të efekteve të plota të këtij ligji, si dhe planet e depozituara për miratim po brenda kësaj periudhe, rishikohen dhe punohen sipas përcaktimeve të nenit 50 të ligjit nr.10 119, datë 23.4.2009 “Për planifikimin e territorit”, dhe aktet nënligjore në zbatim të tij. </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3. Njësitë e qeverisjes vendore, që janë subjekt i përcaktimeve të pikave 2 dhe 3 të këtij neni, zbatojnë vendimin e Këshillit të Ministrave “Për miratimin e rregullores model të planifikimit”, deri në momentin e miratimit të planeve të përgjithshme vendore. </w:t>
      </w: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 xml:space="preserve">4. Miratimi i akteve të përcaktuara në pikat 1 dhe 2 të këtij neni kryhet sipas </w:t>
      </w:r>
      <w:r w:rsidRPr="00B67DFC">
        <w:rPr>
          <w:rFonts w:ascii="Garamond" w:hAnsi="Garamond"/>
          <w:lang w:val="sq-AL" w:bidi="en-US"/>
        </w:rPr>
        <w:lastRenderedPageBreak/>
        <w:t>parashikimeve të nenit 89 të ligjit nr.10 119 datë 23.4.2009 “Për planifikimin e territorit”.</w:t>
      </w:r>
    </w:p>
    <w:p w:rsidR="00F020CC" w:rsidRPr="00B67DFC" w:rsidRDefault="00F020CC" w:rsidP="00F020CC">
      <w:pPr>
        <w:widowControl w:val="0"/>
        <w:jc w:val="both"/>
        <w:rPr>
          <w:rFonts w:ascii="Garamond" w:hAnsi="Garamond"/>
          <w:lang w:val="sq-AL" w:bidi="en-US"/>
        </w:rPr>
      </w:pPr>
    </w:p>
    <w:p w:rsidR="00F020CC" w:rsidRPr="00B67DFC" w:rsidRDefault="00F020CC" w:rsidP="00F020CC">
      <w:pPr>
        <w:widowControl w:val="0"/>
        <w:ind w:firstLine="720"/>
        <w:jc w:val="center"/>
        <w:rPr>
          <w:rFonts w:ascii="Garamond" w:hAnsi="Garamond"/>
          <w:lang w:val="sq-AL" w:bidi="en-US"/>
        </w:rPr>
      </w:pPr>
      <w:r w:rsidRPr="00B67DFC">
        <w:rPr>
          <w:rFonts w:ascii="Garamond" w:hAnsi="Garamond"/>
          <w:lang w:val="sq-AL" w:bidi="en-US"/>
        </w:rPr>
        <w:t>SHTOJCA 2</w:t>
      </w:r>
    </w:p>
    <w:p w:rsidR="00F020CC" w:rsidRPr="00B67DFC" w:rsidRDefault="00F020CC" w:rsidP="00F020CC">
      <w:pPr>
        <w:widowControl w:val="0"/>
        <w:ind w:firstLine="720"/>
        <w:jc w:val="center"/>
        <w:rPr>
          <w:rFonts w:ascii="Garamond" w:hAnsi="Garamond"/>
          <w:lang w:val="sq-AL" w:bidi="en-US"/>
        </w:rPr>
      </w:pPr>
      <w:r w:rsidRPr="00B67DFC">
        <w:rPr>
          <w:rFonts w:ascii="Garamond" w:hAnsi="Garamond"/>
          <w:lang w:val="sq-AL" w:bidi="en-US"/>
        </w:rPr>
        <w:t>PËRCAKTIME PËR PLANIN E PËRGJITHSHËM VENDOR</w:t>
      </w:r>
    </w:p>
    <w:p w:rsidR="00F020CC" w:rsidRPr="00B67DFC" w:rsidRDefault="00F020CC" w:rsidP="00F020CC">
      <w:pPr>
        <w:widowControl w:val="0"/>
        <w:ind w:firstLine="720"/>
        <w:jc w:val="center"/>
        <w:rPr>
          <w:rFonts w:ascii="Garamond" w:hAnsi="Garamond"/>
          <w:lang w:val="sq-AL" w:bidi="en-US"/>
        </w:rPr>
      </w:pPr>
    </w:p>
    <w:p w:rsidR="00F020CC" w:rsidRPr="00B67DFC" w:rsidRDefault="00F020CC" w:rsidP="00F020CC">
      <w:pPr>
        <w:widowControl w:val="0"/>
        <w:ind w:firstLine="720"/>
        <w:jc w:val="center"/>
        <w:rPr>
          <w:rFonts w:ascii="Garamond" w:hAnsi="Garamond"/>
          <w:lang w:val="sq-AL" w:bidi="en-US"/>
        </w:rPr>
      </w:pPr>
    </w:p>
    <w:p w:rsidR="00F020CC" w:rsidRPr="00B67DFC" w:rsidRDefault="00F020CC" w:rsidP="00F020CC">
      <w:pPr>
        <w:widowControl w:val="0"/>
        <w:ind w:firstLine="720"/>
        <w:jc w:val="center"/>
        <w:rPr>
          <w:rFonts w:ascii="Garamond" w:hAnsi="Garamond"/>
          <w:lang w:val="sq-AL" w:bidi="en-US"/>
        </w:rPr>
      </w:pPr>
      <w:r w:rsidRPr="00B67DFC">
        <w:rPr>
          <w:rFonts w:ascii="Garamond" w:hAnsi="Garamond"/>
          <w:noProof/>
        </w:rPr>
        <mc:AlternateContent>
          <mc:Choice Requires="wpg">
            <w:drawing>
              <wp:anchor distT="0" distB="0" distL="114300" distR="114300" simplePos="0" relativeHeight="251657728" behindDoc="0" locked="0" layoutInCell="1" allowOverlap="1" wp14:anchorId="2FD7DF1E" wp14:editId="07974EEE">
                <wp:simplePos x="0" y="0"/>
                <wp:positionH relativeFrom="column">
                  <wp:posOffset>2857500</wp:posOffset>
                </wp:positionH>
                <wp:positionV relativeFrom="paragraph">
                  <wp:posOffset>113665</wp:posOffset>
                </wp:positionV>
                <wp:extent cx="457200" cy="457200"/>
                <wp:effectExtent l="0" t="0" r="0" b="635"/>
                <wp:wrapNone/>
                <wp:docPr id="1"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457200"/>
                          <a:chOff x="0" y="0"/>
                          <a:chExt cx="861" cy="979"/>
                        </a:xfrm>
                      </wpg:grpSpPr>
                      <wps:wsp>
                        <wps:cNvPr id="2" name="Rectangle 182"/>
                        <wps:cNvSpPr>
                          <a:spLocks/>
                        </wps:cNvSpPr>
                        <wps:spPr bwMode="auto">
                          <a:xfrm>
                            <a:off x="0" y="0"/>
                            <a:ext cx="861" cy="979"/>
                          </a:xfrm>
                          <a:prstGeom prst="rect">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6909CF" w:rsidRDefault="006909CF" w:rsidP="00F020CC">
                              <w:pPr>
                                <w:jc w:val="center"/>
                              </w:pPr>
                            </w:p>
                          </w:txbxContent>
                        </wps:txbx>
                        <wps:bodyPr rot="0" vert="horz" wrap="square" lIns="0" tIns="0" rIns="0" bIns="0" anchor="t" anchorCtr="0" upright="1">
                          <a:noAutofit/>
                        </wps:bodyPr>
                      </wps:wsp>
                      <pic:pic xmlns:pic="http://schemas.openxmlformats.org/drawingml/2006/picture">
                        <pic:nvPicPr>
                          <pic:cNvPr id="3" name="Picture 183"/>
                          <pic:cNvPicPr preferRelativeResize="0">
                            <a:picLocks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41" cy="979"/>
                          </a:xfrm>
                          <a:prstGeom prst="rect">
                            <a:avLst/>
                          </a:prstGeom>
                          <a:solidFill>
                            <a:srgbClr val="FFFFFF"/>
                          </a:solidFill>
                          <a:ln w="9525">
                            <a:solidFill>
                              <a:srgbClr val="000000"/>
                            </a:solidFill>
                            <a:round/>
                            <a:headEnd/>
                            <a:tailEnd/>
                          </a:ln>
                        </pic:spPr>
                      </pic:pic>
                    </wpg:wgp>
                  </a:graphicData>
                </a:graphic>
                <wp14:sizeRelH relativeFrom="page">
                  <wp14:pctWidth>0</wp14:pctWidth>
                </wp14:sizeRelH>
                <wp14:sizeRelV relativeFrom="page">
                  <wp14:pctHeight>0</wp14:pctHeight>
                </wp14:sizeRelV>
              </wp:anchor>
            </w:drawing>
          </mc:Choice>
          <mc:Fallback>
            <w:pict>
              <v:group w14:anchorId="2FD7DF1E" id="Group 181" o:spid="_x0000_s1026" style="position:absolute;left:0;text-align:left;margin-left:225pt;margin-top:8.95pt;width:36pt;height:36pt;z-index:251657728" coordsize="861,97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">
                <v:rect id="Rectangle 182" o:spid="_x0000_s1027" style="position:absolute;width:861;height: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" stroked="f">
                  <v:stroke joinstyle="round"/>
                  <v:path arrowok="t"/>
                  <v:textbox inset="0,0,0,0">
                    <w:txbxContent>
                      <w:p w:rsidR="006909CF" w:rsidRDefault="006909CF" w:rsidP="00F020CC">
                        <w:pPr>
                          <w:jc w:val="center"/>
                        </w:pPr>
                      </w:p>
                    </w:txbxContent>
                  </v:textbox>
                </v:rect>
                <v:shape id="Picture 183" o:spid="_x0000_s1028" type="#_x0000_t75" style="position:absolute;width:841;height:97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" filled="t" stroked="t">
                  <v:stroke joinstyle="round"/>
                  <v:imagedata r:id="rId6" o:title=""/>
                  <o:lock v:ext="edit" aspectratio="f"/>
                </v:shape>
              </v:group>
            </w:pict>
          </mc:Fallback>
        </mc:AlternateContent>
      </w:r>
    </w:p>
    <w:p w:rsidR="00F020CC" w:rsidRPr="00B67DFC" w:rsidRDefault="00F020CC" w:rsidP="00F020CC">
      <w:pPr>
        <w:widowControl w:val="0"/>
        <w:ind w:firstLine="720"/>
        <w:jc w:val="center"/>
        <w:rPr>
          <w:rFonts w:ascii="Garamond" w:hAnsi="Garamond"/>
          <w:lang w:val="sq-AL" w:bidi="en-US"/>
        </w:rPr>
      </w:pPr>
    </w:p>
    <w:p w:rsidR="00F020CC" w:rsidRPr="00B67DFC" w:rsidRDefault="00F020CC" w:rsidP="00F020CC">
      <w:pPr>
        <w:widowControl w:val="0"/>
        <w:ind w:firstLine="720"/>
        <w:jc w:val="center"/>
        <w:rPr>
          <w:rFonts w:ascii="Garamond" w:hAnsi="Garamond"/>
          <w:lang w:val="sq-AL" w:bidi="en-US"/>
        </w:rPr>
      </w:pPr>
    </w:p>
    <w:p w:rsidR="00F020CC" w:rsidRPr="00B67DFC" w:rsidRDefault="00F020CC" w:rsidP="00F020CC">
      <w:pPr>
        <w:widowControl w:val="0"/>
        <w:jc w:val="both"/>
        <w:rPr>
          <w:rFonts w:ascii="Garamond" w:hAnsi="Garamond"/>
          <w:lang w:val="sq-AL" w:bidi="en-US"/>
        </w:rPr>
      </w:pPr>
    </w:p>
    <w:p w:rsidR="00F020CC" w:rsidRPr="00B67DFC" w:rsidRDefault="00F020CC" w:rsidP="00F020CC">
      <w:pPr>
        <w:widowControl w:val="0"/>
        <w:ind w:firstLine="720"/>
        <w:jc w:val="center"/>
        <w:rPr>
          <w:rFonts w:ascii="Garamond" w:hAnsi="Garamond"/>
          <w:lang w:val="sq-AL" w:bidi="en-US"/>
        </w:rPr>
      </w:pPr>
      <w:r w:rsidRPr="00B67DFC">
        <w:rPr>
          <w:rFonts w:ascii="Garamond" w:hAnsi="Garamond"/>
          <w:lang w:val="sq-AL" w:bidi="en-US"/>
        </w:rPr>
        <w:t>REPUBLIKA E SHQIPËRISË</w:t>
      </w:r>
    </w:p>
    <w:p w:rsidR="00F020CC" w:rsidRPr="00B67DFC" w:rsidRDefault="00F020CC" w:rsidP="00F020CC">
      <w:pPr>
        <w:widowControl w:val="0"/>
        <w:ind w:firstLine="720"/>
        <w:jc w:val="center"/>
        <w:rPr>
          <w:rFonts w:ascii="Garamond" w:hAnsi="Garamond"/>
          <w:lang w:val="sq-AL" w:bidi="en-US"/>
        </w:rPr>
      </w:pPr>
      <w:r w:rsidRPr="00B67DFC">
        <w:rPr>
          <w:rFonts w:ascii="Garamond" w:hAnsi="Garamond"/>
          <w:lang w:val="sq-AL" w:bidi="en-US"/>
        </w:rPr>
        <w:t>KËSHILLI KOMBËTAR I TERRITORIT TË REPUBLIKËS SË SHQIPËRISË</w:t>
      </w:r>
    </w:p>
    <w:p w:rsidR="00F020CC" w:rsidRPr="00B67DFC" w:rsidRDefault="00F020CC" w:rsidP="00F020CC">
      <w:pPr>
        <w:widowControl w:val="0"/>
        <w:jc w:val="both"/>
        <w:rPr>
          <w:rFonts w:ascii="Garamond" w:hAnsi="Garamond"/>
          <w:lang w:val="sq-AL" w:bidi="en-US"/>
        </w:rPr>
      </w:pPr>
    </w:p>
    <w:p w:rsidR="00F020CC" w:rsidRPr="00B67DFC" w:rsidRDefault="00F020CC" w:rsidP="00F020CC">
      <w:pPr>
        <w:widowControl w:val="0"/>
        <w:ind w:firstLine="720"/>
        <w:jc w:val="center"/>
        <w:rPr>
          <w:rFonts w:ascii="Garamond" w:hAnsi="Garamond"/>
          <w:lang w:val="sq-AL" w:bidi="en-US"/>
        </w:rPr>
      </w:pPr>
      <w:r w:rsidRPr="00B67DFC">
        <w:rPr>
          <w:rFonts w:ascii="Garamond" w:hAnsi="Garamond"/>
          <w:lang w:val="sq-AL" w:bidi="en-US"/>
        </w:rPr>
        <w:t>RELACIONI</w:t>
      </w:r>
    </w:p>
    <w:p w:rsidR="00F020CC" w:rsidRPr="00B67DFC" w:rsidRDefault="00F020CC" w:rsidP="00F020CC">
      <w:pPr>
        <w:widowControl w:val="0"/>
        <w:ind w:firstLine="720"/>
        <w:jc w:val="center"/>
        <w:rPr>
          <w:rFonts w:ascii="Garamond" w:hAnsi="Garamond"/>
          <w:lang w:val="sq-AL" w:bidi="en-US"/>
        </w:rPr>
      </w:pPr>
      <w:r w:rsidRPr="00B67DFC">
        <w:rPr>
          <w:rFonts w:ascii="Garamond" w:hAnsi="Garamond"/>
          <w:lang w:val="sq-AL" w:bidi="en-US"/>
        </w:rPr>
        <w:t>I PLANIT TË PËRGJITHSHËM VENDOR TË</w:t>
      </w:r>
    </w:p>
    <w:p w:rsidR="00F020CC" w:rsidRPr="00B67DFC" w:rsidRDefault="00F020CC" w:rsidP="00F020CC">
      <w:pPr>
        <w:widowControl w:val="0"/>
        <w:ind w:firstLine="720"/>
        <w:jc w:val="center"/>
        <w:rPr>
          <w:rFonts w:ascii="Garamond" w:hAnsi="Garamond"/>
          <w:lang w:val="sq-AL" w:bidi="en-US"/>
        </w:rPr>
      </w:pPr>
      <w:r w:rsidRPr="00B67DFC">
        <w:rPr>
          <w:rFonts w:ascii="Garamond" w:hAnsi="Garamond"/>
          <w:lang w:val="sq-AL" w:bidi="en-US"/>
        </w:rPr>
        <w:t>BASHKISË/ KOMUNËS_________________</w:t>
      </w:r>
    </w:p>
    <w:p w:rsidR="00F020CC" w:rsidRPr="00B67DFC" w:rsidRDefault="00F020CC" w:rsidP="00F020CC">
      <w:pPr>
        <w:widowControl w:val="0"/>
        <w:jc w:val="both"/>
        <w:rPr>
          <w:rFonts w:ascii="Garamond" w:hAnsi="Garamond"/>
          <w:lang w:val="sq-AL" w:bidi="en-US"/>
        </w:rPr>
      </w:pPr>
    </w:p>
    <w:p w:rsidR="00F020CC" w:rsidRPr="00B67DFC" w:rsidRDefault="00F020CC" w:rsidP="00F020CC">
      <w:pPr>
        <w:widowControl w:val="0"/>
        <w:ind w:firstLine="720"/>
        <w:jc w:val="center"/>
        <w:rPr>
          <w:rFonts w:ascii="Garamond" w:hAnsi="Garamond"/>
          <w:lang w:val="sq-AL" w:bidi="en-US"/>
        </w:rPr>
      </w:pPr>
      <w:r w:rsidRPr="00B67DFC">
        <w:rPr>
          <w:rFonts w:ascii="Garamond" w:hAnsi="Garamond"/>
          <w:lang w:val="sq-AL" w:bidi="en-US"/>
        </w:rPr>
        <w:t>MIRATOHET</w:t>
      </w:r>
    </w:p>
    <w:p w:rsidR="00F020CC" w:rsidRPr="00B67DFC" w:rsidRDefault="00F020CC" w:rsidP="00F020CC">
      <w:pPr>
        <w:widowControl w:val="0"/>
        <w:ind w:firstLine="720"/>
        <w:jc w:val="center"/>
        <w:rPr>
          <w:rFonts w:ascii="Garamond" w:hAnsi="Garamond"/>
          <w:lang w:val="sq-AL" w:bidi="en-US"/>
        </w:rPr>
      </w:pPr>
      <w:r w:rsidRPr="00B67DFC">
        <w:rPr>
          <w:rFonts w:ascii="Garamond" w:hAnsi="Garamond"/>
          <w:lang w:val="sq-AL" w:bidi="en-US"/>
        </w:rPr>
        <w:t>KRYETARI I KKT</w:t>
      </w:r>
    </w:p>
    <w:p w:rsidR="00F020CC" w:rsidRPr="00B67DFC" w:rsidRDefault="00F020CC" w:rsidP="00F020CC">
      <w:pPr>
        <w:widowControl w:val="0"/>
        <w:ind w:firstLine="720"/>
        <w:jc w:val="center"/>
        <w:rPr>
          <w:rFonts w:ascii="Garamond" w:hAnsi="Garamond"/>
          <w:lang w:val="sq-AL" w:bidi="en-US"/>
        </w:rPr>
      </w:pPr>
      <w:r w:rsidRPr="00B67DFC">
        <w:rPr>
          <w:rFonts w:ascii="Garamond" w:hAnsi="Garamond"/>
          <w:lang w:val="sq-AL" w:bidi="en-US"/>
        </w:rPr>
        <w:t>____________________________</w:t>
      </w:r>
    </w:p>
    <w:p w:rsidR="00F020CC" w:rsidRPr="00B67DFC" w:rsidRDefault="00F020CC" w:rsidP="00F020CC">
      <w:pPr>
        <w:widowControl w:val="0"/>
        <w:jc w:val="both"/>
        <w:rPr>
          <w:rFonts w:ascii="Garamond" w:hAnsi="Garamond"/>
          <w:lang w:val="sq-AL" w:bidi="en-US"/>
        </w:rPr>
      </w:pPr>
    </w:p>
    <w:p w:rsidR="00F020CC" w:rsidRPr="00B67DFC" w:rsidRDefault="00F020CC" w:rsidP="00F020CC">
      <w:pPr>
        <w:widowControl w:val="0"/>
        <w:ind w:firstLine="720"/>
        <w:jc w:val="center"/>
        <w:rPr>
          <w:rFonts w:ascii="Garamond" w:hAnsi="Garamond"/>
          <w:lang w:val="sq-AL" w:bidi="en-US"/>
        </w:rPr>
      </w:pPr>
      <w:r w:rsidRPr="00B67DFC">
        <w:rPr>
          <w:rFonts w:ascii="Garamond" w:hAnsi="Garamond"/>
          <w:lang w:val="sq-AL" w:bidi="en-US"/>
        </w:rPr>
        <w:t>KRYETARI I KËSHILLIT BASHKIAK/ KOMUNAL</w:t>
      </w:r>
    </w:p>
    <w:p w:rsidR="00F020CC" w:rsidRPr="00B67DFC" w:rsidRDefault="00F020CC" w:rsidP="00F020CC">
      <w:pPr>
        <w:widowControl w:val="0"/>
        <w:ind w:firstLine="720"/>
        <w:jc w:val="center"/>
        <w:rPr>
          <w:rFonts w:ascii="Garamond" w:hAnsi="Garamond"/>
          <w:lang w:val="sq-AL" w:bidi="en-US"/>
        </w:rPr>
      </w:pPr>
      <w:r w:rsidRPr="00B67DFC">
        <w:rPr>
          <w:rFonts w:ascii="Garamond" w:hAnsi="Garamond"/>
          <w:lang w:val="sq-AL" w:bidi="en-US"/>
        </w:rPr>
        <w:t>____________________________</w:t>
      </w:r>
    </w:p>
    <w:p w:rsidR="00F020CC" w:rsidRPr="00B67DFC" w:rsidRDefault="00F020CC" w:rsidP="00F020CC">
      <w:pPr>
        <w:widowControl w:val="0"/>
        <w:ind w:firstLine="720"/>
        <w:jc w:val="center"/>
        <w:rPr>
          <w:rFonts w:ascii="Garamond" w:hAnsi="Garamond"/>
          <w:lang w:val="sq-AL" w:bidi="en-US"/>
        </w:rPr>
      </w:pPr>
      <w:r w:rsidRPr="00B67DFC">
        <w:rPr>
          <w:rFonts w:ascii="Garamond" w:hAnsi="Garamond"/>
          <w:lang w:val="sq-AL" w:bidi="en-US"/>
        </w:rPr>
        <w:t>Miratuar me vendim të këshilli të bashkisë/komunës ____</w:t>
      </w:r>
      <w:proofErr w:type="spellStart"/>
      <w:r w:rsidRPr="00B67DFC">
        <w:rPr>
          <w:rFonts w:ascii="Garamond" w:hAnsi="Garamond"/>
          <w:lang w:val="sq-AL" w:bidi="en-US"/>
        </w:rPr>
        <w:t>nr</w:t>
      </w:r>
      <w:proofErr w:type="spellEnd"/>
      <w:r w:rsidRPr="00B67DFC">
        <w:rPr>
          <w:rFonts w:ascii="Garamond" w:hAnsi="Garamond"/>
          <w:lang w:val="sq-AL" w:bidi="en-US"/>
        </w:rPr>
        <w:t>.__datë ___________</w:t>
      </w:r>
    </w:p>
    <w:p w:rsidR="00F020CC" w:rsidRPr="00B67DFC" w:rsidRDefault="00F020CC" w:rsidP="00F020CC">
      <w:pPr>
        <w:widowControl w:val="0"/>
        <w:ind w:firstLine="720"/>
        <w:jc w:val="both"/>
        <w:rPr>
          <w:rFonts w:ascii="Garamond" w:hAnsi="Garamond"/>
          <w:lang w:val="sq-AL" w:bidi="en-US"/>
        </w:rPr>
      </w:pPr>
    </w:p>
    <w:tbl>
      <w:tblPr>
        <w:tblW w:w="6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4500"/>
      </w:tblGrid>
      <w:tr w:rsidR="00F020CC" w:rsidRPr="00B67DFC" w:rsidTr="00F020CC">
        <w:trPr>
          <w:jc w:val="center"/>
        </w:trPr>
        <w:tc>
          <w:tcPr>
            <w:tcW w:w="1980" w:type="dxa"/>
          </w:tcPr>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t>Hartuar nga:</w:t>
            </w:r>
          </w:p>
        </w:tc>
        <w:tc>
          <w:tcPr>
            <w:tcW w:w="4500" w:type="dxa"/>
          </w:tcPr>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t>Bashkia/ komuna</w:t>
            </w:r>
          </w:p>
        </w:tc>
      </w:tr>
      <w:tr w:rsidR="00F020CC" w:rsidRPr="00B67DFC" w:rsidTr="00F020CC">
        <w:trPr>
          <w:jc w:val="center"/>
        </w:trPr>
        <w:tc>
          <w:tcPr>
            <w:tcW w:w="1980" w:type="dxa"/>
          </w:tcPr>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t>Asistuar nga:</w:t>
            </w:r>
          </w:p>
        </w:tc>
        <w:tc>
          <w:tcPr>
            <w:tcW w:w="4500" w:type="dxa"/>
          </w:tcPr>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t>Subjekti i kontraktuar</w:t>
            </w:r>
          </w:p>
        </w:tc>
      </w:tr>
      <w:tr w:rsidR="00F020CC" w:rsidRPr="00B67DFC" w:rsidTr="00F020CC">
        <w:trPr>
          <w:jc w:val="center"/>
        </w:trPr>
        <w:tc>
          <w:tcPr>
            <w:tcW w:w="1980" w:type="dxa"/>
          </w:tcPr>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t>Financuar nga:</w:t>
            </w:r>
          </w:p>
        </w:tc>
        <w:tc>
          <w:tcPr>
            <w:tcW w:w="4500" w:type="dxa"/>
          </w:tcPr>
          <w:p w:rsidR="00F020CC" w:rsidRPr="00B67DFC" w:rsidRDefault="00F020CC" w:rsidP="00F020CC">
            <w:pPr>
              <w:widowControl w:val="0"/>
              <w:jc w:val="center"/>
              <w:rPr>
                <w:rFonts w:ascii="Garamond" w:hAnsi="Garamond"/>
                <w:lang w:val="sq-AL" w:bidi="en-US"/>
              </w:rPr>
            </w:pPr>
            <w:r w:rsidRPr="00B67DFC">
              <w:rPr>
                <w:rFonts w:ascii="Garamond" w:hAnsi="Garamond"/>
                <w:lang w:val="sq-AL" w:bidi="en-US"/>
              </w:rPr>
              <w:t>......................</w:t>
            </w:r>
          </w:p>
        </w:tc>
      </w:tr>
    </w:tbl>
    <w:p w:rsidR="00F020CC" w:rsidRPr="00B67DFC" w:rsidRDefault="00F020CC" w:rsidP="00F020CC">
      <w:pPr>
        <w:widowControl w:val="0"/>
        <w:ind w:firstLine="720"/>
        <w:jc w:val="center"/>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Tabela 1</w:t>
      </w:r>
    </w:p>
    <w:p w:rsidR="00F020CC" w:rsidRPr="00B67DFC" w:rsidRDefault="00F020CC" w:rsidP="00F020CC">
      <w:pPr>
        <w:widowControl w:val="0"/>
        <w:ind w:firstLine="720"/>
        <w:jc w:val="both"/>
        <w:rPr>
          <w:rFonts w:ascii="Garamond" w:hAnsi="Garamond"/>
          <w:lang w:val="sq-AL" w:bidi="en-US"/>
        </w:rPr>
      </w:pPr>
    </w:p>
    <w:tbl>
      <w:tblPr>
        <w:tblW w:w="5000" w:type="pct"/>
        <w:jc w:val="center"/>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0A0" w:firstRow="1" w:lastRow="0" w:firstColumn="1" w:lastColumn="0" w:noHBand="0" w:noVBand="0"/>
      </w:tblPr>
      <w:tblGrid>
        <w:gridCol w:w="3081"/>
        <w:gridCol w:w="1884"/>
        <w:gridCol w:w="3645"/>
      </w:tblGrid>
      <w:tr w:rsidR="00F020CC" w:rsidRPr="00B67DFC" w:rsidTr="00F020CC">
        <w:trPr>
          <w:jc w:val="center"/>
        </w:trPr>
        <w:tc>
          <w:tcPr>
            <w:tcW w:w="5000" w:type="pct"/>
            <w:gridSpan w:val="3"/>
            <w:tcBorders>
              <w:top w:val="double" w:sz="4" w:space="0" w:color="auto"/>
              <w:left w:val="double" w:sz="4" w:space="0" w:color="auto"/>
              <w:bottom w:val="single" w:sz="4" w:space="0" w:color="auto"/>
              <w:right w:val="double" w:sz="4" w:space="0" w:color="auto"/>
            </w:tcBorders>
            <w:shd w:val="clear" w:color="auto" w:fill="E0E0E0"/>
          </w:tcPr>
          <w:p w:rsidR="00F020CC" w:rsidRPr="00B67DFC" w:rsidRDefault="00F020CC" w:rsidP="00F020CC">
            <w:pPr>
              <w:widowControl w:val="0"/>
              <w:rPr>
                <w:rFonts w:ascii="Garamond" w:hAnsi="Garamond"/>
                <w:b/>
                <w:lang w:val="sq-AL" w:bidi="en-US"/>
              </w:rPr>
            </w:pPr>
            <w:r w:rsidRPr="00B67DFC">
              <w:rPr>
                <w:rFonts w:ascii="Garamond" w:hAnsi="Garamond"/>
                <w:b/>
                <w:lang w:val="sq-AL" w:bidi="en-US"/>
              </w:rPr>
              <w:t>1. Të dhëna të përgjithshme për bashkinë/ komunën</w:t>
            </w:r>
          </w:p>
        </w:tc>
      </w:tr>
      <w:tr w:rsidR="00F020CC" w:rsidRPr="00B67DFC" w:rsidTr="00F020CC">
        <w:trPr>
          <w:jc w:val="center"/>
        </w:trPr>
        <w:tc>
          <w:tcPr>
            <w:tcW w:w="1789" w:type="pct"/>
            <w:tcBorders>
              <w:top w:val="single" w:sz="4" w:space="0" w:color="auto"/>
              <w:left w:val="double" w:sz="4" w:space="0" w:color="auto"/>
              <w:bottom w:val="single" w:sz="4" w:space="0" w:color="auto"/>
              <w:right w:val="single" w:sz="4" w:space="0" w:color="auto"/>
            </w:tcBorders>
            <w:shd w:val="clear" w:color="auto" w:fill="E0E0E0"/>
          </w:tcPr>
          <w:p w:rsidR="00F020CC" w:rsidRPr="00B67DFC" w:rsidRDefault="00F020CC" w:rsidP="00F020CC">
            <w:pPr>
              <w:widowControl w:val="0"/>
              <w:jc w:val="center"/>
              <w:rPr>
                <w:rFonts w:ascii="Garamond" w:hAnsi="Garamond"/>
                <w:b/>
                <w:lang w:val="sq-AL" w:bidi="en-US"/>
              </w:rPr>
            </w:pPr>
            <w:r w:rsidRPr="00B67DFC">
              <w:rPr>
                <w:rFonts w:ascii="Garamond" w:hAnsi="Garamond"/>
                <w:b/>
                <w:lang w:val="sq-AL" w:bidi="en-US"/>
              </w:rPr>
              <w:t>Emërtimi</w:t>
            </w:r>
          </w:p>
        </w:tc>
        <w:tc>
          <w:tcPr>
            <w:tcW w:w="1094" w:type="pct"/>
            <w:tcBorders>
              <w:top w:val="single" w:sz="4" w:space="0" w:color="auto"/>
              <w:left w:val="single" w:sz="4" w:space="0" w:color="auto"/>
              <w:bottom w:val="single" w:sz="4" w:space="0" w:color="auto"/>
              <w:right w:val="single" w:sz="4" w:space="0" w:color="auto"/>
            </w:tcBorders>
            <w:shd w:val="clear" w:color="auto" w:fill="E0E0E0"/>
          </w:tcPr>
          <w:p w:rsidR="00F020CC" w:rsidRPr="00B67DFC" w:rsidRDefault="00F020CC" w:rsidP="00F020CC">
            <w:pPr>
              <w:widowControl w:val="0"/>
              <w:jc w:val="center"/>
              <w:rPr>
                <w:rFonts w:ascii="Garamond" w:hAnsi="Garamond"/>
                <w:b/>
                <w:lang w:val="sq-AL" w:bidi="en-US"/>
              </w:rPr>
            </w:pPr>
            <w:r w:rsidRPr="00B67DFC">
              <w:rPr>
                <w:rFonts w:ascii="Garamond" w:hAnsi="Garamond"/>
                <w:b/>
                <w:lang w:val="sq-AL" w:bidi="en-US"/>
              </w:rPr>
              <w:t>Njësia</w:t>
            </w:r>
          </w:p>
        </w:tc>
        <w:tc>
          <w:tcPr>
            <w:tcW w:w="2117" w:type="pct"/>
            <w:tcBorders>
              <w:top w:val="single" w:sz="4" w:space="0" w:color="auto"/>
              <w:left w:val="single" w:sz="4" w:space="0" w:color="auto"/>
              <w:bottom w:val="single" w:sz="4" w:space="0" w:color="auto"/>
              <w:right w:val="double" w:sz="4" w:space="0" w:color="auto"/>
            </w:tcBorders>
            <w:shd w:val="clear" w:color="auto" w:fill="E0E0E0"/>
          </w:tcPr>
          <w:p w:rsidR="00F020CC" w:rsidRPr="00B67DFC" w:rsidRDefault="00F020CC" w:rsidP="00F020CC">
            <w:pPr>
              <w:widowControl w:val="0"/>
              <w:jc w:val="center"/>
              <w:rPr>
                <w:rFonts w:ascii="Garamond" w:hAnsi="Garamond"/>
                <w:b/>
                <w:lang w:val="sq-AL" w:bidi="en-US"/>
              </w:rPr>
            </w:pPr>
            <w:r w:rsidRPr="00B67DFC">
              <w:rPr>
                <w:rFonts w:ascii="Garamond" w:hAnsi="Garamond"/>
                <w:b/>
                <w:lang w:val="sq-AL" w:bidi="en-US"/>
              </w:rPr>
              <w:t>Specifikime</w:t>
            </w:r>
          </w:p>
        </w:tc>
      </w:tr>
      <w:tr w:rsidR="00F020CC" w:rsidRPr="00B67DFC" w:rsidTr="00F020CC">
        <w:trPr>
          <w:jc w:val="center"/>
        </w:trPr>
        <w:tc>
          <w:tcPr>
            <w:tcW w:w="1789" w:type="pct"/>
            <w:tcBorders>
              <w:top w:val="single" w:sz="4" w:space="0" w:color="auto"/>
              <w:left w:val="double" w:sz="4" w:space="0" w:color="auto"/>
              <w:bottom w:val="single" w:sz="4" w:space="0" w:color="auto"/>
              <w:right w:val="sing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Sipërfaqja e njësisë vendore</w:t>
            </w:r>
          </w:p>
        </w:tc>
        <w:tc>
          <w:tcPr>
            <w:tcW w:w="1094" w:type="pct"/>
            <w:tcBorders>
              <w:top w:val="single" w:sz="4" w:space="0" w:color="auto"/>
              <w:left w:val="single" w:sz="4" w:space="0" w:color="auto"/>
              <w:bottom w:val="single" w:sz="4" w:space="0" w:color="auto"/>
              <w:right w:val="sing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ha</w:t>
            </w:r>
          </w:p>
        </w:tc>
        <w:tc>
          <w:tcPr>
            <w:tcW w:w="2117" w:type="pct"/>
            <w:tcBorders>
              <w:top w:val="single" w:sz="4" w:space="0" w:color="auto"/>
              <w:left w:val="single" w:sz="4" w:space="0" w:color="auto"/>
              <w:bottom w:val="single" w:sz="4" w:space="0" w:color="auto"/>
              <w:right w:val="doub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Sipërfaqe truall, tokë bujqësore etj.</w:t>
            </w:r>
          </w:p>
        </w:tc>
      </w:tr>
      <w:tr w:rsidR="00F020CC" w:rsidRPr="00B67DFC" w:rsidTr="00F020CC">
        <w:trPr>
          <w:jc w:val="center"/>
        </w:trPr>
        <w:tc>
          <w:tcPr>
            <w:tcW w:w="1789" w:type="pct"/>
            <w:tcBorders>
              <w:top w:val="single" w:sz="4" w:space="0" w:color="auto"/>
              <w:left w:val="double" w:sz="4" w:space="0" w:color="auto"/>
              <w:bottom w:val="single" w:sz="4" w:space="0" w:color="auto"/>
              <w:right w:val="sing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Numri i popullsisë ekzistuese</w:t>
            </w:r>
          </w:p>
        </w:tc>
        <w:tc>
          <w:tcPr>
            <w:tcW w:w="1094" w:type="pct"/>
            <w:tcBorders>
              <w:top w:val="single" w:sz="4" w:space="0" w:color="auto"/>
              <w:left w:val="single" w:sz="4" w:space="0" w:color="auto"/>
              <w:bottom w:val="single" w:sz="4" w:space="0" w:color="auto"/>
              <w:right w:val="sing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banorë</w:t>
            </w:r>
          </w:p>
        </w:tc>
        <w:tc>
          <w:tcPr>
            <w:tcW w:w="2117" w:type="pct"/>
            <w:tcBorders>
              <w:top w:val="single" w:sz="4" w:space="0" w:color="auto"/>
              <w:left w:val="single" w:sz="4" w:space="0" w:color="auto"/>
              <w:bottom w:val="single" w:sz="4" w:space="0" w:color="auto"/>
              <w:right w:val="doub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Popullsia bashki/ komunë në rastin kur ka më shumë se një njësi vendore</w:t>
            </w:r>
          </w:p>
        </w:tc>
      </w:tr>
      <w:tr w:rsidR="00F020CC" w:rsidRPr="00B67DFC" w:rsidTr="00F020CC">
        <w:trPr>
          <w:jc w:val="center"/>
        </w:trPr>
        <w:tc>
          <w:tcPr>
            <w:tcW w:w="1789" w:type="pct"/>
            <w:tcBorders>
              <w:top w:val="single" w:sz="4" w:space="0" w:color="auto"/>
              <w:left w:val="double" w:sz="4" w:space="0" w:color="auto"/>
              <w:bottom w:val="single" w:sz="4" w:space="0" w:color="auto"/>
              <w:right w:val="sing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 xml:space="preserve">Zona me interes kombëtar, zona të mbrojtura natyrore dhe kulturore </w:t>
            </w:r>
          </w:p>
        </w:tc>
        <w:tc>
          <w:tcPr>
            <w:tcW w:w="1094" w:type="pct"/>
            <w:tcBorders>
              <w:top w:val="single" w:sz="4" w:space="0" w:color="auto"/>
              <w:left w:val="single" w:sz="4" w:space="0" w:color="auto"/>
              <w:bottom w:val="single" w:sz="4" w:space="0" w:color="auto"/>
              <w:right w:val="sing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ha</w:t>
            </w:r>
          </w:p>
        </w:tc>
        <w:tc>
          <w:tcPr>
            <w:tcW w:w="2117" w:type="pct"/>
            <w:tcBorders>
              <w:top w:val="single" w:sz="4" w:space="0" w:color="auto"/>
              <w:left w:val="single" w:sz="4" w:space="0" w:color="auto"/>
              <w:bottom w:val="single" w:sz="4" w:space="0" w:color="auto"/>
              <w:right w:val="doub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Çështje të rëndësisë kombëtare që janë pjesë ë territorit, vlera të trashëgimisë kulturore</w:t>
            </w:r>
          </w:p>
        </w:tc>
      </w:tr>
      <w:tr w:rsidR="00F020CC" w:rsidRPr="00B67DFC" w:rsidTr="00F020CC">
        <w:trPr>
          <w:jc w:val="center"/>
        </w:trPr>
        <w:tc>
          <w:tcPr>
            <w:tcW w:w="1789" w:type="pct"/>
            <w:tcBorders>
              <w:top w:val="single" w:sz="4" w:space="0" w:color="auto"/>
              <w:left w:val="double" w:sz="4" w:space="0" w:color="auto"/>
              <w:bottom w:val="single" w:sz="4" w:space="0" w:color="auto"/>
              <w:right w:val="sing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 xml:space="preserve">Sipërfaqe e miratuar </w:t>
            </w:r>
            <w:proofErr w:type="spellStart"/>
            <w:r w:rsidRPr="00B67DFC">
              <w:rPr>
                <w:rFonts w:ascii="Garamond" w:hAnsi="Garamond"/>
                <w:lang w:val="sq-AL" w:bidi="en-US"/>
              </w:rPr>
              <w:t>zonash</w:t>
            </w:r>
            <w:proofErr w:type="spellEnd"/>
            <w:r w:rsidRPr="00B67DFC">
              <w:rPr>
                <w:rFonts w:ascii="Garamond" w:hAnsi="Garamond"/>
                <w:lang w:val="sq-AL" w:bidi="en-US"/>
              </w:rPr>
              <w:t xml:space="preserve"> </w:t>
            </w:r>
            <w:proofErr w:type="spellStart"/>
            <w:r w:rsidRPr="00B67DFC">
              <w:rPr>
                <w:rFonts w:ascii="Garamond" w:hAnsi="Garamond"/>
                <w:lang w:val="sq-AL" w:bidi="en-US"/>
              </w:rPr>
              <w:t>informale</w:t>
            </w:r>
            <w:proofErr w:type="spellEnd"/>
          </w:p>
        </w:tc>
        <w:tc>
          <w:tcPr>
            <w:tcW w:w="1094" w:type="pct"/>
            <w:tcBorders>
              <w:top w:val="single" w:sz="4" w:space="0" w:color="auto"/>
              <w:left w:val="single" w:sz="4" w:space="0" w:color="auto"/>
              <w:bottom w:val="single" w:sz="4" w:space="0" w:color="auto"/>
              <w:right w:val="sing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ha</w:t>
            </w:r>
          </w:p>
        </w:tc>
        <w:tc>
          <w:tcPr>
            <w:tcW w:w="2117" w:type="pct"/>
            <w:tcBorders>
              <w:top w:val="single" w:sz="4" w:space="0" w:color="auto"/>
              <w:left w:val="single" w:sz="4" w:space="0" w:color="auto"/>
              <w:bottom w:val="single" w:sz="4" w:space="0" w:color="auto"/>
              <w:right w:val="doub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Zonat e miratuara nga ALUIZNI</w:t>
            </w:r>
          </w:p>
        </w:tc>
      </w:tr>
      <w:tr w:rsidR="00F020CC" w:rsidRPr="00B67DFC" w:rsidTr="00F020CC">
        <w:trPr>
          <w:trHeight w:val="717"/>
          <w:jc w:val="center"/>
        </w:trPr>
        <w:tc>
          <w:tcPr>
            <w:tcW w:w="1789" w:type="pct"/>
            <w:tcBorders>
              <w:top w:val="single" w:sz="4" w:space="0" w:color="auto"/>
              <w:left w:val="double" w:sz="4" w:space="0" w:color="auto"/>
              <w:bottom w:val="double" w:sz="4" w:space="0" w:color="auto"/>
              <w:right w:val="sing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 xml:space="preserve">Problematika mjedisore </w:t>
            </w:r>
          </w:p>
        </w:tc>
        <w:tc>
          <w:tcPr>
            <w:tcW w:w="1094" w:type="pct"/>
            <w:tcBorders>
              <w:top w:val="single" w:sz="4" w:space="0" w:color="auto"/>
              <w:left w:val="single" w:sz="4" w:space="0" w:color="auto"/>
              <w:bottom w:val="double" w:sz="4" w:space="0" w:color="auto"/>
              <w:right w:val="single" w:sz="4" w:space="0" w:color="auto"/>
            </w:tcBorders>
          </w:tcPr>
          <w:p w:rsidR="00F020CC" w:rsidRPr="00B67DFC" w:rsidRDefault="00F020CC" w:rsidP="00F020CC">
            <w:pPr>
              <w:widowControl w:val="0"/>
              <w:rPr>
                <w:rFonts w:ascii="Garamond" w:hAnsi="Garamond"/>
                <w:lang w:val="sq-AL" w:bidi="en-US"/>
              </w:rPr>
            </w:pPr>
          </w:p>
        </w:tc>
        <w:tc>
          <w:tcPr>
            <w:tcW w:w="2117" w:type="pct"/>
            <w:tcBorders>
              <w:top w:val="single" w:sz="4" w:space="0" w:color="auto"/>
              <w:left w:val="single" w:sz="4" w:space="0" w:color="auto"/>
              <w:bottom w:val="double" w:sz="4" w:space="0" w:color="auto"/>
              <w:right w:val="doub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 xml:space="preserve">Duke marrë në konsideratë vendndodhjen e elementeve që ndikojnë negativisht mjedisin dhe shëndetin e njeriut </w:t>
            </w:r>
          </w:p>
        </w:tc>
      </w:tr>
    </w:tbl>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lastRenderedPageBreak/>
        <w:t>Tabela 2</w:t>
      </w:r>
    </w:p>
    <w:p w:rsidR="00F020CC" w:rsidRPr="00B67DFC" w:rsidRDefault="00F020CC" w:rsidP="00F020CC">
      <w:pPr>
        <w:widowControl w:val="0"/>
        <w:ind w:firstLine="720"/>
        <w:jc w:val="both"/>
        <w:rPr>
          <w:rFonts w:ascii="Garamond" w:hAnsi="Garamond"/>
          <w:lang w:val="sq-AL" w:bidi="en-US"/>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0A0" w:firstRow="1" w:lastRow="0" w:firstColumn="1" w:lastColumn="0" w:noHBand="0" w:noVBand="0"/>
      </w:tblPr>
      <w:tblGrid>
        <w:gridCol w:w="3055"/>
        <w:gridCol w:w="1910"/>
        <w:gridCol w:w="3645"/>
      </w:tblGrid>
      <w:tr w:rsidR="00F020CC" w:rsidRPr="00B67DFC" w:rsidTr="00F020CC">
        <w:tc>
          <w:tcPr>
            <w:tcW w:w="5000" w:type="pct"/>
            <w:gridSpan w:val="3"/>
            <w:tcBorders>
              <w:top w:val="double" w:sz="4" w:space="0" w:color="auto"/>
              <w:left w:val="double" w:sz="4" w:space="0" w:color="auto"/>
              <w:bottom w:val="single" w:sz="4" w:space="0" w:color="auto"/>
              <w:right w:val="double" w:sz="4" w:space="0" w:color="auto"/>
            </w:tcBorders>
            <w:shd w:val="clear" w:color="auto" w:fill="E0E0E0"/>
          </w:tcPr>
          <w:p w:rsidR="00F020CC" w:rsidRPr="00B67DFC" w:rsidRDefault="00F020CC" w:rsidP="00F020CC">
            <w:pPr>
              <w:widowControl w:val="0"/>
              <w:rPr>
                <w:rFonts w:ascii="Garamond" w:hAnsi="Garamond"/>
                <w:b/>
                <w:lang w:val="sq-AL" w:bidi="en-US"/>
              </w:rPr>
            </w:pPr>
            <w:r w:rsidRPr="00B67DFC">
              <w:rPr>
                <w:rFonts w:ascii="Garamond" w:hAnsi="Garamond"/>
                <w:b/>
                <w:lang w:val="sq-AL" w:bidi="en-US"/>
              </w:rPr>
              <w:t>2. Propozime të PPV-së</w:t>
            </w:r>
          </w:p>
        </w:tc>
      </w:tr>
      <w:tr w:rsidR="00F020CC" w:rsidRPr="00B67DFC" w:rsidTr="00F020CC">
        <w:tc>
          <w:tcPr>
            <w:tcW w:w="1774" w:type="pct"/>
            <w:tcBorders>
              <w:top w:val="single" w:sz="4" w:space="0" w:color="auto"/>
              <w:left w:val="double" w:sz="4" w:space="0" w:color="auto"/>
              <w:bottom w:val="single" w:sz="4" w:space="0" w:color="auto"/>
              <w:right w:val="single" w:sz="4" w:space="0" w:color="auto"/>
            </w:tcBorders>
            <w:shd w:val="clear" w:color="auto" w:fill="E0E0E0"/>
          </w:tcPr>
          <w:p w:rsidR="00F020CC" w:rsidRPr="00B67DFC" w:rsidRDefault="00F020CC" w:rsidP="00F020CC">
            <w:pPr>
              <w:widowControl w:val="0"/>
              <w:jc w:val="center"/>
              <w:rPr>
                <w:rFonts w:ascii="Garamond" w:hAnsi="Garamond"/>
                <w:b/>
                <w:lang w:val="sq-AL" w:bidi="en-US"/>
              </w:rPr>
            </w:pPr>
            <w:r w:rsidRPr="00B67DFC">
              <w:rPr>
                <w:rFonts w:ascii="Garamond" w:hAnsi="Garamond"/>
                <w:b/>
                <w:lang w:val="sq-AL" w:bidi="en-US"/>
              </w:rPr>
              <w:t>Emërtimi</w:t>
            </w:r>
          </w:p>
        </w:tc>
        <w:tc>
          <w:tcPr>
            <w:tcW w:w="1109" w:type="pct"/>
            <w:tcBorders>
              <w:top w:val="single" w:sz="4" w:space="0" w:color="auto"/>
              <w:left w:val="single" w:sz="4" w:space="0" w:color="auto"/>
              <w:bottom w:val="single" w:sz="4" w:space="0" w:color="auto"/>
              <w:right w:val="single" w:sz="4" w:space="0" w:color="auto"/>
            </w:tcBorders>
            <w:shd w:val="clear" w:color="auto" w:fill="E0E0E0"/>
          </w:tcPr>
          <w:p w:rsidR="00F020CC" w:rsidRPr="00B67DFC" w:rsidRDefault="00F020CC" w:rsidP="00F020CC">
            <w:pPr>
              <w:widowControl w:val="0"/>
              <w:jc w:val="center"/>
              <w:rPr>
                <w:rFonts w:ascii="Garamond" w:hAnsi="Garamond"/>
                <w:b/>
                <w:lang w:val="sq-AL" w:bidi="en-US"/>
              </w:rPr>
            </w:pPr>
            <w:r w:rsidRPr="00B67DFC">
              <w:rPr>
                <w:rFonts w:ascii="Garamond" w:hAnsi="Garamond"/>
                <w:b/>
                <w:lang w:val="sq-AL" w:bidi="en-US"/>
              </w:rPr>
              <w:t>Njësia</w:t>
            </w:r>
          </w:p>
        </w:tc>
        <w:tc>
          <w:tcPr>
            <w:tcW w:w="2117" w:type="pct"/>
            <w:tcBorders>
              <w:top w:val="single" w:sz="4" w:space="0" w:color="auto"/>
              <w:left w:val="single" w:sz="4" w:space="0" w:color="auto"/>
              <w:bottom w:val="single" w:sz="4" w:space="0" w:color="auto"/>
              <w:right w:val="double" w:sz="4" w:space="0" w:color="auto"/>
            </w:tcBorders>
            <w:shd w:val="clear" w:color="auto" w:fill="E0E0E0"/>
          </w:tcPr>
          <w:p w:rsidR="00F020CC" w:rsidRPr="00B67DFC" w:rsidRDefault="00F020CC" w:rsidP="00F020CC">
            <w:pPr>
              <w:widowControl w:val="0"/>
              <w:jc w:val="center"/>
              <w:rPr>
                <w:rFonts w:ascii="Garamond" w:hAnsi="Garamond"/>
                <w:b/>
                <w:lang w:val="sq-AL" w:bidi="en-US"/>
              </w:rPr>
            </w:pPr>
            <w:r w:rsidRPr="00B67DFC">
              <w:rPr>
                <w:rFonts w:ascii="Garamond" w:hAnsi="Garamond"/>
                <w:b/>
                <w:lang w:val="sq-AL" w:bidi="en-US"/>
              </w:rPr>
              <w:t>Specifikime</w:t>
            </w:r>
          </w:p>
        </w:tc>
      </w:tr>
      <w:tr w:rsidR="00F020CC" w:rsidRPr="00B67DFC" w:rsidTr="00F020CC">
        <w:tc>
          <w:tcPr>
            <w:tcW w:w="1774" w:type="pct"/>
            <w:tcBorders>
              <w:top w:val="single" w:sz="4" w:space="0" w:color="auto"/>
              <w:left w:val="double" w:sz="4" w:space="0" w:color="auto"/>
              <w:bottom w:val="single" w:sz="4" w:space="0" w:color="auto"/>
              <w:right w:val="sing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Lloji i zhvillimit të pritshëm në 10 vitet e ardhshme</w:t>
            </w:r>
          </w:p>
        </w:tc>
        <w:tc>
          <w:tcPr>
            <w:tcW w:w="1109" w:type="pct"/>
            <w:tcBorders>
              <w:top w:val="single" w:sz="4" w:space="0" w:color="auto"/>
              <w:left w:val="single" w:sz="4" w:space="0" w:color="auto"/>
              <w:bottom w:val="single" w:sz="4" w:space="0" w:color="auto"/>
              <w:right w:val="single" w:sz="4" w:space="0" w:color="auto"/>
            </w:tcBorders>
          </w:tcPr>
          <w:p w:rsidR="00F020CC" w:rsidRPr="00B67DFC" w:rsidRDefault="00F020CC" w:rsidP="00F020CC">
            <w:pPr>
              <w:widowControl w:val="0"/>
              <w:rPr>
                <w:rFonts w:ascii="Garamond" w:hAnsi="Garamond"/>
                <w:lang w:val="sq-AL" w:bidi="en-US"/>
              </w:rPr>
            </w:pPr>
          </w:p>
        </w:tc>
        <w:tc>
          <w:tcPr>
            <w:tcW w:w="2117" w:type="pct"/>
            <w:tcBorders>
              <w:top w:val="single" w:sz="4" w:space="0" w:color="auto"/>
              <w:left w:val="single" w:sz="4" w:space="0" w:color="auto"/>
              <w:bottom w:val="single" w:sz="4" w:space="0" w:color="auto"/>
              <w:right w:val="doub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 xml:space="preserve">Ndryshime në përdorim toke, përdorime të reja toke etj. </w:t>
            </w:r>
          </w:p>
        </w:tc>
      </w:tr>
      <w:tr w:rsidR="00F020CC" w:rsidRPr="00B67DFC" w:rsidTr="00F020CC">
        <w:tc>
          <w:tcPr>
            <w:tcW w:w="1774" w:type="pct"/>
            <w:tcBorders>
              <w:top w:val="single" w:sz="4" w:space="0" w:color="auto"/>
              <w:left w:val="double" w:sz="4" w:space="0" w:color="auto"/>
              <w:bottom w:val="single" w:sz="4" w:space="0" w:color="auto"/>
              <w:right w:val="sing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Përdorimet kryesore të propozuara të tokës</w:t>
            </w:r>
          </w:p>
        </w:tc>
        <w:tc>
          <w:tcPr>
            <w:tcW w:w="1109" w:type="pct"/>
            <w:tcBorders>
              <w:top w:val="single" w:sz="4" w:space="0" w:color="auto"/>
              <w:left w:val="single" w:sz="4" w:space="0" w:color="auto"/>
              <w:bottom w:val="single" w:sz="4" w:space="0" w:color="auto"/>
              <w:right w:val="single" w:sz="4" w:space="0" w:color="auto"/>
            </w:tcBorders>
          </w:tcPr>
          <w:p w:rsidR="00F020CC" w:rsidRPr="00B67DFC" w:rsidRDefault="00F020CC" w:rsidP="00F020CC">
            <w:pPr>
              <w:widowControl w:val="0"/>
              <w:rPr>
                <w:rFonts w:ascii="Garamond" w:hAnsi="Garamond"/>
                <w:lang w:val="sq-AL" w:bidi="en-US"/>
              </w:rPr>
            </w:pPr>
          </w:p>
        </w:tc>
        <w:tc>
          <w:tcPr>
            <w:tcW w:w="2117" w:type="pct"/>
            <w:tcBorders>
              <w:top w:val="single" w:sz="4" w:space="0" w:color="auto"/>
              <w:left w:val="single" w:sz="4" w:space="0" w:color="auto"/>
              <w:bottom w:val="single" w:sz="4" w:space="0" w:color="auto"/>
              <w:right w:val="doub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Bazuar në kategoritë bazë dhe nënkategoritë e përdorimit të tokës</w:t>
            </w:r>
          </w:p>
        </w:tc>
      </w:tr>
      <w:tr w:rsidR="00F020CC" w:rsidRPr="00B67DFC" w:rsidTr="00F020CC">
        <w:tc>
          <w:tcPr>
            <w:tcW w:w="1774" w:type="pct"/>
            <w:tcBorders>
              <w:top w:val="single" w:sz="4" w:space="0" w:color="auto"/>
              <w:left w:val="double" w:sz="4" w:space="0" w:color="auto"/>
              <w:bottom w:val="single" w:sz="4" w:space="0" w:color="auto"/>
              <w:right w:val="sing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Numri i popullsisë së pritshme shtesë në 10 vitet e ardhshme</w:t>
            </w:r>
          </w:p>
        </w:tc>
        <w:tc>
          <w:tcPr>
            <w:tcW w:w="1109" w:type="pct"/>
            <w:tcBorders>
              <w:top w:val="single" w:sz="4" w:space="0" w:color="auto"/>
              <w:left w:val="single" w:sz="4" w:space="0" w:color="auto"/>
              <w:bottom w:val="single" w:sz="4" w:space="0" w:color="auto"/>
              <w:right w:val="sing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banorë</w:t>
            </w:r>
          </w:p>
        </w:tc>
        <w:tc>
          <w:tcPr>
            <w:tcW w:w="2117" w:type="pct"/>
            <w:tcBorders>
              <w:top w:val="single" w:sz="4" w:space="0" w:color="auto"/>
              <w:left w:val="single" w:sz="4" w:space="0" w:color="auto"/>
              <w:bottom w:val="single" w:sz="4" w:space="0" w:color="auto"/>
              <w:right w:val="doub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Vlerësimi sipas parashikimeve demografike</w:t>
            </w:r>
          </w:p>
        </w:tc>
      </w:tr>
      <w:tr w:rsidR="00F020CC" w:rsidRPr="00B67DFC" w:rsidTr="00F020CC">
        <w:tc>
          <w:tcPr>
            <w:tcW w:w="1774" w:type="pct"/>
            <w:tcBorders>
              <w:top w:val="single" w:sz="4" w:space="0" w:color="auto"/>
              <w:left w:val="double" w:sz="4" w:space="0" w:color="auto"/>
              <w:bottom w:val="single" w:sz="4" w:space="0" w:color="auto"/>
              <w:right w:val="sing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Sipërfaqja e përgjithshme e ndërtimit të shtuar për banim</w:t>
            </w:r>
          </w:p>
        </w:tc>
        <w:tc>
          <w:tcPr>
            <w:tcW w:w="1109" w:type="pct"/>
            <w:tcBorders>
              <w:top w:val="single" w:sz="4" w:space="0" w:color="auto"/>
              <w:left w:val="single" w:sz="4" w:space="0" w:color="auto"/>
              <w:bottom w:val="single" w:sz="4" w:space="0" w:color="auto"/>
              <w:right w:val="sing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ha</w:t>
            </w:r>
          </w:p>
        </w:tc>
        <w:tc>
          <w:tcPr>
            <w:tcW w:w="2117" w:type="pct"/>
            <w:tcBorders>
              <w:top w:val="single" w:sz="4" w:space="0" w:color="auto"/>
              <w:left w:val="single" w:sz="4" w:space="0" w:color="auto"/>
              <w:bottom w:val="single" w:sz="4" w:space="0" w:color="auto"/>
              <w:right w:val="doub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Sipërfaqja që pritet të shtohet për banim në 10 vitet e ardhshme</w:t>
            </w:r>
          </w:p>
        </w:tc>
      </w:tr>
      <w:tr w:rsidR="00F020CC" w:rsidRPr="00B67DFC" w:rsidTr="00F020CC">
        <w:tc>
          <w:tcPr>
            <w:tcW w:w="1774" w:type="pct"/>
            <w:tcBorders>
              <w:top w:val="single" w:sz="4" w:space="0" w:color="auto"/>
              <w:left w:val="double" w:sz="4" w:space="0" w:color="auto"/>
              <w:bottom w:val="single" w:sz="4" w:space="0" w:color="auto"/>
              <w:right w:val="sing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Sipërfaqja e përgjithshme e ndërtimit të shtuar jo për banim</w:t>
            </w:r>
          </w:p>
        </w:tc>
        <w:tc>
          <w:tcPr>
            <w:tcW w:w="1109" w:type="pct"/>
            <w:tcBorders>
              <w:top w:val="single" w:sz="4" w:space="0" w:color="auto"/>
              <w:left w:val="single" w:sz="4" w:space="0" w:color="auto"/>
              <w:bottom w:val="single" w:sz="4" w:space="0" w:color="auto"/>
              <w:right w:val="sing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ha</w:t>
            </w:r>
          </w:p>
        </w:tc>
        <w:tc>
          <w:tcPr>
            <w:tcW w:w="2117" w:type="pct"/>
            <w:tcBorders>
              <w:top w:val="single" w:sz="4" w:space="0" w:color="auto"/>
              <w:left w:val="single" w:sz="4" w:space="0" w:color="auto"/>
              <w:bottom w:val="single" w:sz="4" w:space="0" w:color="auto"/>
              <w:right w:val="doub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Specifikimi i funksioneve biznes, tregti, industri etj.</w:t>
            </w:r>
          </w:p>
        </w:tc>
      </w:tr>
      <w:tr w:rsidR="00F020CC" w:rsidRPr="00B67DFC" w:rsidTr="00F020CC">
        <w:tc>
          <w:tcPr>
            <w:tcW w:w="1774" w:type="pct"/>
            <w:tcBorders>
              <w:top w:val="single" w:sz="4" w:space="0" w:color="auto"/>
              <w:left w:val="double" w:sz="4" w:space="0" w:color="auto"/>
              <w:bottom w:val="single" w:sz="4" w:space="0" w:color="auto"/>
              <w:right w:val="sing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Sipërfaqe përgjithshme e zonave në mbrojtje</w:t>
            </w:r>
          </w:p>
        </w:tc>
        <w:tc>
          <w:tcPr>
            <w:tcW w:w="1109" w:type="pct"/>
            <w:tcBorders>
              <w:top w:val="single" w:sz="4" w:space="0" w:color="auto"/>
              <w:left w:val="single" w:sz="4" w:space="0" w:color="auto"/>
              <w:bottom w:val="single" w:sz="4" w:space="0" w:color="auto"/>
              <w:right w:val="single" w:sz="4" w:space="0" w:color="auto"/>
            </w:tcBorders>
          </w:tcPr>
          <w:p w:rsidR="00F020CC" w:rsidRPr="00B67DFC" w:rsidRDefault="00F020CC" w:rsidP="00F020CC">
            <w:pPr>
              <w:widowControl w:val="0"/>
              <w:rPr>
                <w:rFonts w:ascii="Garamond" w:hAnsi="Garamond"/>
                <w:lang w:val="sq-AL" w:bidi="en-US"/>
              </w:rPr>
            </w:pPr>
          </w:p>
        </w:tc>
        <w:tc>
          <w:tcPr>
            <w:tcW w:w="2117" w:type="pct"/>
            <w:tcBorders>
              <w:top w:val="single" w:sz="4" w:space="0" w:color="auto"/>
              <w:left w:val="single" w:sz="4" w:space="0" w:color="auto"/>
              <w:bottom w:val="single" w:sz="4" w:space="0" w:color="auto"/>
              <w:right w:val="doub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 xml:space="preserve">Zonat e mbrojtura, zona për konservim etj. </w:t>
            </w:r>
          </w:p>
        </w:tc>
      </w:tr>
      <w:tr w:rsidR="00F020CC" w:rsidRPr="00B67DFC" w:rsidTr="00F020CC">
        <w:trPr>
          <w:trHeight w:val="638"/>
        </w:trPr>
        <w:tc>
          <w:tcPr>
            <w:tcW w:w="1774" w:type="pct"/>
            <w:tcBorders>
              <w:top w:val="single" w:sz="4" w:space="0" w:color="auto"/>
              <w:left w:val="double" w:sz="4" w:space="0" w:color="auto"/>
              <w:bottom w:val="single" w:sz="4" w:space="0" w:color="auto"/>
              <w:right w:val="sing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Sipërfaqe e përgjithshme e banesave për strehim social</w:t>
            </w:r>
          </w:p>
        </w:tc>
        <w:tc>
          <w:tcPr>
            <w:tcW w:w="1109" w:type="pct"/>
            <w:tcBorders>
              <w:top w:val="single" w:sz="4" w:space="0" w:color="auto"/>
              <w:left w:val="single" w:sz="4" w:space="0" w:color="auto"/>
              <w:bottom w:val="single" w:sz="4" w:space="0" w:color="auto"/>
              <w:right w:val="sing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ha</w:t>
            </w:r>
          </w:p>
        </w:tc>
        <w:tc>
          <w:tcPr>
            <w:tcW w:w="2117" w:type="pct"/>
            <w:tcBorders>
              <w:top w:val="single" w:sz="4" w:space="0" w:color="auto"/>
              <w:left w:val="single" w:sz="4" w:space="0" w:color="auto"/>
              <w:bottom w:val="single" w:sz="4" w:space="0" w:color="auto"/>
              <w:right w:val="double" w:sz="4" w:space="0" w:color="auto"/>
            </w:tcBorders>
          </w:tcPr>
          <w:p w:rsidR="00F020CC" w:rsidRPr="00B67DFC" w:rsidRDefault="00F020CC" w:rsidP="00F020CC">
            <w:pPr>
              <w:widowControl w:val="0"/>
              <w:rPr>
                <w:rFonts w:ascii="Garamond" w:hAnsi="Garamond"/>
                <w:lang w:val="sq-AL" w:bidi="en-US"/>
              </w:rPr>
            </w:pPr>
          </w:p>
        </w:tc>
      </w:tr>
      <w:tr w:rsidR="00F020CC" w:rsidRPr="00B67DFC" w:rsidTr="00F020CC">
        <w:tc>
          <w:tcPr>
            <w:tcW w:w="1774" w:type="pct"/>
            <w:tcBorders>
              <w:top w:val="single" w:sz="4" w:space="0" w:color="auto"/>
              <w:left w:val="double" w:sz="4" w:space="0" w:color="auto"/>
              <w:bottom w:val="single" w:sz="4" w:space="0" w:color="auto"/>
              <w:right w:val="sing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Sipërfaqe të gjelbra shtesë</w:t>
            </w:r>
          </w:p>
        </w:tc>
        <w:tc>
          <w:tcPr>
            <w:tcW w:w="1109" w:type="pct"/>
            <w:tcBorders>
              <w:top w:val="single" w:sz="4" w:space="0" w:color="auto"/>
              <w:left w:val="single" w:sz="4" w:space="0" w:color="auto"/>
              <w:bottom w:val="single" w:sz="4" w:space="0" w:color="auto"/>
              <w:right w:val="sing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ha</w:t>
            </w:r>
          </w:p>
        </w:tc>
        <w:tc>
          <w:tcPr>
            <w:tcW w:w="2117" w:type="pct"/>
            <w:tcBorders>
              <w:top w:val="single" w:sz="4" w:space="0" w:color="auto"/>
              <w:left w:val="single" w:sz="4" w:space="0" w:color="auto"/>
              <w:bottom w:val="single" w:sz="4" w:space="0" w:color="auto"/>
              <w:right w:val="doub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 xml:space="preserve">Parqe, pyje etj. </w:t>
            </w:r>
          </w:p>
        </w:tc>
      </w:tr>
      <w:tr w:rsidR="00F020CC" w:rsidRPr="00B67DFC" w:rsidTr="00F020CC">
        <w:tc>
          <w:tcPr>
            <w:tcW w:w="1774" w:type="pct"/>
            <w:tcBorders>
              <w:top w:val="single" w:sz="4" w:space="0" w:color="auto"/>
              <w:left w:val="double" w:sz="4" w:space="0" w:color="auto"/>
              <w:bottom w:val="single" w:sz="4" w:space="0" w:color="auto"/>
              <w:right w:val="sing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Numri njësive strukturore</w:t>
            </w:r>
          </w:p>
        </w:tc>
        <w:tc>
          <w:tcPr>
            <w:tcW w:w="1109" w:type="pct"/>
            <w:tcBorders>
              <w:top w:val="single" w:sz="4" w:space="0" w:color="auto"/>
              <w:left w:val="single" w:sz="4" w:space="0" w:color="auto"/>
              <w:bottom w:val="single" w:sz="4" w:space="0" w:color="auto"/>
              <w:right w:val="single" w:sz="4" w:space="0" w:color="auto"/>
            </w:tcBorders>
          </w:tcPr>
          <w:p w:rsidR="00F020CC" w:rsidRPr="00B67DFC" w:rsidRDefault="00F020CC" w:rsidP="00F020CC">
            <w:pPr>
              <w:widowControl w:val="0"/>
              <w:rPr>
                <w:rFonts w:ascii="Garamond" w:hAnsi="Garamond"/>
                <w:lang w:val="sq-AL" w:bidi="en-US"/>
              </w:rPr>
            </w:pPr>
          </w:p>
        </w:tc>
        <w:tc>
          <w:tcPr>
            <w:tcW w:w="2117" w:type="pct"/>
            <w:tcBorders>
              <w:top w:val="single" w:sz="4" w:space="0" w:color="auto"/>
              <w:left w:val="single" w:sz="4" w:space="0" w:color="auto"/>
              <w:bottom w:val="single" w:sz="4" w:space="0" w:color="auto"/>
              <w:right w:val="double" w:sz="4" w:space="0" w:color="auto"/>
            </w:tcBorders>
          </w:tcPr>
          <w:p w:rsidR="00F020CC" w:rsidRPr="00B67DFC" w:rsidRDefault="00F020CC" w:rsidP="00F020CC">
            <w:pPr>
              <w:widowControl w:val="0"/>
              <w:rPr>
                <w:rFonts w:ascii="Garamond" w:hAnsi="Garamond"/>
                <w:lang w:val="sq-AL" w:bidi="en-US"/>
              </w:rPr>
            </w:pPr>
          </w:p>
        </w:tc>
      </w:tr>
      <w:tr w:rsidR="00F020CC" w:rsidRPr="00B67DFC" w:rsidTr="00F020CC">
        <w:tc>
          <w:tcPr>
            <w:tcW w:w="1774" w:type="pct"/>
            <w:tcBorders>
              <w:top w:val="single" w:sz="4" w:space="0" w:color="auto"/>
              <w:left w:val="double" w:sz="4" w:space="0" w:color="auto"/>
              <w:bottom w:val="double" w:sz="4" w:space="0" w:color="auto"/>
              <w:right w:val="sing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 xml:space="preserve">Numri i </w:t>
            </w:r>
            <w:proofErr w:type="spellStart"/>
            <w:r w:rsidRPr="00B67DFC">
              <w:rPr>
                <w:rFonts w:ascii="Garamond" w:hAnsi="Garamond"/>
                <w:lang w:val="sq-AL" w:bidi="en-US"/>
              </w:rPr>
              <w:t>nënnjësive</w:t>
            </w:r>
            <w:proofErr w:type="spellEnd"/>
            <w:r w:rsidRPr="00B67DFC">
              <w:rPr>
                <w:rFonts w:ascii="Garamond" w:hAnsi="Garamond"/>
                <w:lang w:val="sq-AL" w:bidi="en-US"/>
              </w:rPr>
              <w:t xml:space="preserve"> strukturore</w:t>
            </w:r>
          </w:p>
        </w:tc>
        <w:tc>
          <w:tcPr>
            <w:tcW w:w="1109" w:type="pct"/>
            <w:tcBorders>
              <w:top w:val="single" w:sz="4" w:space="0" w:color="auto"/>
              <w:left w:val="single" w:sz="4" w:space="0" w:color="auto"/>
              <w:bottom w:val="double" w:sz="4" w:space="0" w:color="auto"/>
              <w:right w:val="single" w:sz="4" w:space="0" w:color="auto"/>
            </w:tcBorders>
          </w:tcPr>
          <w:p w:rsidR="00F020CC" w:rsidRPr="00B67DFC" w:rsidRDefault="00F020CC" w:rsidP="00F020CC">
            <w:pPr>
              <w:widowControl w:val="0"/>
              <w:rPr>
                <w:rFonts w:ascii="Garamond" w:hAnsi="Garamond"/>
                <w:lang w:val="sq-AL" w:bidi="en-US"/>
              </w:rPr>
            </w:pPr>
          </w:p>
        </w:tc>
        <w:tc>
          <w:tcPr>
            <w:tcW w:w="2117" w:type="pct"/>
            <w:tcBorders>
              <w:top w:val="single" w:sz="4" w:space="0" w:color="auto"/>
              <w:left w:val="single" w:sz="4" w:space="0" w:color="auto"/>
              <w:bottom w:val="double" w:sz="4" w:space="0" w:color="auto"/>
              <w:right w:val="double" w:sz="4" w:space="0" w:color="auto"/>
            </w:tcBorders>
          </w:tcPr>
          <w:p w:rsidR="00F020CC" w:rsidRPr="00B67DFC" w:rsidRDefault="00F020CC" w:rsidP="00F020CC">
            <w:pPr>
              <w:widowControl w:val="0"/>
              <w:rPr>
                <w:rFonts w:ascii="Garamond" w:hAnsi="Garamond"/>
                <w:lang w:val="sq-AL" w:bidi="en-US"/>
              </w:rPr>
            </w:pPr>
          </w:p>
        </w:tc>
      </w:tr>
    </w:tbl>
    <w:p w:rsidR="00F020CC" w:rsidRPr="00B67DFC" w:rsidRDefault="00F020CC" w:rsidP="00F020CC">
      <w:pPr>
        <w:widowControl w:val="0"/>
        <w:ind w:firstLine="720"/>
        <w:jc w:val="both"/>
        <w:rPr>
          <w:rFonts w:ascii="Garamond" w:hAnsi="Garamond"/>
          <w:lang w:val="sq-AL" w:bidi="en-US"/>
        </w:rPr>
      </w:pPr>
    </w:p>
    <w:p w:rsidR="00F020CC" w:rsidRPr="00B67DFC" w:rsidRDefault="00F020CC" w:rsidP="00F020CC">
      <w:pPr>
        <w:widowControl w:val="0"/>
        <w:ind w:firstLine="720"/>
        <w:jc w:val="both"/>
        <w:rPr>
          <w:rFonts w:ascii="Garamond" w:hAnsi="Garamond"/>
          <w:lang w:val="sq-AL" w:bidi="en-US"/>
        </w:rPr>
      </w:pPr>
      <w:r w:rsidRPr="00B67DFC">
        <w:rPr>
          <w:rFonts w:ascii="Garamond" w:hAnsi="Garamond"/>
          <w:lang w:val="sq-AL" w:bidi="en-US"/>
        </w:rPr>
        <w:t>Tabela 3</w:t>
      </w:r>
    </w:p>
    <w:p w:rsidR="00F020CC" w:rsidRPr="00B67DFC" w:rsidRDefault="00F020CC" w:rsidP="00F020CC">
      <w:pPr>
        <w:widowControl w:val="0"/>
        <w:ind w:firstLine="720"/>
        <w:jc w:val="both"/>
        <w:rPr>
          <w:rFonts w:ascii="Garamond" w:hAnsi="Garamond"/>
          <w:lang w:val="sq-AL" w:bidi="en-US"/>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0A0" w:firstRow="1" w:lastRow="0" w:firstColumn="1" w:lastColumn="0" w:noHBand="0" w:noVBand="0"/>
      </w:tblPr>
      <w:tblGrid>
        <w:gridCol w:w="3123"/>
        <w:gridCol w:w="1870"/>
        <w:gridCol w:w="3617"/>
      </w:tblGrid>
      <w:tr w:rsidR="00F020CC" w:rsidRPr="00B67DFC" w:rsidTr="00F020CC">
        <w:tc>
          <w:tcPr>
            <w:tcW w:w="9576" w:type="dxa"/>
            <w:gridSpan w:val="3"/>
            <w:tcBorders>
              <w:top w:val="double" w:sz="4" w:space="0" w:color="auto"/>
              <w:left w:val="double" w:sz="4" w:space="0" w:color="auto"/>
              <w:bottom w:val="single" w:sz="4" w:space="0" w:color="auto"/>
              <w:right w:val="double" w:sz="4" w:space="0" w:color="auto"/>
            </w:tcBorders>
            <w:shd w:val="clear" w:color="auto" w:fill="E0E0E0"/>
          </w:tcPr>
          <w:p w:rsidR="00F020CC" w:rsidRPr="00B67DFC" w:rsidRDefault="00F020CC" w:rsidP="00F020CC">
            <w:pPr>
              <w:widowControl w:val="0"/>
              <w:rPr>
                <w:rFonts w:ascii="Garamond" w:hAnsi="Garamond"/>
                <w:b/>
                <w:lang w:val="sq-AL" w:bidi="en-US"/>
              </w:rPr>
            </w:pPr>
            <w:r w:rsidRPr="00B67DFC">
              <w:rPr>
                <w:rFonts w:ascii="Garamond" w:hAnsi="Garamond"/>
                <w:b/>
                <w:lang w:val="sq-AL" w:bidi="en-US"/>
              </w:rPr>
              <w:t xml:space="preserve">3. Të dhëna financiare </w:t>
            </w:r>
          </w:p>
        </w:tc>
      </w:tr>
      <w:tr w:rsidR="00F020CC" w:rsidRPr="00B67DFC" w:rsidTr="00F020CC">
        <w:tc>
          <w:tcPr>
            <w:tcW w:w="3468" w:type="dxa"/>
            <w:tcBorders>
              <w:top w:val="single" w:sz="4" w:space="0" w:color="auto"/>
              <w:left w:val="double" w:sz="4" w:space="0" w:color="auto"/>
              <w:bottom w:val="single" w:sz="4" w:space="0" w:color="auto"/>
              <w:right w:val="single" w:sz="4" w:space="0" w:color="auto"/>
            </w:tcBorders>
            <w:shd w:val="clear" w:color="auto" w:fill="E0E0E0"/>
          </w:tcPr>
          <w:p w:rsidR="00F020CC" w:rsidRPr="00B67DFC" w:rsidRDefault="00F020CC" w:rsidP="00F020CC">
            <w:pPr>
              <w:widowControl w:val="0"/>
              <w:jc w:val="center"/>
              <w:rPr>
                <w:rFonts w:ascii="Garamond" w:hAnsi="Garamond"/>
                <w:b/>
                <w:lang w:val="sq-AL" w:bidi="en-US"/>
              </w:rPr>
            </w:pPr>
            <w:r w:rsidRPr="00B67DFC">
              <w:rPr>
                <w:rFonts w:ascii="Garamond" w:hAnsi="Garamond"/>
                <w:b/>
                <w:lang w:val="sq-AL" w:bidi="en-US"/>
              </w:rPr>
              <w:t>Emërtimi</w:t>
            </w:r>
          </w:p>
        </w:tc>
        <w:tc>
          <w:tcPr>
            <w:tcW w:w="2040" w:type="dxa"/>
            <w:tcBorders>
              <w:top w:val="single" w:sz="4" w:space="0" w:color="auto"/>
              <w:left w:val="single" w:sz="4" w:space="0" w:color="auto"/>
              <w:bottom w:val="single" w:sz="4" w:space="0" w:color="auto"/>
              <w:right w:val="single" w:sz="4" w:space="0" w:color="auto"/>
            </w:tcBorders>
            <w:shd w:val="clear" w:color="auto" w:fill="E0E0E0"/>
          </w:tcPr>
          <w:p w:rsidR="00F020CC" w:rsidRPr="00B67DFC" w:rsidRDefault="00F020CC" w:rsidP="00F020CC">
            <w:pPr>
              <w:widowControl w:val="0"/>
              <w:jc w:val="center"/>
              <w:rPr>
                <w:rFonts w:ascii="Garamond" w:hAnsi="Garamond"/>
                <w:b/>
                <w:lang w:val="sq-AL" w:bidi="en-US"/>
              </w:rPr>
            </w:pPr>
            <w:r w:rsidRPr="00B67DFC">
              <w:rPr>
                <w:rFonts w:ascii="Garamond" w:hAnsi="Garamond"/>
                <w:b/>
                <w:lang w:val="sq-AL" w:bidi="en-US"/>
              </w:rPr>
              <w:t>Njësia</w:t>
            </w:r>
          </w:p>
        </w:tc>
        <w:tc>
          <w:tcPr>
            <w:tcW w:w="4068" w:type="dxa"/>
            <w:tcBorders>
              <w:top w:val="single" w:sz="4" w:space="0" w:color="auto"/>
              <w:left w:val="single" w:sz="4" w:space="0" w:color="auto"/>
              <w:bottom w:val="single" w:sz="4" w:space="0" w:color="auto"/>
              <w:right w:val="double" w:sz="4" w:space="0" w:color="auto"/>
            </w:tcBorders>
            <w:shd w:val="clear" w:color="auto" w:fill="E0E0E0"/>
          </w:tcPr>
          <w:p w:rsidR="00F020CC" w:rsidRPr="00B67DFC" w:rsidRDefault="00F020CC" w:rsidP="00F020CC">
            <w:pPr>
              <w:widowControl w:val="0"/>
              <w:jc w:val="center"/>
              <w:rPr>
                <w:rFonts w:ascii="Garamond" w:hAnsi="Garamond"/>
                <w:b/>
                <w:lang w:val="sq-AL" w:bidi="en-US"/>
              </w:rPr>
            </w:pPr>
            <w:r w:rsidRPr="00B67DFC">
              <w:rPr>
                <w:rFonts w:ascii="Garamond" w:hAnsi="Garamond"/>
                <w:b/>
                <w:lang w:val="sq-AL" w:bidi="en-US"/>
              </w:rPr>
              <w:t>Specifikime</w:t>
            </w:r>
          </w:p>
        </w:tc>
      </w:tr>
      <w:tr w:rsidR="00F020CC" w:rsidRPr="00B67DFC" w:rsidTr="00F020CC">
        <w:tc>
          <w:tcPr>
            <w:tcW w:w="3468" w:type="dxa"/>
            <w:tcBorders>
              <w:top w:val="single" w:sz="4" w:space="0" w:color="auto"/>
              <w:left w:val="double" w:sz="4" w:space="0" w:color="auto"/>
              <w:bottom w:val="single" w:sz="4" w:space="0" w:color="auto"/>
              <w:right w:val="sing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Vlera e përgjithshme e planit e investimeve kapitale</w:t>
            </w:r>
          </w:p>
        </w:tc>
        <w:tc>
          <w:tcPr>
            <w:tcW w:w="2040" w:type="dxa"/>
            <w:tcBorders>
              <w:top w:val="single" w:sz="4" w:space="0" w:color="auto"/>
              <w:left w:val="single" w:sz="4" w:space="0" w:color="auto"/>
              <w:bottom w:val="single" w:sz="4" w:space="0" w:color="auto"/>
              <w:right w:val="sing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Lekë</w:t>
            </w:r>
          </w:p>
        </w:tc>
        <w:tc>
          <w:tcPr>
            <w:tcW w:w="4068" w:type="dxa"/>
            <w:tcBorders>
              <w:top w:val="single" w:sz="4" w:space="0" w:color="auto"/>
              <w:left w:val="single" w:sz="4" w:space="0" w:color="auto"/>
              <w:bottom w:val="single" w:sz="4" w:space="0" w:color="auto"/>
              <w:right w:val="doub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Duhet të jetë në përputhje me programin buxhetor afatmesëm</w:t>
            </w:r>
          </w:p>
        </w:tc>
      </w:tr>
      <w:tr w:rsidR="00F020CC" w:rsidRPr="00B67DFC" w:rsidTr="00F020CC">
        <w:tc>
          <w:tcPr>
            <w:tcW w:w="3468" w:type="dxa"/>
            <w:tcBorders>
              <w:top w:val="single" w:sz="4" w:space="0" w:color="auto"/>
              <w:left w:val="double" w:sz="4" w:space="0" w:color="auto"/>
              <w:bottom w:val="single" w:sz="4" w:space="0" w:color="auto"/>
              <w:right w:val="sing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Fazat e zbatimit të zhvillimit</w:t>
            </w:r>
          </w:p>
        </w:tc>
        <w:tc>
          <w:tcPr>
            <w:tcW w:w="2040" w:type="dxa"/>
            <w:tcBorders>
              <w:top w:val="single" w:sz="4" w:space="0" w:color="auto"/>
              <w:left w:val="single" w:sz="4" w:space="0" w:color="auto"/>
              <w:bottom w:val="single" w:sz="4" w:space="0" w:color="auto"/>
              <w:right w:val="single" w:sz="4" w:space="0" w:color="auto"/>
            </w:tcBorders>
          </w:tcPr>
          <w:p w:rsidR="00F020CC" w:rsidRPr="00B67DFC" w:rsidRDefault="00F020CC" w:rsidP="00F020CC">
            <w:pPr>
              <w:widowControl w:val="0"/>
              <w:rPr>
                <w:rFonts w:ascii="Garamond" w:hAnsi="Garamond"/>
                <w:lang w:val="sq-AL" w:bidi="en-US"/>
              </w:rPr>
            </w:pPr>
          </w:p>
          <w:p w:rsidR="00F020CC" w:rsidRPr="00B67DFC" w:rsidRDefault="00F020CC" w:rsidP="00F020CC">
            <w:pPr>
              <w:widowControl w:val="0"/>
              <w:rPr>
                <w:rFonts w:ascii="Garamond" w:hAnsi="Garamond"/>
                <w:lang w:val="sq-AL" w:bidi="en-US"/>
              </w:rPr>
            </w:pPr>
            <w:r w:rsidRPr="00B67DFC">
              <w:rPr>
                <w:rFonts w:ascii="Garamond" w:hAnsi="Garamond"/>
                <w:lang w:val="sq-AL" w:bidi="en-US"/>
              </w:rPr>
              <w:t>Çdo x vite</w:t>
            </w:r>
          </w:p>
          <w:p w:rsidR="00F020CC" w:rsidRPr="00B67DFC" w:rsidRDefault="00F020CC" w:rsidP="00F020CC">
            <w:pPr>
              <w:widowControl w:val="0"/>
              <w:rPr>
                <w:rFonts w:ascii="Garamond" w:hAnsi="Garamond"/>
                <w:lang w:val="sq-AL" w:bidi="en-US"/>
              </w:rPr>
            </w:pPr>
            <w:r w:rsidRPr="00B67DFC">
              <w:rPr>
                <w:rFonts w:ascii="Garamond" w:hAnsi="Garamond"/>
                <w:lang w:val="sq-AL" w:bidi="en-US"/>
              </w:rPr>
              <w:t>ose periudhat përkatëse</w:t>
            </w:r>
          </w:p>
        </w:tc>
        <w:tc>
          <w:tcPr>
            <w:tcW w:w="4068" w:type="dxa"/>
            <w:tcBorders>
              <w:top w:val="single" w:sz="4" w:space="0" w:color="auto"/>
              <w:left w:val="single" w:sz="4" w:space="0" w:color="auto"/>
              <w:bottom w:val="single" w:sz="4" w:space="0" w:color="auto"/>
              <w:right w:val="doub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 xml:space="preserve">Të ndara në periudha brenda vlefshmërisë kohore të planit për njësitë dhe </w:t>
            </w:r>
            <w:proofErr w:type="spellStart"/>
            <w:r w:rsidRPr="00B67DFC">
              <w:rPr>
                <w:rFonts w:ascii="Garamond" w:hAnsi="Garamond"/>
                <w:lang w:val="sq-AL" w:bidi="en-US"/>
              </w:rPr>
              <w:t>nënnjësitë</w:t>
            </w:r>
            <w:proofErr w:type="spellEnd"/>
            <w:r w:rsidRPr="00B67DFC">
              <w:rPr>
                <w:rFonts w:ascii="Garamond" w:hAnsi="Garamond"/>
                <w:lang w:val="sq-AL" w:bidi="en-US"/>
              </w:rPr>
              <w:t xml:space="preserve"> strukturore përkatëse</w:t>
            </w:r>
          </w:p>
        </w:tc>
      </w:tr>
      <w:tr w:rsidR="00F020CC" w:rsidRPr="00B67DFC" w:rsidTr="00F020CC">
        <w:tc>
          <w:tcPr>
            <w:tcW w:w="3468" w:type="dxa"/>
            <w:tcBorders>
              <w:top w:val="single" w:sz="4" w:space="0" w:color="auto"/>
              <w:left w:val="double" w:sz="4" w:space="0" w:color="auto"/>
              <w:bottom w:val="double" w:sz="4" w:space="0" w:color="auto"/>
              <w:right w:val="sing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 xml:space="preserve">Studimin teknik të </w:t>
            </w:r>
            <w:proofErr w:type="spellStart"/>
            <w:r w:rsidRPr="00B67DFC">
              <w:rPr>
                <w:rFonts w:ascii="Garamond" w:hAnsi="Garamond"/>
                <w:lang w:val="sq-AL" w:bidi="en-US"/>
              </w:rPr>
              <w:t>parafizibilitetit</w:t>
            </w:r>
            <w:proofErr w:type="spellEnd"/>
            <w:r w:rsidRPr="00B67DFC">
              <w:rPr>
                <w:rFonts w:ascii="Garamond" w:hAnsi="Garamond"/>
                <w:lang w:val="sq-AL" w:bidi="en-US"/>
              </w:rPr>
              <w:t xml:space="preserve"> </w:t>
            </w:r>
          </w:p>
        </w:tc>
        <w:tc>
          <w:tcPr>
            <w:tcW w:w="2040" w:type="dxa"/>
            <w:tcBorders>
              <w:top w:val="single" w:sz="4" w:space="0" w:color="auto"/>
              <w:left w:val="single" w:sz="4" w:space="0" w:color="auto"/>
              <w:bottom w:val="double" w:sz="4" w:space="0" w:color="auto"/>
              <w:right w:val="single" w:sz="4" w:space="0" w:color="auto"/>
            </w:tcBorders>
          </w:tcPr>
          <w:p w:rsidR="00F020CC" w:rsidRPr="00B67DFC" w:rsidRDefault="00F020CC" w:rsidP="00F020CC">
            <w:pPr>
              <w:widowControl w:val="0"/>
              <w:rPr>
                <w:rFonts w:ascii="Garamond" w:hAnsi="Garamond"/>
                <w:lang w:val="sq-AL" w:bidi="en-US"/>
              </w:rPr>
            </w:pPr>
          </w:p>
        </w:tc>
        <w:tc>
          <w:tcPr>
            <w:tcW w:w="4068" w:type="dxa"/>
            <w:tcBorders>
              <w:top w:val="single" w:sz="4" w:space="0" w:color="auto"/>
              <w:left w:val="single" w:sz="4" w:space="0" w:color="auto"/>
              <w:bottom w:val="double" w:sz="4" w:space="0" w:color="auto"/>
              <w:right w:val="double" w:sz="4" w:space="0" w:color="auto"/>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Argumentohet zgjidhja e propozuar dhe kostot e përafërta me zërat kryesorë</w:t>
            </w:r>
          </w:p>
        </w:tc>
      </w:tr>
    </w:tbl>
    <w:p w:rsidR="00F020CC" w:rsidRPr="00B67DFC" w:rsidRDefault="00F020CC" w:rsidP="00F020CC">
      <w:pPr>
        <w:widowControl w:val="0"/>
        <w:jc w:val="both"/>
        <w:rPr>
          <w:rFonts w:ascii="Garamond" w:hAnsi="Garamond"/>
          <w:lang w:val="sq-AL" w:bidi="en-US"/>
        </w:rPr>
      </w:pPr>
    </w:p>
    <w:p w:rsidR="00F020CC" w:rsidRPr="00B67DFC" w:rsidRDefault="00F020CC" w:rsidP="00F020CC">
      <w:pPr>
        <w:widowControl w:val="0"/>
        <w:ind w:firstLine="720"/>
        <w:jc w:val="both"/>
        <w:rPr>
          <w:rFonts w:ascii="Garamond" w:hAnsi="Garamond"/>
          <w:b/>
          <w:lang w:bidi="en-US"/>
        </w:rPr>
      </w:pPr>
      <w:r w:rsidRPr="00B67DFC">
        <w:rPr>
          <w:rFonts w:ascii="Garamond" w:hAnsi="Garamond"/>
          <w:b/>
          <w:lang w:bidi="en-US"/>
        </w:rPr>
        <w:t xml:space="preserve">4. </w:t>
      </w:r>
      <w:proofErr w:type="spellStart"/>
      <w:r w:rsidRPr="00B67DFC">
        <w:rPr>
          <w:rFonts w:ascii="Garamond" w:hAnsi="Garamond"/>
          <w:b/>
          <w:lang w:bidi="en-US"/>
        </w:rPr>
        <w:t>Dokumentet</w:t>
      </w:r>
      <w:proofErr w:type="spellEnd"/>
      <w:r w:rsidRPr="00B67DFC">
        <w:rPr>
          <w:rFonts w:ascii="Garamond" w:hAnsi="Garamond"/>
          <w:b/>
          <w:lang w:bidi="en-US"/>
        </w:rPr>
        <w:t xml:space="preserve"> </w:t>
      </w:r>
      <w:proofErr w:type="spellStart"/>
      <w:r w:rsidRPr="00B67DFC">
        <w:rPr>
          <w:rFonts w:ascii="Garamond" w:hAnsi="Garamond"/>
          <w:b/>
          <w:lang w:bidi="en-US"/>
        </w:rPr>
        <w:t>që</w:t>
      </w:r>
      <w:proofErr w:type="spellEnd"/>
      <w:r w:rsidRPr="00B67DFC">
        <w:rPr>
          <w:rFonts w:ascii="Garamond" w:hAnsi="Garamond"/>
          <w:b/>
          <w:lang w:bidi="en-US"/>
        </w:rPr>
        <w:t xml:space="preserve"> </w:t>
      </w:r>
      <w:proofErr w:type="spellStart"/>
      <w:r w:rsidRPr="00B67DFC">
        <w:rPr>
          <w:rFonts w:ascii="Garamond" w:hAnsi="Garamond"/>
          <w:b/>
          <w:lang w:bidi="en-US"/>
        </w:rPr>
        <w:t>shoqërojnë</w:t>
      </w:r>
      <w:proofErr w:type="spellEnd"/>
      <w:r w:rsidRPr="00B67DFC">
        <w:rPr>
          <w:rFonts w:ascii="Garamond" w:hAnsi="Garamond"/>
          <w:b/>
          <w:lang w:bidi="en-US"/>
        </w:rPr>
        <w:t xml:space="preserve"> PPV</w:t>
      </w:r>
    </w:p>
    <w:p w:rsidR="00F020CC" w:rsidRPr="00B67DFC" w:rsidRDefault="00F020CC" w:rsidP="00F020CC">
      <w:pPr>
        <w:widowControl w:val="0"/>
        <w:ind w:firstLine="720"/>
        <w:jc w:val="both"/>
        <w:rPr>
          <w:rFonts w:ascii="Garamond" w:hAnsi="Garamond"/>
          <w:b/>
          <w:lang w:bidi="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4"/>
        <w:gridCol w:w="3138"/>
        <w:gridCol w:w="1358"/>
        <w:gridCol w:w="2769"/>
        <w:gridCol w:w="831"/>
      </w:tblGrid>
      <w:tr w:rsidR="00F020CC" w:rsidRPr="00B67DFC" w:rsidTr="00F020CC">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E0E0E0"/>
          </w:tcPr>
          <w:p w:rsidR="00F020CC" w:rsidRPr="00B67DFC" w:rsidRDefault="00F020CC" w:rsidP="00F020CC">
            <w:pPr>
              <w:widowControl w:val="0"/>
              <w:rPr>
                <w:rFonts w:ascii="Garamond" w:hAnsi="Garamond"/>
                <w:lang w:val="en-GB" w:bidi="en-US"/>
              </w:rPr>
            </w:pPr>
            <w:r w:rsidRPr="00B67DFC">
              <w:rPr>
                <w:rFonts w:ascii="Garamond" w:hAnsi="Garamond"/>
                <w:lang w:val="en-GB" w:bidi="en-US"/>
              </w:rPr>
              <w:t>Nr.</w:t>
            </w:r>
          </w:p>
        </w:tc>
        <w:tc>
          <w:tcPr>
            <w:tcW w:w="0" w:type="auto"/>
            <w:tcBorders>
              <w:top w:val="single" w:sz="4" w:space="0" w:color="000000"/>
              <w:left w:val="single" w:sz="4" w:space="0" w:color="000000"/>
              <w:bottom w:val="single" w:sz="4" w:space="0" w:color="000000"/>
              <w:right w:val="single" w:sz="4" w:space="0" w:color="000000"/>
            </w:tcBorders>
            <w:shd w:val="clear" w:color="auto" w:fill="E0E0E0"/>
          </w:tcPr>
          <w:p w:rsidR="00F020CC" w:rsidRPr="00B67DFC" w:rsidRDefault="00F020CC" w:rsidP="00F020CC">
            <w:pPr>
              <w:widowControl w:val="0"/>
              <w:rPr>
                <w:rFonts w:ascii="Garamond" w:hAnsi="Garamond"/>
                <w:lang w:val="en-GB" w:bidi="en-US"/>
              </w:rPr>
            </w:pPr>
            <w:proofErr w:type="spellStart"/>
            <w:r w:rsidRPr="00B67DFC">
              <w:rPr>
                <w:rFonts w:ascii="Garamond" w:hAnsi="Garamond"/>
                <w:lang w:val="en-GB" w:bidi="en-US"/>
              </w:rPr>
              <w:t>Dokumenti</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E0E0E0"/>
          </w:tcPr>
          <w:p w:rsidR="00F020CC" w:rsidRPr="00B67DFC" w:rsidRDefault="00F020CC" w:rsidP="00F020CC">
            <w:pPr>
              <w:widowControl w:val="0"/>
              <w:rPr>
                <w:rFonts w:ascii="Garamond" w:hAnsi="Garamond"/>
                <w:lang w:val="en-GB" w:bidi="en-US"/>
              </w:rPr>
            </w:pPr>
            <w:proofErr w:type="spellStart"/>
            <w:r w:rsidRPr="00B67DFC">
              <w:rPr>
                <w:rFonts w:ascii="Garamond" w:hAnsi="Garamond"/>
                <w:lang w:val="en-GB" w:bidi="en-US"/>
              </w:rPr>
              <w:t>Hartohet</w:t>
            </w:r>
            <w:proofErr w:type="spellEnd"/>
            <w:r w:rsidRPr="00B67DFC">
              <w:rPr>
                <w:rFonts w:ascii="Garamond" w:hAnsi="Garamond"/>
                <w:lang w:val="en-GB" w:bidi="en-US"/>
              </w:rPr>
              <w:t xml:space="preserve"> /</w:t>
            </w:r>
            <w:proofErr w:type="spellStart"/>
            <w:r w:rsidRPr="00B67DFC">
              <w:rPr>
                <w:rFonts w:ascii="Garamond" w:hAnsi="Garamond"/>
                <w:lang w:val="en-GB" w:bidi="en-US"/>
              </w:rPr>
              <w:t>Miratohet</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E0E0E0"/>
          </w:tcPr>
          <w:p w:rsidR="00F020CC" w:rsidRPr="00B67DFC" w:rsidRDefault="00F020CC" w:rsidP="00F020CC">
            <w:pPr>
              <w:widowControl w:val="0"/>
              <w:rPr>
                <w:rFonts w:ascii="Garamond" w:hAnsi="Garamond"/>
                <w:lang w:val="en-GB" w:bidi="en-US"/>
              </w:rPr>
            </w:pPr>
            <w:proofErr w:type="spellStart"/>
            <w:r w:rsidRPr="00B67DFC">
              <w:rPr>
                <w:rFonts w:ascii="Garamond" w:hAnsi="Garamond"/>
                <w:lang w:val="en-GB" w:bidi="en-US"/>
              </w:rPr>
              <w:t>Referenca</w:t>
            </w:r>
            <w:proofErr w:type="spellEnd"/>
            <w:r w:rsidRPr="00B67DFC">
              <w:rPr>
                <w:rFonts w:ascii="Garamond" w:hAnsi="Garamond"/>
                <w:lang w:val="en-GB" w:bidi="en-US"/>
              </w:rPr>
              <w:t xml:space="preserve"> </w:t>
            </w:r>
            <w:proofErr w:type="spellStart"/>
            <w:r w:rsidRPr="00B67DFC">
              <w:rPr>
                <w:rFonts w:ascii="Garamond" w:hAnsi="Garamond"/>
                <w:lang w:val="en-GB" w:bidi="en-US"/>
              </w:rPr>
              <w:t>ligjore</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E0E0E0"/>
          </w:tcPr>
          <w:p w:rsidR="00F020CC" w:rsidRPr="00B67DFC" w:rsidRDefault="00F020CC" w:rsidP="00F020CC">
            <w:pPr>
              <w:widowControl w:val="0"/>
              <w:rPr>
                <w:rFonts w:ascii="Garamond" w:hAnsi="Garamond"/>
                <w:lang w:val="en-GB" w:bidi="en-US"/>
              </w:rPr>
            </w:pPr>
            <w:r w:rsidRPr="00B67DFC">
              <w:rPr>
                <w:rFonts w:ascii="Garamond" w:hAnsi="Garamond"/>
                <w:lang w:val="en-GB" w:bidi="en-US"/>
              </w:rPr>
              <w:t>Check list</w:t>
            </w:r>
          </w:p>
        </w:tc>
      </w:tr>
      <w:tr w:rsidR="00F020CC" w:rsidRPr="00B67DFC" w:rsidTr="00F020CC">
        <w:trPr>
          <w:jc w:val="center"/>
        </w:trPr>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p>
        </w:tc>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r w:rsidRPr="00B67DFC">
              <w:rPr>
                <w:rFonts w:ascii="Garamond" w:hAnsi="Garamond"/>
                <w:lang w:val="sq-AL" w:bidi="en-US"/>
              </w:rPr>
              <w:t xml:space="preserve">Politika e zhvillimit të territorit të njësisë vendore. Ky dokument do të përmbajë: </w:t>
            </w:r>
          </w:p>
          <w:p w:rsidR="00F020CC" w:rsidRPr="00B67DFC" w:rsidRDefault="00F020CC" w:rsidP="00F020CC">
            <w:pPr>
              <w:rPr>
                <w:rFonts w:ascii="Garamond" w:hAnsi="Garamond"/>
                <w:lang w:val="sq-AL" w:bidi="en-US"/>
              </w:rPr>
            </w:pPr>
            <w:r w:rsidRPr="00B67DFC">
              <w:rPr>
                <w:rFonts w:ascii="Garamond" w:hAnsi="Garamond"/>
                <w:lang w:val="sq-AL" w:bidi="en-US"/>
              </w:rPr>
              <w:lastRenderedPageBreak/>
              <w:t>1. Politika vendore për zhvillimin e territorit në bashkisë/ komunës;</w:t>
            </w:r>
          </w:p>
          <w:p w:rsidR="00F020CC" w:rsidRPr="00B67DFC" w:rsidRDefault="00F020CC" w:rsidP="00F020CC">
            <w:pPr>
              <w:rPr>
                <w:rFonts w:ascii="Garamond" w:hAnsi="Garamond"/>
                <w:lang w:val="sq-AL" w:bidi="en-US"/>
              </w:rPr>
            </w:pPr>
            <w:r w:rsidRPr="00B67DFC">
              <w:rPr>
                <w:rFonts w:ascii="Garamond" w:hAnsi="Garamond"/>
                <w:lang w:val="sq-AL" w:bidi="en-US"/>
              </w:rPr>
              <w:t>2. Vizioni i zhvillimit të bashkisë/ komunës;</w:t>
            </w:r>
          </w:p>
          <w:p w:rsidR="00F020CC" w:rsidRPr="00B67DFC" w:rsidRDefault="00F020CC" w:rsidP="00F020CC">
            <w:pPr>
              <w:rPr>
                <w:rFonts w:ascii="Garamond" w:hAnsi="Garamond"/>
                <w:lang w:val="sq-AL" w:bidi="en-US"/>
              </w:rPr>
            </w:pPr>
            <w:r w:rsidRPr="00B67DFC">
              <w:rPr>
                <w:rFonts w:ascii="Garamond" w:hAnsi="Garamond"/>
                <w:lang w:val="sq-AL" w:bidi="en-US"/>
              </w:rPr>
              <w:t>3. Objektivat strategjikë të zhvillimit të bashkisë/komunës;</w:t>
            </w:r>
          </w:p>
          <w:p w:rsidR="00F020CC" w:rsidRPr="00B67DFC" w:rsidRDefault="00F020CC" w:rsidP="00F020CC">
            <w:pPr>
              <w:rPr>
                <w:rFonts w:ascii="Garamond" w:hAnsi="Garamond"/>
                <w:lang w:val="sq-AL" w:bidi="en-US"/>
              </w:rPr>
            </w:pPr>
            <w:r w:rsidRPr="00B67DFC">
              <w:rPr>
                <w:rFonts w:ascii="Garamond" w:hAnsi="Garamond"/>
                <w:lang w:val="sq-AL" w:bidi="en-US"/>
              </w:rPr>
              <w:t>4. Programet e zhvillimit të bashkisë/ komunës;</w:t>
            </w:r>
          </w:p>
          <w:p w:rsidR="00F020CC" w:rsidRPr="00B67DFC" w:rsidRDefault="00F020CC" w:rsidP="00F020CC">
            <w:pPr>
              <w:rPr>
                <w:rFonts w:ascii="Garamond" w:hAnsi="Garamond"/>
                <w:lang w:val="sq-AL" w:bidi="en-US"/>
              </w:rPr>
            </w:pPr>
            <w:r w:rsidRPr="00B67DFC">
              <w:rPr>
                <w:rFonts w:ascii="Garamond" w:hAnsi="Garamond"/>
                <w:lang w:val="sq-AL" w:bidi="en-US"/>
              </w:rPr>
              <w:t>5. Skenarët hapësinorë strategjikë të zhvillimit të njësisë vendore, sipas prioritetit</w:t>
            </w:r>
          </w:p>
          <w:p w:rsidR="00F020CC" w:rsidRPr="00B67DFC" w:rsidRDefault="00F020CC" w:rsidP="00F020CC">
            <w:pPr>
              <w:rPr>
                <w:rFonts w:ascii="Garamond" w:hAnsi="Garamond"/>
                <w:lang w:val="sq-AL" w:bidi="en-US"/>
              </w:rPr>
            </w:pPr>
          </w:p>
        </w:tc>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r w:rsidRPr="00B67DFC">
              <w:rPr>
                <w:rFonts w:ascii="Garamond" w:hAnsi="Garamond"/>
                <w:lang w:val="sq-AL" w:bidi="en-US"/>
              </w:rPr>
              <w:lastRenderedPageBreak/>
              <w:t>Hartohet dhe miratohet</w:t>
            </w:r>
          </w:p>
        </w:tc>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r w:rsidRPr="00B67DFC">
              <w:rPr>
                <w:rFonts w:ascii="Garamond" w:hAnsi="Garamond"/>
                <w:lang w:val="sq-AL" w:bidi="en-US"/>
              </w:rPr>
              <w:t xml:space="preserve">Politika mund të jetë ekzistuese me të gjitha pjesët e saj ose pjesë të </w:t>
            </w:r>
            <w:r w:rsidRPr="00B67DFC">
              <w:rPr>
                <w:rFonts w:ascii="Garamond" w:hAnsi="Garamond"/>
                <w:lang w:val="sq-AL" w:bidi="en-US"/>
              </w:rPr>
              <w:lastRenderedPageBreak/>
              <w:t>caktuara të saj, sipas përcaktimit të neneve 18 deri 20 të rregullores uniforme të instrumenteve të planifikimit</w:t>
            </w:r>
          </w:p>
        </w:tc>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r w:rsidRPr="00B67DFC">
              <w:rPr>
                <w:rFonts w:ascii="Garamond" w:hAnsi="Garamond" w:cs="Arial"/>
                <w:lang w:val="sq-AL" w:bidi="en-US"/>
              </w:rPr>
              <w:lastRenderedPageBreak/>
              <w:t>□</w:t>
            </w:r>
          </w:p>
        </w:tc>
      </w:tr>
      <w:tr w:rsidR="00F020CC" w:rsidRPr="00B67DFC" w:rsidTr="00F020CC">
        <w:trPr>
          <w:jc w:val="center"/>
        </w:trPr>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p>
        </w:tc>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r w:rsidRPr="00B67DFC">
              <w:rPr>
                <w:rFonts w:ascii="Garamond" w:hAnsi="Garamond"/>
                <w:lang w:val="sq-AL" w:bidi="en-US"/>
              </w:rPr>
              <w:t>Analiza dhe vlerësimi i thelluar i situatës ekzistuese social-ekonomike dhe hapësinore-mjedisore në territorin e njësisë vendore</w:t>
            </w:r>
          </w:p>
        </w:tc>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r w:rsidRPr="00B67DFC">
              <w:rPr>
                <w:rFonts w:ascii="Garamond" w:hAnsi="Garamond"/>
                <w:lang w:val="sq-AL" w:bidi="en-US"/>
              </w:rPr>
              <w:t xml:space="preserve">Hartohet </w:t>
            </w:r>
          </w:p>
        </w:tc>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r w:rsidRPr="00B67DFC">
              <w:rPr>
                <w:rFonts w:ascii="Garamond" w:hAnsi="Garamond"/>
                <w:lang w:val="sq-AL" w:bidi="en-US"/>
              </w:rPr>
              <w:t>Sipas nenit 27 të rregullores uniforme të instrumenteve të planifikimit</w:t>
            </w:r>
          </w:p>
        </w:tc>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r w:rsidRPr="00B67DFC">
              <w:rPr>
                <w:rFonts w:ascii="Garamond" w:hAnsi="Garamond" w:cs="Arial"/>
                <w:lang w:val="sq-AL" w:bidi="en-US"/>
              </w:rPr>
              <w:t>□</w:t>
            </w:r>
          </w:p>
        </w:tc>
      </w:tr>
      <w:tr w:rsidR="00F020CC" w:rsidRPr="00B67DFC" w:rsidTr="00F020CC">
        <w:trPr>
          <w:jc w:val="center"/>
        </w:trPr>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p>
        </w:tc>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r w:rsidRPr="00B67DFC">
              <w:rPr>
                <w:rFonts w:ascii="Garamond" w:hAnsi="Garamond"/>
                <w:lang w:val="sq-AL" w:bidi="en-US"/>
              </w:rPr>
              <w:t>Vlerësimi strategjik mjedisor</w:t>
            </w:r>
          </w:p>
        </w:tc>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r w:rsidRPr="00B67DFC">
              <w:rPr>
                <w:rFonts w:ascii="Garamond" w:hAnsi="Garamond"/>
                <w:lang w:val="sq-AL" w:bidi="en-US"/>
              </w:rPr>
              <w:t>Hartohet dhe miratohet</w:t>
            </w:r>
          </w:p>
        </w:tc>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r w:rsidRPr="00B67DFC">
              <w:rPr>
                <w:rFonts w:ascii="Garamond" w:hAnsi="Garamond"/>
                <w:lang w:val="sq-AL" w:bidi="en-US"/>
              </w:rPr>
              <w:t>Metodologjia dhe hapat e VSM-së duhet të jepen nga legjislacioni mjedisor përkatës.</w:t>
            </w:r>
          </w:p>
          <w:p w:rsidR="00F020CC" w:rsidRPr="00B67DFC" w:rsidRDefault="00F020CC" w:rsidP="00F020CC">
            <w:pPr>
              <w:rPr>
                <w:rFonts w:ascii="Garamond" w:hAnsi="Garamond"/>
                <w:lang w:val="sq-AL" w:bidi="en-US"/>
              </w:rPr>
            </w:pPr>
            <w:r w:rsidRPr="00B67DFC">
              <w:rPr>
                <w:rFonts w:ascii="Garamond" w:hAnsi="Garamond"/>
                <w:lang w:val="sq-AL" w:bidi="en-US"/>
              </w:rPr>
              <w:t>VSM-së hartohet paralelisht me planin dhe duhet të mbyllet para miratimit të instrumentit vendor projektplanit</w:t>
            </w:r>
          </w:p>
        </w:tc>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r w:rsidRPr="00B67DFC">
              <w:rPr>
                <w:rFonts w:ascii="Garamond" w:hAnsi="Garamond" w:cs="Arial"/>
                <w:lang w:val="sq-AL" w:bidi="en-US"/>
              </w:rPr>
              <w:t>□</w:t>
            </w:r>
          </w:p>
        </w:tc>
      </w:tr>
      <w:tr w:rsidR="00F020CC" w:rsidRPr="00B67DFC" w:rsidTr="00F020CC">
        <w:trPr>
          <w:trHeight w:val="558"/>
          <w:jc w:val="center"/>
        </w:trPr>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p>
        </w:tc>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r w:rsidRPr="00B67DFC">
              <w:rPr>
                <w:rFonts w:ascii="Garamond" w:hAnsi="Garamond"/>
                <w:lang w:val="sq-AL" w:bidi="en-US"/>
              </w:rPr>
              <w:t>Projektplani, i cili përmban:</w:t>
            </w:r>
          </w:p>
          <w:p w:rsidR="00F020CC" w:rsidRPr="00B67DFC" w:rsidRDefault="00F020CC" w:rsidP="00F020CC">
            <w:pPr>
              <w:rPr>
                <w:rFonts w:ascii="Garamond" w:hAnsi="Garamond"/>
                <w:lang w:val="sq-AL" w:bidi="en-US"/>
              </w:rPr>
            </w:pPr>
            <w:r w:rsidRPr="00B67DFC">
              <w:rPr>
                <w:rFonts w:ascii="Garamond" w:hAnsi="Garamond"/>
                <w:lang w:val="sq-AL" w:bidi="en-US"/>
              </w:rPr>
              <w:t>1. Qëllimet dhe objektivat e instrumentit vendor</w:t>
            </w:r>
          </w:p>
          <w:p w:rsidR="00F020CC" w:rsidRPr="00B67DFC" w:rsidRDefault="00F020CC" w:rsidP="00F020CC">
            <w:pPr>
              <w:rPr>
                <w:rFonts w:ascii="Garamond" w:hAnsi="Garamond"/>
                <w:lang w:val="sq-AL" w:bidi="en-US"/>
              </w:rPr>
            </w:pPr>
            <w:r w:rsidRPr="00B67DFC">
              <w:rPr>
                <w:rFonts w:ascii="Garamond" w:hAnsi="Garamond"/>
                <w:lang w:val="sq-AL" w:bidi="en-US"/>
              </w:rPr>
              <w:t>2. Analizën;</w:t>
            </w:r>
          </w:p>
          <w:p w:rsidR="00F020CC" w:rsidRPr="00B67DFC" w:rsidRDefault="00F020CC" w:rsidP="00F020CC">
            <w:pPr>
              <w:rPr>
                <w:rFonts w:ascii="Garamond" w:hAnsi="Garamond"/>
                <w:lang w:val="sq-AL" w:bidi="en-US"/>
              </w:rPr>
            </w:pPr>
            <w:r w:rsidRPr="00B67DFC">
              <w:rPr>
                <w:rFonts w:ascii="Garamond" w:hAnsi="Garamond"/>
                <w:lang w:val="sq-AL" w:bidi="en-US"/>
              </w:rPr>
              <w:t>3. Politikën e zhvillimit të territorit;</w:t>
            </w:r>
          </w:p>
          <w:p w:rsidR="00F020CC" w:rsidRPr="00B67DFC" w:rsidRDefault="00F020CC" w:rsidP="00F020CC">
            <w:pPr>
              <w:rPr>
                <w:rFonts w:ascii="Garamond" w:hAnsi="Garamond"/>
                <w:lang w:val="sq-AL" w:bidi="en-US"/>
              </w:rPr>
            </w:pPr>
            <w:r w:rsidRPr="00B67DFC">
              <w:rPr>
                <w:rFonts w:ascii="Garamond" w:hAnsi="Garamond"/>
                <w:lang w:val="sq-AL" w:bidi="en-US"/>
              </w:rPr>
              <w:t>4. Plani i përdorimit të tokës;</w:t>
            </w:r>
          </w:p>
          <w:p w:rsidR="00F020CC" w:rsidRPr="00B67DFC" w:rsidRDefault="00F020CC" w:rsidP="00F020CC">
            <w:pPr>
              <w:rPr>
                <w:rFonts w:ascii="Garamond" w:hAnsi="Garamond"/>
                <w:lang w:val="sq-AL" w:bidi="en-US"/>
              </w:rPr>
            </w:pPr>
            <w:r w:rsidRPr="00B67DFC">
              <w:rPr>
                <w:rFonts w:ascii="Garamond" w:hAnsi="Garamond"/>
                <w:lang w:val="sq-AL" w:bidi="en-US"/>
              </w:rPr>
              <w:t>5. Plani i shërbimeve publike;</w:t>
            </w:r>
          </w:p>
          <w:p w:rsidR="00F020CC" w:rsidRPr="00B67DFC" w:rsidRDefault="00F020CC" w:rsidP="00F020CC">
            <w:pPr>
              <w:rPr>
                <w:rFonts w:ascii="Garamond" w:hAnsi="Garamond"/>
                <w:lang w:val="sq-AL" w:bidi="en-US"/>
              </w:rPr>
            </w:pPr>
            <w:r w:rsidRPr="00B67DFC">
              <w:rPr>
                <w:rFonts w:ascii="Garamond" w:hAnsi="Garamond"/>
                <w:lang w:val="sq-AL" w:bidi="en-US"/>
              </w:rPr>
              <w:t xml:space="preserve">6. </w:t>
            </w:r>
            <w:proofErr w:type="spellStart"/>
            <w:r w:rsidRPr="00B67DFC">
              <w:rPr>
                <w:rFonts w:ascii="Garamond" w:hAnsi="Garamond"/>
                <w:lang w:val="sq-AL" w:bidi="en-US"/>
              </w:rPr>
              <w:t>Fazimi</w:t>
            </w:r>
            <w:proofErr w:type="spellEnd"/>
            <w:r w:rsidRPr="00B67DFC">
              <w:rPr>
                <w:rFonts w:ascii="Garamond" w:hAnsi="Garamond"/>
                <w:lang w:val="sq-AL" w:bidi="en-US"/>
              </w:rPr>
              <w:t xml:space="preserve"> i zbatimit të planit dhe instrumentet financiare për zbatim;</w:t>
            </w:r>
          </w:p>
          <w:p w:rsidR="00F020CC" w:rsidRPr="00B67DFC" w:rsidRDefault="00F020CC" w:rsidP="00F020CC">
            <w:pPr>
              <w:rPr>
                <w:rFonts w:ascii="Garamond" w:hAnsi="Garamond"/>
                <w:lang w:val="sq-AL" w:bidi="en-US"/>
              </w:rPr>
            </w:pPr>
            <w:r w:rsidRPr="00B67DFC">
              <w:rPr>
                <w:rFonts w:ascii="Garamond" w:hAnsi="Garamond"/>
                <w:lang w:val="sq-AL" w:bidi="en-US"/>
              </w:rPr>
              <w:t>7. Implikimet në kornizën ligjore dhe institucionale;</w:t>
            </w:r>
          </w:p>
          <w:p w:rsidR="00F020CC" w:rsidRPr="00B67DFC" w:rsidRDefault="00F020CC" w:rsidP="00F020CC">
            <w:pPr>
              <w:rPr>
                <w:rFonts w:ascii="Garamond" w:hAnsi="Garamond"/>
                <w:lang w:val="sq-AL" w:bidi="en-US"/>
              </w:rPr>
            </w:pPr>
            <w:r w:rsidRPr="00B67DFC">
              <w:rPr>
                <w:rFonts w:ascii="Garamond" w:hAnsi="Garamond"/>
                <w:lang w:val="sq-AL" w:bidi="en-US"/>
              </w:rPr>
              <w:t>8. Plani i veprimeve për zbatimin e planit vendor;</w:t>
            </w:r>
          </w:p>
          <w:p w:rsidR="00F020CC" w:rsidRPr="00B67DFC" w:rsidRDefault="00F020CC" w:rsidP="00F020CC">
            <w:pPr>
              <w:rPr>
                <w:rFonts w:ascii="Garamond" w:hAnsi="Garamond"/>
                <w:lang w:val="sq-AL" w:bidi="en-US"/>
              </w:rPr>
            </w:pPr>
            <w:r w:rsidRPr="00B67DFC">
              <w:rPr>
                <w:rFonts w:ascii="Garamond" w:hAnsi="Garamond"/>
                <w:lang w:val="sq-AL" w:bidi="en-US"/>
              </w:rPr>
              <w:t>9. Programi i rehabilitimit të personave të zhvendosur si rezultat i zbatimit të planit;</w:t>
            </w:r>
          </w:p>
          <w:p w:rsidR="00F020CC" w:rsidRPr="00B67DFC" w:rsidRDefault="00F020CC" w:rsidP="00F020CC">
            <w:pPr>
              <w:rPr>
                <w:rFonts w:ascii="Garamond" w:hAnsi="Garamond"/>
                <w:lang w:val="sq-AL" w:bidi="en-US"/>
              </w:rPr>
            </w:pPr>
            <w:r w:rsidRPr="00B67DFC">
              <w:rPr>
                <w:rFonts w:ascii="Garamond" w:hAnsi="Garamond"/>
                <w:lang w:val="sq-AL" w:bidi="en-US"/>
              </w:rPr>
              <w:lastRenderedPageBreak/>
              <w:t>10. Dokumenti përmbledhës për prezantim final;</w:t>
            </w:r>
          </w:p>
          <w:p w:rsidR="00F020CC" w:rsidRPr="00B67DFC" w:rsidRDefault="00F020CC" w:rsidP="00F020CC">
            <w:pPr>
              <w:rPr>
                <w:rFonts w:ascii="Garamond" w:hAnsi="Garamond"/>
                <w:lang w:val="sq-AL" w:bidi="en-US"/>
              </w:rPr>
            </w:pPr>
            <w:r w:rsidRPr="00B67DFC">
              <w:rPr>
                <w:rFonts w:ascii="Garamond" w:hAnsi="Garamond"/>
                <w:lang w:val="sq-AL" w:bidi="en-US"/>
              </w:rPr>
              <w:t>11. Raporti i përpunimit dhe ndryshimeve të propozuara për bazën e të dhënave GIS.</w:t>
            </w:r>
          </w:p>
          <w:p w:rsidR="00F020CC" w:rsidRPr="00B67DFC" w:rsidRDefault="00F020CC" w:rsidP="00F020CC">
            <w:pPr>
              <w:rPr>
                <w:rFonts w:ascii="Garamond" w:hAnsi="Garamond"/>
                <w:lang w:val="sq-AL" w:bidi="en-US"/>
              </w:rPr>
            </w:pPr>
            <w:r w:rsidRPr="00B67DFC">
              <w:rPr>
                <w:rFonts w:ascii="Garamond" w:hAnsi="Garamond"/>
                <w:lang w:val="sq-AL" w:bidi="en-US"/>
              </w:rPr>
              <w:t>12. Rregullorja e planifikimit;</w:t>
            </w:r>
          </w:p>
          <w:p w:rsidR="00F020CC" w:rsidRPr="00B67DFC" w:rsidRDefault="00F020CC" w:rsidP="00F020CC">
            <w:pPr>
              <w:rPr>
                <w:rFonts w:ascii="Garamond" w:hAnsi="Garamond"/>
                <w:lang w:val="sq-AL" w:bidi="en-US"/>
              </w:rPr>
            </w:pPr>
            <w:r w:rsidRPr="00B67DFC">
              <w:rPr>
                <w:rFonts w:ascii="Garamond" w:hAnsi="Garamond"/>
                <w:lang w:val="sq-AL" w:bidi="en-US"/>
              </w:rPr>
              <w:t>13. Plani i investimeve kapitale;</w:t>
            </w:r>
          </w:p>
          <w:p w:rsidR="00F020CC" w:rsidRPr="00B67DFC" w:rsidRDefault="00F020CC" w:rsidP="00F020CC">
            <w:pPr>
              <w:rPr>
                <w:rFonts w:ascii="Garamond" w:hAnsi="Garamond"/>
                <w:lang w:val="sq-AL" w:bidi="en-US"/>
              </w:rPr>
            </w:pPr>
            <w:r w:rsidRPr="00B67DFC">
              <w:rPr>
                <w:rFonts w:ascii="Garamond" w:hAnsi="Garamond"/>
                <w:lang w:val="sq-AL" w:bidi="en-US"/>
              </w:rPr>
              <w:t>14. Studime mbështetëse;</w:t>
            </w:r>
          </w:p>
          <w:p w:rsidR="00F020CC" w:rsidRPr="00B67DFC" w:rsidRDefault="00F020CC" w:rsidP="00F020CC">
            <w:pPr>
              <w:rPr>
                <w:rFonts w:ascii="Garamond" w:hAnsi="Garamond"/>
                <w:lang w:val="sq-AL" w:bidi="en-US"/>
              </w:rPr>
            </w:pPr>
            <w:r w:rsidRPr="00B67DFC">
              <w:rPr>
                <w:rFonts w:ascii="Garamond" w:hAnsi="Garamond"/>
                <w:lang w:val="sq-AL" w:bidi="en-US"/>
              </w:rPr>
              <w:t>15. Dokumente të tjera;</w:t>
            </w:r>
          </w:p>
          <w:p w:rsidR="00F020CC" w:rsidRPr="00B67DFC" w:rsidRDefault="00F020CC" w:rsidP="00F020CC">
            <w:pPr>
              <w:rPr>
                <w:rFonts w:ascii="Garamond" w:hAnsi="Garamond"/>
                <w:lang w:val="sq-AL" w:bidi="en-US"/>
              </w:rPr>
            </w:pPr>
            <w:r w:rsidRPr="00B67DFC">
              <w:rPr>
                <w:rFonts w:ascii="Garamond" w:hAnsi="Garamond"/>
                <w:lang w:val="sq-AL" w:bidi="en-US"/>
              </w:rPr>
              <w:t>16. Rregullorja e ndërtimit.</w:t>
            </w:r>
          </w:p>
        </w:tc>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r w:rsidRPr="00B67DFC">
              <w:rPr>
                <w:rFonts w:ascii="Garamond" w:hAnsi="Garamond"/>
                <w:lang w:val="sq-AL" w:bidi="en-US"/>
              </w:rPr>
              <w:lastRenderedPageBreak/>
              <w:t>Hartohet dhe miratohet</w:t>
            </w:r>
          </w:p>
        </w:tc>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r w:rsidRPr="00B67DFC">
              <w:rPr>
                <w:rFonts w:ascii="Garamond" w:hAnsi="Garamond"/>
                <w:lang w:val="sq-AL" w:bidi="en-US"/>
              </w:rPr>
              <w:t>Sipas nenit 29 të rregullores uniforme të instrumenteve të planifikimit</w:t>
            </w:r>
          </w:p>
        </w:tc>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r w:rsidRPr="00B67DFC">
              <w:rPr>
                <w:rFonts w:ascii="Garamond" w:hAnsi="Garamond" w:cs="Arial"/>
                <w:lang w:val="sq-AL" w:bidi="en-US"/>
              </w:rPr>
              <w:t>□</w:t>
            </w:r>
          </w:p>
        </w:tc>
      </w:tr>
      <w:tr w:rsidR="00F020CC" w:rsidRPr="00B67DFC" w:rsidTr="00F020CC">
        <w:trPr>
          <w:jc w:val="center"/>
        </w:trPr>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p>
        </w:tc>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r w:rsidRPr="00B67DFC">
              <w:rPr>
                <w:rFonts w:ascii="Garamond" w:hAnsi="Garamond"/>
                <w:lang w:val="sq-AL" w:bidi="en-US"/>
              </w:rPr>
              <w:t>Plani i investimeve kapitale</w:t>
            </w:r>
          </w:p>
        </w:tc>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r w:rsidRPr="00B67DFC">
              <w:rPr>
                <w:rFonts w:ascii="Garamond" w:hAnsi="Garamond"/>
                <w:lang w:val="sq-AL" w:bidi="en-US"/>
              </w:rPr>
              <w:t>Hartohet dhe miratohet</w:t>
            </w:r>
          </w:p>
        </w:tc>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p>
        </w:tc>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r w:rsidRPr="00B67DFC">
              <w:rPr>
                <w:rFonts w:ascii="Garamond" w:hAnsi="Garamond" w:cs="Arial"/>
                <w:lang w:val="sq-AL" w:bidi="en-US"/>
              </w:rPr>
              <w:t>□</w:t>
            </w:r>
          </w:p>
        </w:tc>
      </w:tr>
      <w:tr w:rsidR="00F020CC" w:rsidRPr="00B67DFC" w:rsidTr="00F020CC">
        <w:trPr>
          <w:jc w:val="center"/>
        </w:trPr>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p>
        </w:tc>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r w:rsidRPr="00B67DFC">
              <w:rPr>
                <w:rFonts w:ascii="Garamond" w:hAnsi="Garamond"/>
                <w:lang w:val="sq-AL" w:bidi="en-US"/>
              </w:rPr>
              <w:t>Dokumenti i përmbledhur dhe prezantimi i PPV-së për këshillin e njësisë së qeverisjes vendore dhe KKT-së</w:t>
            </w:r>
          </w:p>
        </w:tc>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r w:rsidRPr="00B67DFC">
              <w:rPr>
                <w:rFonts w:ascii="Garamond" w:hAnsi="Garamond"/>
                <w:lang w:val="sq-AL" w:bidi="en-US"/>
              </w:rPr>
              <w:t xml:space="preserve">Hartohet </w:t>
            </w:r>
          </w:p>
        </w:tc>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p>
        </w:tc>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r w:rsidRPr="00B67DFC">
              <w:rPr>
                <w:rFonts w:ascii="Garamond" w:hAnsi="Garamond" w:cs="Arial"/>
                <w:lang w:val="sq-AL" w:bidi="en-US"/>
              </w:rPr>
              <w:t>□</w:t>
            </w:r>
          </w:p>
        </w:tc>
      </w:tr>
      <w:tr w:rsidR="00F020CC" w:rsidRPr="00B67DFC" w:rsidTr="00F020CC">
        <w:trPr>
          <w:jc w:val="center"/>
        </w:trPr>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p>
        </w:tc>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r w:rsidRPr="00B67DFC">
              <w:rPr>
                <w:rFonts w:ascii="Garamond" w:hAnsi="Garamond"/>
                <w:lang w:val="sq-AL" w:bidi="en-US"/>
              </w:rPr>
              <w:t>Dokumente të tjera (nëse ndërmerren në këtë fazë):</w:t>
            </w:r>
          </w:p>
          <w:p w:rsidR="00F020CC" w:rsidRPr="00B67DFC" w:rsidRDefault="00F020CC" w:rsidP="00F020CC">
            <w:pPr>
              <w:rPr>
                <w:rFonts w:ascii="Garamond" w:hAnsi="Garamond"/>
                <w:lang w:val="sq-AL" w:bidi="en-US"/>
              </w:rPr>
            </w:pPr>
            <w:r w:rsidRPr="00B67DFC">
              <w:rPr>
                <w:rFonts w:ascii="Garamond" w:hAnsi="Garamond"/>
                <w:lang w:val="sq-AL" w:bidi="en-US"/>
              </w:rPr>
              <w:t xml:space="preserve">1. Zonat e </w:t>
            </w:r>
            <w:proofErr w:type="spellStart"/>
            <w:r w:rsidRPr="00B67DFC">
              <w:rPr>
                <w:rFonts w:ascii="Garamond" w:hAnsi="Garamond"/>
                <w:lang w:val="sq-AL" w:bidi="en-US"/>
              </w:rPr>
              <w:t>preferimit</w:t>
            </w:r>
            <w:proofErr w:type="spellEnd"/>
            <w:r w:rsidRPr="00B67DFC">
              <w:rPr>
                <w:rFonts w:ascii="Garamond" w:hAnsi="Garamond"/>
                <w:lang w:val="sq-AL" w:bidi="en-US"/>
              </w:rPr>
              <w:t>;</w:t>
            </w:r>
          </w:p>
          <w:p w:rsidR="00F020CC" w:rsidRPr="00B67DFC" w:rsidRDefault="00F020CC" w:rsidP="00F020CC">
            <w:pPr>
              <w:rPr>
                <w:rFonts w:ascii="Garamond" w:hAnsi="Garamond"/>
                <w:lang w:val="sq-AL" w:bidi="en-US"/>
              </w:rPr>
            </w:pPr>
            <w:r w:rsidRPr="00B67DFC">
              <w:rPr>
                <w:rFonts w:ascii="Garamond" w:hAnsi="Garamond"/>
                <w:lang w:val="sq-AL" w:bidi="en-US"/>
              </w:rPr>
              <w:t>2. Zonat e pezullimit;</w:t>
            </w:r>
          </w:p>
          <w:p w:rsidR="00F020CC" w:rsidRPr="00B67DFC" w:rsidRDefault="00F020CC" w:rsidP="00F020CC">
            <w:pPr>
              <w:rPr>
                <w:rFonts w:ascii="Garamond" w:hAnsi="Garamond"/>
                <w:lang w:val="sq-AL" w:bidi="en-US"/>
              </w:rPr>
            </w:pPr>
            <w:r w:rsidRPr="00B67DFC">
              <w:rPr>
                <w:rFonts w:ascii="Garamond" w:hAnsi="Garamond"/>
                <w:lang w:val="sq-AL" w:bidi="en-US"/>
              </w:rPr>
              <w:t>3. Zonat për kategori të caktuara servitutesh publike;</w:t>
            </w:r>
          </w:p>
          <w:p w:rsidR="00F020CC" w:rsidRPr="00B67DFC" w:rsidRDefault="00F020CC" w:rsidP="00F020CC">
            <w:pPr>
              <w:rPr>
                <w:rFonts w:ascii="Garamond" w:hAnsi="Garamond"/>
                <w:lang w:val="sq-AL" w:bidi="en-US"/>
              </w:rPr>
            </w:pPr>
            <w:r w:rsidRPr="00B67DFC">
              <w:rPr>
                <w:rFonts w:ascii="Garamond" w:hAnsi="Garamond"/>
                <w:lang w:val="sq-AL" w:bidi="en-US"/>
              </w:rPr>
              <w:t>4. Zonat e rezervimit publik;</w:t>
            </w:r>
          </w:p>
          <w:p w:rsidR="00F020CC" w:rsidRPr="00B67DFC" w:rsidRDefault="00F020CC" w:rsidP="00F020CC">
            <w:pPr>
              <w:rPr>
                <w:rFonts w:ascii="Garamond" w:hAnsi="Garamond"/>
                <w:lang w:val="sq-AL" w:bidi="en-US"/>
              </w:rPr>
            </w:pPr>
            <w:r w:rsidRPr="00B67DFC">
              <w:rPr>
                <w:rFonts w:ascii="Garamond" w:hAnsi="Garamond"/>
                <w:lang w:val="sq-AL" w:bidi="en-US"/>
              </w:rPr>
              <w:t xml:space="preserve">5. Zonat dhënëse dhe marrëse subjekt i programit të transferimit të </w:t>
            </w:r>
            <w:proofErr w:type="spellStart"/>
            <w:r w:rsidRPr="00B67DFC">
              <w:rPr>
                <w:rFonts w:ascii="Garamond" w:hAnsi="Garamond"/>
                <w:lang w:val="sq-AL" w:bidi="en-US"/>
              </w:rPr>
              <w:t>të</w:t>
            </w:r>
            <w:proofErr w:type="spellEnd"/>
            <w:r w:rsidRPr="00B67DFC">
              <w:rPr>
                <w:rFonts w:ascii="Garamond" w:hAnsi="Garamond"/>
                <w:lang w:val="sq-AL" w:bidi="en-US"/>
              </w:rPr>
              <w:t xml:space="preserve"> drejtave të zhvillimit (nëse është ndërmarrë një program i tillë);</w:t>
            </w:r>
          </w:p>
          <w:p w:rsidR="00F020CC" w:rsidRPr="00B67DFC" w:rsidRDefault="00F020CC" w:rsidP="00F020CC">
            <w:pPr>
              <w:rPr>
                <w:rFonts w:ascii="Garamond" w:hAnsi="Garamond"/>
                <w:lang w:val="sq-AL" w:bidi="en-US"/>
              </w:rPr>
            </w:pPr>
            <w:r w:rsidRPr="00B67DFC">
              <w:rPr>
                <w:rFonts w:ascii="Garamond" w:hAnsi="Garamond"/>
                <w:lang w:val="sq-AL" w:bidi="en-US"/>
              </w:rPr>
              <w:t xml:space="preserve">6. Zonat subjekt i programit të </w:t>
            </w:r>
            <w:proofErr w:type="spellStart"/>
            <w:r w:rsidRPr="00B67DFC">
              <w:rPr>
                <w:rFonts w:ascii="Garamond" w:hAnsi="Garamond"/>
                <w:lang w:val="sq-AL" w:bidi="en-US"/>
              </w:rPr>
              <w:t>bonusit</w:t>
            </w:r>
            <w:proofErr w:type="spellEnd"/>
            <w:r w:rsidRPr="00B67DFC">
              <w:rPr>
                <w:rFonts w:ascii="Garamond" w:hAnsi="Garamond"/>
                <w:lang w:val="sq-AL" w:bidi="en-US"/>
              </w:rPr>
              <w:t xml:space="preserve"> të intensitetit (nëse është ndërmarrë një program i tillë).</w:t>
            </w:r>
          </w:p>
        </w:tc>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r w:rsidRPr="00B67DFC">
              <w:rPr>
                <w:rFonts w:ascii="Garamond" w:hAnsi="Garamond"/>
                <w:lang w:val="sq-AL" w:bidi="en-US"/>
              </w:rPr>
              <w:t>Hartohen dhe miratohen</w:t>
            </w:r>
          </w:p>
        </w:tc>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p>
        </w:tc>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p>
        </w:tc>
      </w:tr>
      <w:tr w:rsidR="00F020CC" w:rsidRPr="00B67DFC" w:rsidTr="00F020CC">
        <w:trPr>
          <w:jc w:val="center"/>
        </w:trPr>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p>
        </w:tc>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r w:rsidRPr="00B67DFC">
              <w:rPr>
                <w:rFonts w:ascii="Garamond" w:hAnsi="Garamond"/>
                <w:lang w:val="sq-AL" w:bidi="en-US"/>
              </w:rPr>
              <w:t>Studime mbështetëse:</w:t>
            </w:r>
          </w:p>
          <w:p w:rsidR="00F020CC" w:rsidRPr="00B67DFC" w:rsidRDefault="00F020CC" w:rsidP="00F020CC">
            <w:pPr>
              <w:rPr>
                <w:rFonts w:ascii="Garamond" w:hAnsi="Garamond"/>
                <w:lang w:val="sq-AL" w:bidi="en-US"/>
              </w:rPr>
            </w:pPr>
            <w:r w:rsidRPr="00B67DFC">
              <w:rPr>
                <w:rFonts w:ascii="Garamond" w:hAnsi="Garamond"/>
                <w:lang w:val="sq-AL" w:bidi="en-US"/>
              </w:rPr>
              <w:t xml:space="preserve">1. Studimi gjeologjik dhe </w:t>
            </w:r>
            <w:proofErr w:type="spellStart"/>
            <w:r w:rsidRPr="00B67DFC">
              <w:rPr>
                <w:rFonts w:ascii="Garamond" w:hAnsi="Garamond"/>
                <w:lang w:val="sq-AL" w:bidi="en-US"/>
              </w:rPr>
              <w:t>hidrogjeologjik</w:t>
            </w:r>
            <w:proofErr w:type="spellEnd"/>
            <w:r w:rsidRPr="00B67DFC">
              <w:rPr>
                <w:rFonts w:ascii="Garamond" w:hAnsi="Garamond"/>
                <w:lang w:val="sq-AL" w:bidi="en-US"/>
              </w:rPr>
              <w:t>;</w:t>
            </w:r>
          </w:p>
          <w:p w:rsidR="00F020CC" w:rsidRPr="00B67DFC" w:rsidRDefault="00F020CC" w:rsidP="00F020CC">
            <w:pPr>
              <w:rPr>
                <w:rFonts w:ascii="Garamond" w:hAnsi="Garamond"/>
                <w:lang w:val="sq-AL" w:bidi="en-US"/>
              </w:rPr>
            </w:pPr>
            <w:r w:rsidRPr="00B67DFC">
              <w:rPr>
                <w:rFonts w:ascii="Garamond" w:hAnsi="Garamond"/>
                <w:lang w:val="sq-AL" w:bidi="en-US"/>
              </w:rPr>
              <w:t xml:space="preserve">2. </w:t>
            </w:r>
            <w:proofErr w:type="spellStart"/>
            <w:r w:rsidRPr="00B67DFC">
              <w:rPr>
                <w:rFonts w:ascii="Garamond" w:hAnsi="Garamond"/>
                <w:lang w:val="sq-AL" w:bidi="en-US"/>
              </w:rPr>
              <w:t>Makrozonimi</w:t>
            </w:r>
            <w:proofErr w:type="spellEnd"/>
            <w:r w:rsidRPr="00B67DFC">
              <w:rPr>
                <w:rFonts w:ascii="Garamond" w:hAnsi="Garamond"/>
                <w:lang w:val="sq-AL" w:bidi="en-US"/>
              </w:rPr>
              <w:t xml:space="preserve"> dhe </w:t>
            </w:r>
            <w:proofErr w:type="spellStart"/>
            <w:r w:rsidRPr="00B67DFC">
              <w:rPr>
                <w:rFonts w:ascii="Garamond" w:hAnsi="Garamond"/>
                <w:lang w:val="sq-AL" w:bidi="en-US"/>
              </w:rPr>
              <w:t>mikrozonimi</w:t>
            </w:r>
            <w:proofErr w:type="spellEnd"/>
            <w:r w:rsidRPr="00B67DFC">
              <w:rPr>
                <w:rFonts w:ascii="Garamond" w:hAnsi="Garamond"/>
                <w:lang w:val="sq-AL" w:bidi="en-US"/>
              </w:rPr>
              <w:t xml:space="preserve"> sizmik;</w:t>
            </w:r>
          </w:p>
          <w:p w:rsidR="00F020CC" w:rsidRPr="00B67DFC" w:rsidRDefault="00F020CC" w:rsidP="00F020CC">
            <w:pPr>
              <w:rPr>
                <w:rFonts w:ascii="Garamond" w:hAnsi="Garamond"/>
                <w:lang w:val="sq-AL" w:bidi="en-US"/>
              </w:rPr>
            </w:pPr>
            <w:r w:rsidRPr="00B67DFC">
              <w:rPr>
                <w:rFonts w:ascii="Garamond" w:hAnsi="Garamond"/>
                <w:lang w:val="sq-AL" w:bidi="en-US"/>
              </w:rPr>
              <w:t>3. Studimi klimatik;</w:t>
            </w:r>
          </w:p>
          <w:p w:rsidR="00F020CC" w:rsidRPr="00B67DFC" w:rsidRDefault="00F020CC" w:rsidP="00F020CC">
            <w:pPr>
              <w:rPr>
                <w:rFonts w:ascii="Garamond" w:hAnsi="Garamond"/>
                <w:lang w:val="sq-AL" w:bidi="en-US"/>
              </w:rPr>
            </w:pPr>
            <w:r w:rsidRPr="00B67DFC">
              <w:rPr>
                <w:rFonts w:ascii="Garamond" w:hAnsi="Garamond"/>
                <w:lang w:val="sq-AL" w:bidi="en-US"/>
              </w:rPr>
              <w:t xml:space="preserve">4. Studime për zonat historike, monumentet e kulturës, zonat e mbrojtura mjedisore, </w:t>
            </w:r>
            <w:proofErr w:type="spellStart"/>
            <w:r w:rsidRPr="00B67DFC">
              <w:rPr>
                <w:rFonts w:ascii="Garamond" w:hAnsi="Garamond"/>
                <w:lang w:val="sq-AL" w:bidi="en-US"/>
              </w:rPr>
              <w:t>biodiversitetin</w:t>
            </w:r>
            <w:proofErr w:type="spellEnd"/>
            <w:r w:rsidRPr="00B67DFC">
              <w:rPr>
                <w:rFonts w:ascii="Garamond" w:hAnsi="Garamond"/>
                <w:lang w:val="sq-AL" w:bidi="en-US"/>
              </w:rPr>
              <w:t>;</w:t>
            </w:r>
          </w:p>
          <w:p w:rsidR="00F020CC" w:rsidRPr="00B67DFC" w:rsidRDefault="00F020CC" w:rsidP="00F020CC">
            <w:pPr>
              <w:rPr>
                <w:rFonts w:ascii="Garamond" w:hAnsi="Garamond"/>
                <w:lang w:val="sq-AL" w:bidi="en-US"/>
              </w:rPr>
            </w:pPr>
            <w:r w:rsidRPr="00B67DFC">
              <w:rPr>
                <w:rFonts w:ascii="Garamond" w:hAnsi="Garamond"/>
                <w:lang w:val="sq-AL" w:bidi="en-US"/>
              </w:rPr>
              <w:t>5. Studimet dhe/ose planet e mëparshme për njësinë vendore, sektoriale ose të përgjithshme;</w:t>
            </w:r>
          </w:p>
          <w:p w:rsidR="00F020CC" w:rsidRPr="00B67DFC" w:rsidRDefault="00F020CC" w:rsidP="00F020CC">
            <w:pPr>
              <w:rPr>
                <w:rFonts w:ascii="Garamond" w:hAnsi="Garamond"/>
                <w:lang w:val="sq-AL" w:bidi="en-US"/>
              </w:rPr>
            </w:pPr>
            <w:r w:rsidRPr="00B67DFC">
              <w:rPr>
                <w:rFonts w:ascii="Garamond" w:hAnsi="Garamond"/>
                <w:lang w:val="sq-AL" w:bidi="en-US"/>
              </w:rPr>
              <w:lastRenderedPageBreak/>
              <w:t xml:space="preserve">6. Studimet dhe/ose planet kombëtare dhe </w:t>
            </w:r>
            <w:proofErr w:type="spellStart"/>
            <w:r w:rsidRPr="00B67DFC">
              <w:rPr>
                <w:rFonts w:ascii="Garamond" w:hAnsi="Garamond"/>
                <w:lang w:val="sq-AL" w:bidi="en-US"/>
              </w:rPr>
              <w:t>ndërvendore</w:t>
            </w:r>
            <w:proofErr w:type="spellEnd"/>
            <w:r w:rsidRPr="00B67DFC">
              <w:rPr>
                <w:rFonts w:ascii="Garamond" w:hAnsi="Garamond"/>
                <w:lang w:val="sq-AL" w:bidi="en-US"/>
              </w:rPr>
              <w:t xml:space="preserve"> dhe të integruara të hartuara me parë dhe që propozojnë për territorin e njësisë vendore në fjalë;</w:t>
            </w:r>
          </w:p>
          <w:p w:rsidR="00F020CC" w:rsidRPr="00B67DFC" w:rsidRDefault="00F020CC" w:rsidP="00F020CC">
            <w:pPr>
              <w:rPr>
                <w:rFonts w:ascii="Garamond" w:hAnsi="Garamond"/>
                <w:lang w:val="sq-AL" w:bidi="en-US"/>
              </w:rPr>
            </w:pPr>
            <w:r w:rsidRPr="00B67DFC">
              <w:rPr>
                <w:rFonts w:ascii="Garamond" w:hAnsi="Garamond"/>
                <w:lang w:val="sq-AL" w:bidi="en-US"/>
              </w:rPr>
              <w:t xml:space="preserve">7. Studime të ndërmarra nga vetë njësia vendore në kuadër të hartimit të planit, si p.sh.: vëzhgim social-ekonomik, monitorim mjedisor për disa indikatorë specifikë etj. </w:t>
            </w:r>
          </w:p>
        </w:tc>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p>
        </w:tc>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p>
        </w:tc>
        <w:tc>
          <w:tcPr>
            <w:tcW w:w="0" w:type="auto"/>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rPr>
                <w:rFonts w:ascii="Garamond" w:hAnsi="Garamond"/>
                <w:lang w:val="sq-AL" w:bidi="en-US"/>
              </w:rPr>
            </w:pPr>
            <w:r w:rsidRPr="00B67DFC">
              <w:rPr>
                <w:rFonts w:ascii="Garamond" w:hAnsi="Garamond" w:cs="Arial"/>
                <w:lang w:val="sq-AL" w:bidi="en-US"/>
              </w:rPr>
              <w:t>□</w:t>
            </w:r>
          </w:p>
        </w:tc>
      </w:tr>
    </w:tbl>
    <w:p w:rsidR="00F020CC" w:rsidRPr="00B67DFC" w:rsidRDefault="00F020CC" w:rsidP="00F020CC">
      <w:pPr>
        <w:widowControl w:val="0"/>
        <w:jc w:val="both"/>
        <w:rPr>
          <w:rFonts w:ascii="Garamond" w:hAnsi="Garamond"/>
          <w:b/>
          <w:lang w:val="sq-AL" w:bidi="en-US"/>
        </w:rPr>
      </w:pPr>
    </w:p>
    <w:p w:rsidR="00F020CC" w:rsidRPr="00B67DFC" w:rsidRDefault="00F020CC" w:rsidP="00F020CC">
      <w:pPr>
        <w:widowControl w:val="0"/>
        <w:ind w:firstLine="720"/>
        <w:jc w:val="both"/>
        <w:rPr>
          <w:rFonts w:ascii="Garamond" w:hAnsi="Garamond"/>
          <w:b/>
          <w:lang w:val="sq-AL" w:bidi="en-US"/>
        </w:rPr>
      </w:pPr>
      <w:r w:rsidRPr="00B67DFC">
        <w:rPr>
          <w:rFonts w:ascii="Garamond" w:hAnsi="Garamond"/>
          <w:b/>
          <w:lang w:val="sq-AL" w:bidi="en-US"/>
        </w:rPr>
        <w:t>5. Hartat bashkëlidhur relacionit të PPV-së (referencë është neni 19 në rregulloren uniforme të planifikimit)</w:t>
      </w:r>
    </w:p>
    <w:p w:rsidR="00F020CC" w:rsidRPr="00B67DFC" w:rsidRDefault="00F020CC" w:rsidP="00F020CC">
      <w:pPr>
        <w:widowControl w:val="0"/>
        <w:ind w:firstLine="720"/>
        <w:jc w:val="both"/>
        <w:rPr>
          <w:rFonts w:ascii="Garamond" w:hAnsi="Garamond"/>
          <w:b/>
          <w:lang w:val="sq-AL" w:bidi="en-US"/>
        </w:rPr>
      </w:pPr>
    </w:p>
    <w:tbl>
      <w:tblPr>
        <w:tblW w:w="512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4"/>
        <w:gridCol w:w="1694"/>
        <w:gridCol w:w="2907"/>
        <w:gridCol w:w="954"/>
        <w:gridCol w:w="834"/>
        <w:gridCol w:w="1032"/>
        <w:gridCol w:w="864"/>
      </w:tblGrid>
      <w:tr w:rsidR="00F020CC" w:rsidRPr="00B67DFC" w:rsidTr="00F020CC">
        <w:trPr>
          <w:jc w:val="center"/>
        </w:trPr>
        <w:tc>
          <w:tcPr>
            <w:tcW w:w="27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jc w:val="center"/>
              <w:rPr>
                <w:rFonts w:ascii="Garamond" w:hAnsi="Garamond"/>
                <w:b/>
                <w:lang w:val="sq-AL" w:bidi="en-US"/>
              </w:rPr>
            </w:pPr>
            <w:r w:rsidRPr="00B67DFC">
              <w:rPr>
                <w:rFonts w:ascii="Garamond" w:hAnsi="Garamond"/>
                <w:b/>
                <w:lang w:val="sq-AL" w:bidi="en-US"/>
              </w:rPr>
              <w:t>Nr.</w:t>
            </w:r>
          </w:p>
        </w:tc>
        <w:tc>
          <w:tcPr>
            <w:tcW w:w="82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jc w:val="center"/>
              <w:rPr>
                <w:rFonts w:ascii="Garamond" w:hAnsi="Garamond"/>
                <w:b/>
                <w:lang w:val="sq-AL" w:bidi="en-US"/>
              </w:rPr>
            </w:pPr>
            <w:r w:rsidRPr="00B67DFC">
              <w:rPr>
                <w:rFonts w:ascii="Garamond" w:hAnsi="Garamond"/>
                <w:b/>
                <w:lang w:val="sq-AL" w:bidi="en-US"/>
              </w:rPr>
              <w:t>Tematika e hartës</w:t>
            </w:r>
          </w:p>
        </w:tc>
        <w:tc>
          <w:tcPr>
            <w:tcW w:w="1986"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jc w:val="center"/>
              <w:rPr>
                <w:rFonts w:ascii="Garamond" w:hAnsi="Garamond"/>
                <w:b/>
                <w:lang w:val="sq-AL" w:bidi="en-US"/>
              </w:rPr>
            </w:pPr>
            <w:r w:rsidRPr="00B67DFC">
              <w:rPr>
                <w:rFonts w:ascii="Garamond" w:hAnsi="Garamond"/>
                <w:b/>
                <w:lang w:val="sq-AL" w:bidi="en-US"/>
              </w:rPr>
              <w:t>Lloji i hartës</w:t>
            </w:r>
          </w:p>
        </w:tc>
        <w:tc>
          <w:tcPr>
            <w:tcW w:w="46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jc w:val="center"/>
              <w:rPr>
                <w:rFonts w:ascii="Garamond" w:hAnsi="Garamond"/>
                <w:b/>
                <w:lang w:val="sq-AL" w:bidi="en-US"/>
              </w:rPr>
            </w:pPr>
            <w:r w:rsidRPr="00B67DFC">
              <w:rPr>
                <w:rFonts w:ascii="Garamond" w:hAnsi="Garamond"/>
                <w:b/>
                <w:lang w:val="sq-AL" w:bidi="en-US"/>
              </w:rPr>
              <w:t>Shkalla</w:t>
            </w:r>
          </w:p>
        </w:tc>
        <w:tc>
          <w:tcPr>
            <w:tcW w:w="530"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jc w:val="center"/>
              <w:rPr>
                <w:rFonts w:ascii="Garamond" w:hAnsi="Garamond"/>
                <w:b/>
                <w:lang w:val="sq-AL" w:bidi="en-US"/>
              </w:rPr>
            </w:pPr>
            <w:r w:rsidRPr="00B67DFC">
              <w:rPr>
                <w:rFonts w:ascii="Garamond" w:hAnsi="Garamond"/>
                <w:b/>
                <w:lang w:val="sq-AL" w:bidi="en-US"/>
              </w:rPr>
              <w:t>Kodi i hartës</w:t>
            </w:r>
          </w:p>
        </w:tc>
        <w:tc>
          <w:tcPr>
            <w:tcW w:w="49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jc w:val="center"/>
              <w:rPr>
                <w:rFonts w:ascii="Garamond" w:hAnsi="Garamond"/>
                <w:b/>
                <w:lang w:val="sq-AL" w:bidi="en-US"/>
              </w:rPr>
            </w:pPr>
            <w:r w:rsidRPr="00B67DFC">
              <w:rPr>
                <w:rFonts w:ascii="Garamond" w:hAnsi="Garamond"/>
                <w:b/>
                <w:lang w:val="sq-AL" w:bidi="en-US"/>
              </w:rPr>
              <w:t>Formati</w:t>
            </w:r>
          </w:p>
        </w:tc>
        <w:tc>
          <w:tcPr>
            <w:tcW w:w="413"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jc w:val="center"/>
              <w:rPr>
                <w:rFonts w:ascii="Garamond" w:hAnsi="Garamond"/>
                <w:b/>
                <w:lang w:val="sq-AL" w:bidi="en-US"/>
              </w:rPr>
            </w:pPr>
            <w:proofErr w:type="spellStart"/>
            <w:r w:rsidRPr="00B67DFC">
              <w:rPr>
                <w:rFonts w:ascii="Garamond" w:hAnsi="Garamond"/>
                <w:b/>
                <w:lang w:val="sq-AL" w:bidi="en-US"/>
              </w:rPr>
              <w:t>Check</w:t>
            </w:r>
            <w:proofErr w:type="spellEnd"/>
          </w:p>
          <w:p w:rsidR="00F020CC" w:rsidRPr="00B67DFC" w:rsidRDefault="00F020CC" w:rsidP="00F020CC">
            <w:pPr>
              <w:widowControl w:val="0"/>
              <w:jc w:val="center"/>
              <w:rPr>
                <w:rFonts w:ascii="Garamond" w:hAnsi="Garamond"/>
                <w:b/>
                <w:lang w:val="sq-AL" w:bidi="en-US"/>
              </w:rPr>
            </w:pPr>
            <w:proofErr w:type="spellStart"/>
            <w:r w:rsidRPr="00B67DFC">
              <w:rPr>
                <w:rFonts w:ascii="Garamond" w:hAnsi="Garamond"/>
                <w:b/>
                <w:lang w:val="sq-AL" w:bidi="en-US"/>
              </w:rPr>
              <w:t>list</w:t>
            </w:r>
            <w:proofErr w:type="spellEnd"/>
          </w:p>
        </w:tc>
      </w:tr>
      <w:tr w:rsidR="00F020CC" w:rsidRPr="00B67DFC" w:rsidTr="00F020CC">
        <w:trPr>
          <w:jc w:val="center"/>
        </w:trPr>
        <w:tc>
          <w:tcPr>
            <w:tcW w:w="27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1</w:t>
            </w:r>
          </w:p>
        </w:tc>
        <w:tc>
          <w:tcPr>
            <w:tcW w:w="82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Harta bazë</w:t>
            </w:r>
          </w:p>
        </w:tc>
        <w:tc>
          <w:tcPr>
            <w:tcW w:w="1986"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Harta bazë vektoriale e njësisë vendore dhe topografia</w:t>
            </w:r>
          </w:p>
        </w:tc>
        <w:tc>
          <w:tcPr>
            <w:tcW w:w="46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530"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9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13"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r>
      <w:tr w:rsidR="00F020CC" w:rsidRPr="00B67DFC" w:rsidTr="00F020CC">
        <w:trPr>
          <w:jc w:val="center"/>
        </w:trPr>
        <w:tc>
          <w:tcPr>
            <w:tcW w:w="27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2</w:t>
            </w:r>
          </w:p>
        </w:tc>
        <w:tc>
          <w:tcPr>
            <w:tcW w:w="827" w:type="pct"/>
            <w:vMerge w:val="restar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Hartat e elementeve ekzistuese të territorit</w:t>
            </w:r>
          </w:p>
        </w:tc>
        <w:tc>
          <w:tcPr>
            <w:tcW w:w="1986"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 xml:space="preserve">Shtresat gjeologjike </w:t>
            </w:r>
          </w:p>
        </w:tc>
        <w:tc>
          <w:tcPr>
            <w:tcW w:w="46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530"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9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13"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r>
      <w:tr w:rsidR="00F020CC" w:rsidRPr="00B67DFC" w:rsidTr="00F020CC">
        <w:trPr>
          <w:jc w:val="center"/>
        </w:trPr>
        <w:tc>
          <w:tcPr>
            <w:tcW w:w="27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3</w:t>
            </w:r>
          </w:p>
        </w:tc>
        <w:tc>
          <w:tcPr>
            <w:tcW w:w="827" w:type="pct"/>
            <w:vMerge/>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1986"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 xml:space="preserve">Situata </w:t>
            </w:r>
            <w:proofErr w:type="spellStart"/>
            <w:r w:rsidRPr="00B67DFC">
              <w:rPr>
                <w:rFonts w:ascii="Garamond" w:hAnsi="Garamond"/>
                <w:lang w:val="sq-AL" w:bidi="en-US"/>
              </w:rPr>
              <w:t>hidrogjeologjike</w:t>
            </w:r>
            <w:proofErr w:type="spellEnd"/>
          </w:p>
        </w:tc>
        <w:tc>
          <w:tcPr>
            <w:tcW w:w="46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530"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9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13"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r>
      <w:tr w:rsidR="00F020CC" w:rsidRPr="00B67DFC" w:rsidTr="00F020CC">
        <w:trPr>
          <w:jc w:val="center"/>
        </w:trPr>
        <w:tc>
          <w:tcPr>
            <w:tcW w:w="27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4</w:t>
            </w:r>
          </w:p>
        </w:tc>
        <w:tc>
          <w:tcPr>
            <w:tcW w:w="827" w:type="pct"/>
            <w:vMerge/>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1986"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roofErr w:type="spellStart"/>
            <w:r w:rsidRPr="00B67DFC">
              <w:rPr>
                <w:rFonts w:ascii="Garamond" w:hAnsi="Garamond"/>
                <w:lang w:val="sq-AL" w:bidi="en-US"/>
              </w:rPr>
              <w:t>Makrozonimi</w:t>
            </w:r>
            <w:proofErr w:type="spellEnd"/>
            <w:r w:rsidRPr="00B67DFC">
              <w:rPr>
                <w:rFonts w:ascii="Garamond" w:hAnsi="Garamond"/>
                <w:lang w:val="sq-AL" w:bidi="en-US"/>
              </w:rPr>
              <w:t xml:space="preserve"> dhe </w:t>
            </w:r>
            <w:proofErr w:type="spellStart"/>
            <w:r w:rsidRPr="00B67DFC">
              <w:rPr>
                <w:rFonts w:ascii="Garamond" w:hAnsi="Garamond"/>
                <w:lang w:val="sq-AL" w:bidi="en-US"/>
              </w:rPr>
              <w:t>mikrozonimi</w:t>
            </w:r>
            <w:proofErr w:type="spellEnd"/>
            <w:r w:rsidRPr="00B67DFC">
              <w:rPr>
                <w:rFonts w:ascii="Garamond" w:hAnsi="Garamond"/>
                <w:lang w:val="sq-AL" w:bidi="en-US"/>
              </w:rPr>
              <w:t xml:space="preserve"> sizmik</w:t>
            </w:r>
          </w:p>
        </w:tc>
        <w:tc>
          <w:tcPr>
            <w:tcW w:w="46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530"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9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13"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r>
      <w:tr w:rsidR="00F020CC" w:rsidRPr="00B67DFC" w:rsidTr="00F020CC">
        <w:trPr>
          <w:jc w:val="center"/>
        </w:trPr>
        <w:tc>
          <w:tcPr>
            <w:tcW w:w="27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5</w:t>
            </w:r>
          </w:p>
        </w:tc>
        <w:tc>
          <w:tcPr>
            <w:tcW w:w="827" w:type="pct"/>
            <w:vMerge/>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1986"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roofErr w:type="spellStart"/>
            <w:r w:rsidRPr="00B67DFC">
              <w:rPr>
                <w:rFonts w:ascii="Garamond" w:hAnsi="Garamond"/>
                <w:lang w:val="sq-AL" w:bidi="en-US"/>
              </w:rPr>
              <w:t>Boniteti</w:t>
            </w:r>
            <w:proofErr w:type="spellEnd"/>
            <w:r w:rsidRPr="00B67DFC">
              <w:rPr>
                <w:rFonts w:ascii="Garamond" w:hAnsi="Garamond"/>
                <w:lang w:val="sq-AL" w:bidi="en-US"/>
              </w:rPr>
              <w:t xml:space="preserve"> i tokave bujqësore të NJV-së</w:t>
            </w:r>
          </w:p>
        </w:tc>
        <w:tc>
          <w:tcPr>
            <w:tcW w:w="46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530"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9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13"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r>
      <w:tr w:rsidR="00F020CC" w:rsidRPr="00B67DFC" w:rsidTr="00F020CC">
        <w:trPr>
          <w:jc w:val="center"/>
        </w:trPr>
        <w:tc>
          <w:tcPr>
            <w:tcW w:w="27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6</w:t>
            </w:r>
          </w:p>
        </w:tc>
        <w:tc>
          <w:tcPr>
            <w:tcW w:w="827" w:type="pct"/>
            <w:vMerge/>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1986"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Harta e burimeve natyrore</w:t>
            </w:r>
          </w:p>
        </w:tc>
        <w:tc>
          <w:tcPr>
            <w:tcW w:w="46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530"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9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13"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r>
      <w:tr w:rsidR="00F020CC" w:rsidRPr="00B67DFC" w:rsidTr="00F020CC">
        <w:trPr>
          <w:jc w:val="center"/>
        </w:trPr>
        <w:tc>
          <w:tcPr>
            <w:tcW w:w="27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7</w:t>
            </w:r>
          </w:p>
        </w:tc>
        <w:tc>
          <w:tcPr>
            <w:tcW w:w="827" w:type="pct"/>
            <w:vMerge/>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1986"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Harta e zonave të mbrojtura natyrore dhe historike</w:t>
            </w:r>
          </w:p>
        </w:tc>
        <w:tc>
          <w:tcPr>
            <w:tcW w:w="46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530"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9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13"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r>
      <w:tr w:rsidR="00F020CC" w:rsidRPr="00B67DFC" w:rsidTr="00F020CC">
        <w:trPr>
          <w:jc w:val="center"/>
        </w:trPr>
        <w:tc>
          <w:tcPr>
            <w:tcW w:w="27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8</w:t>
            </w:r>
          </w:p>
        </w:tc>
        <w:tc>
          <w:tcPr>
            <w:tcW w:w="827" w:type="pct"/>
            <w:vMerge/>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1986"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Harta e pronave publike</w:t>
            </w:r>
          </w:p>
        </w:tc>
        <w:tc>
          <w:tcPr>
            <w:tcW w:w="46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530"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9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13"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r>
      <w:tr w:rsidR="00F020CC" w:rsidRPr="00B67DFC" w:rsidTr="00F020CC">
        <w:trPr>
          <w:jc w:val="center"/>
        </w:trPr>
        <w:tc>
          <w:tcPr>
            <w:tcW w:w="27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9</w:t>
            </w:r>
          </w:p>
        </w:tc>
        <w:tc>
          <w:tcPr>
            <w:tcW w:w="827" w:type="pct"/>
            <w:vMerge/>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1986"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Çështjet dhe zonat e rëndësisë kombëtare</w:t>
            </w:r>
          </w:p>
        </w:tc>
        <w:tc>
          <w:tcPr>
            <w:tcW w:w="46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530"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9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13"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r>
      <w:tr w:rsidR="00F020CC" w:rsidRPr="00B67DFC" w:rsidTr="00F020CC">
        <w:trPr>
          <w:jc w:val="center"/>
        </w:trPr>
        <w:tc>
          <w:tcPr>
            <w:tcW w:w="27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10</w:t>
            </w:r>
          </w:p>
        </w:tc>
        <w:tc>
          <w:tcPr>
            <w:tcW w:w="827" w:type="pct"/>
            <w:vMerge/>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1986"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Harta e shërbimeve sociale</w:t>
            </w:r>
          </w:p>
        </w:tc>
        <w:tc>
          <w:tcPr>
            <w:tcW w:w="46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530"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9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13"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r>
      <w:tr w:rsidR="00F020CC" w:rsidRPr="00B67DFC" w:rsidTr="00F020CC">
        <w:trPr>
          <w:jc w:val="center"/>
        </w:trPr>
        <w:tc>
          <w:tcPr>
            <w:tcW w:w="27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11</w:t>
            </w:r>
          </w:p>
        </w:tc>
        <w:tc>
          <w:tcPr>
            <w:tcW w:w="827" w:type="pct"/>
            <w:vMerge/>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1986"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Harta e infrastrukturave (shërbimet publike dhe impiante)</w:t>
            </w:r>
          </w:p>
        </w:tc>
        <w:tc>
          <w:tcPr>
            <w:tcW w:w="46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530"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9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13"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r>
      <w:tr w:rsidR="00F020CC" w:rsidRPr="00B67DFC" w:rsidTr="00F020CC">
        <w:trPr>
          <w:jc w:val="center"/>
        </w:trPr>
        <w:tc>
          <w:tcPr>
            <w:tcW w:w="27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x</w:t>
            </w:r>
          </w:p>
        </w:tc>
        <w:tc>
          <w:tcPr>
            <w:tcW w:w="827" w:type="pct"/>
            <w:vMerge/>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1986"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Tjetër sipas rastit</w:t>
            </w:r>
          </w:p>
        </w:tc>
        <w:tc>
          <w:tcPr>
            <w:tcW w:w="46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530"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9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13"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r>
      <w:tr w:rsidR="00F020CC" w:rsidRPr="00B67DFC" w:rsidTr="00F020CC">
        <w:trPr>
          <w:jc w:val="center"/>
        </w:trPr>
        <w:tc>
          <w:tcPr>
            <w:tcW w:w="27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12</w:t>
            </w:r>
          </w:p>
        </w:tc>
        <w:tc>
          <w:tcPr>
            <w:tcW w:w="82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Skenarët strategjikë të zhvillimit të territorit</w:t>
            </w:r>
          </w:p>
        </w:tc>
        <w:tc>
          <w:tcPr>
            <w:tcW w:w="1986"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Skenarët strategjikë të zhvillimit të territorit sipas prioriteteve</w:t>
            </w:r>
          </w:p>
        </w:tc>
        <w:tc>
          <w:tcPr>
            <w:tcW w:w="46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530"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9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13"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r>
      <w:tr w:rsidR="00F020CC" w:rsidRPr="00B67DFC" w:rsidTr="00F020CC">
        <w:trPr>
          <w:jc w:val="center"/>
        </w:trPr>
        <w:tc>
          <w:tcPr>
            <w:tcW w:w="27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13</w:t>
            </w:r>
          </w:p>
        </w:tc>
        <w:tc>
          <w:tcPr>
            <w:tcW w:w="827" w:type="pct"/>
            <w:vMerge w:val="restar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Hartat e analizës së territorit</w:t>
            </w:r>
          </w:p>
        </w:tc>
        <w:tc>
          <w:tcPr>
            <w:tcW w:w="1986"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Pozicionimi i njësisë vendore në rajon dhe qark, kufijtë administrativë dhe zonat në konflikt</w:t>
            </w:r>
          </w:p>
          <w:p w:rsidR="00F020CC" w:rsidRPr="00B67DFC" w:rsidRDefault="00F020CC" w:rsidP="00F020CC">
            <w:pPr>
              <w:widowControl w:val="0"/>
              <w:rPr>
                <w:rFonts w:ascii="Garamond" w:hAnsi="Garamond"/>
                <w:lang w:val="sq-AL" w:bidi="en-US"/>
              </w:rPr>
            </w:pPr>
          </w:p>
        </w:tc>
        <w:tc>
          <w:tcPr>
            <w:tcW w:w="46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530"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9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13"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r>
      <w:tr w:rsidR="00F020CC" w:rsidRPr="00B67DFC" w:rsidTr="00F020CC">
        <w:trPr>
          <w:jc w:val="center"/>
        </w:trPr>
        <w:tc>
          <w:tcPr>
            <w:tcW w:w="27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lastRenderedPageBreak/>
              <w:t>14</w:t>
            </w:r>
          </w:p>
        </w:tc>
        <w:tc>
          <w:tcPr>
            <w:tcW w:w="827" w:type="pct"/>
            <w:vMerge/>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1986"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Analiza e integruar e elementeve territoriale ekzistuese</w:t>
            </w:r>
          </w:p>
        </w:tc>
        <w:tc>
          <w:tcPr>
            <w:tcW w:w="46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530"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9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13"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r>
      <w:tr w:rsidR="00F020CC" w:rsidRPr="00B67DFC" w:rsidTr="00F020CC">
        <w:trPr>
          <w:jc w:val="center"/>
        </w:trPr>
        <w:tc>
          <w:tcPr>
            <w:tcW w:w="27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15</w:t>
            </w:r>
          </w:p>
        </w:tc>
        <w:tc>
          <w:tcPr>
            <w:tcW w:w="827" w:type="pct"/>
            <w:vMerge/>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1986"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Analiza e problematikës mjedisore</w:t>
            </w:r>
          </w:p>
        </w:tc>
        <w:tc>
          <w:tcPr>
            <w:tcW w:w="46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530"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9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13"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r>
      <w:tr w:rsidR="00F020CC" w:rsidRPr="00B67DFC" w:rsidTr="00F020CC">
        <w:trPr>
          <w:jc w:val="center"/>
        </w:trPr>
        <w:tc>
          <w:tcPr>
            <w:tcW w:w="27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16</w:t>
            </w:r>
          </w:p>
        </w:tc>
        <w:tc>
          <w:tcPr>
            <w:tcW w:w="827" w:type="pct"/>
            <w:vMerge/>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1986"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Analiza e problematikës së pronësisë, publike dhe private</w:t>
            </w:r>
          </w:p>
        </w:tc>
        <w:tc>
          <w:tcPr>
            <w:tcW w:w="46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530"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9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13"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r>
      <w:tr w:rsidR="00F020CC" w:rsidRPr="00B67DFC" w:rsidTr="00F020CC">
        <w:trPr>
          <w:jc w:val="center"/>
        </w:trPr>
        <w:tc>
          <w:tcPr>
            <w:tcW w:w="27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17</w:t>
            </w:r>
          </w:p>
        </w:tc>
        <w:tc>
          <w:tcPr>
            <w:tcW w:w="827" w:type="pct"/>
            <w:vMerge/>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1986"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Analiza e përdorimit ekzistues të tokës</w:t>
            </w:r>
          </w:p>
        </w:tc>
        <w:tc>
          <w:tcPr>
            <w:tcW w:w="46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530"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9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13"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r>
      <w:tr w:rsidR="00F020CC" w:rsidRPr="00B67DFC" w:rsidTr="00F020CC">
        <w:trPr>
          <w:jc w:val="center"/>
        </w:trPr>
        <w:tc>
          <w:tcPr>
            <w:tcW w:w="27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18</w:t>
            </w:r>
          </w:p>
        </w:tc>
        <w:tc>
          <w:tcPr>
            <w:tcW w:w="827" w:type="pct"/>
            <w:vMerge/>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1986"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Analiza e cilësisë së ndërtimit, banesave dhe shpërndarjes së popullsisë</w:t>
            </w:r>
          </w:p>
        </w:tc>
        <w:tc>
          <w:tcPr>
            <w:tcW w:w="46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530"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9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13"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r>
      <w:tr w:rsidR="00F020CC" w:rsidRPr="00B67DFC" w:rsidTr="00F020CC">
        <w:trPr>
          <w:jc w:val="center"/>
        </w:trPr>
        <w:tc>
          <w:tcPr>
            <w:tcW w:w="27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19</w:t>
            </w:r>
          </w:p>
        </w:tc>
        <w:tc>
          <w:tcPr>
            <w:tcW w:w="827" w:type="pct"/>
            <w:vMerge/>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1986"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Analiza e artikulimit dhe strukturimit të tipologjive të hapësirës</w:t>
            </w:r>
          </w:p>
        </w:tc>
        <w:tc>
          <w:tcPr>
            <w:tcW w:w="46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530"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9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13"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r>
      <w:tr w:rsidR="00F020CC" w:rsidRPr="00B67DFC" w:rsidTr="00F020CC">
        <w:trPr>
          <w:jc w:val="center"/>
        </w:trPr>
        <w:tc>
          <w:tcPr>
            <w:tcW w:w="27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20</w:t>
            </w:r>
          </w:p>
        </w:tc>
        <w:tc>
          <w:tcPr>
            <w:tcW w:w="827" w:type="pct"/>
            <w:vMerge/>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1986"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Analiza e elementeve të forta territoriale</w:t>
            </w:r>
          </w:p>
        </w:tc>
        <w:tc>
          <w:tcPr>
            <w:tcW w:w="46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530"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9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13"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r>
      <w:tr w:rsidR="00F020CC" w:rsidRPr="00B67DFC" w:rsidTr="00F020CC">
        <w:trPr>
          <w:jc w:val="center"/>
        </w:trPr>
        <w:tc>
          <w:tcPr>
            <w:tcW w:w="27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21</w:t>
            </w:r>
          </w:p>
        </w:tc>
        <w:tc>
          <w:tcPr>
            <w:tcW w:w="827" w:type="pct"/>
            <w:vMerge/>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1986"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 xml:space="preserve">Analiza e </w:t>
            </w:r>
            <w:proofErr w:type="spellStart"/>
            <w:r w:rsidRPr="00B67DFC">
              <w:rPr>
                <w:rFonts w:ascii="Garamond" w:hAnsi="Garamond"/>
                <w:lang w:val="sq-AL" w:bidi="en-US"/>
              </w:rPr>
              <w:t>periferalitetit</w:t>
            </w:r>
            <w:proofErr w:type="spellEnd"/>
            <w:r w:rsidRPr="00B67DFC">
              <w:rPr>
                <w:rFonts w:ascii="Garamond" w:hAnsi="Garamond"/>
                <w:lang w:val="sq-AL" w:bidi="en-US"/>
              </w:rPr>
              <w:t xml:space="preserve"> urban</w:t>
            </w:r>
          </w:p>
        </w:tc>
        <w:tc>
          <w:tcPr>
            <w:tcW w:w="46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530"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9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13"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r>
      <w:tr w:rsidR="00F020CC" w:rsidRPr="00B67DFC" w:rsidTr="00F020CC">
        <w:trPr>
          <w:jc w:val="center"/>
        </w:trPr>
        <w:tc>
          <w:tcPr>
            <w:tcW w:w="27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x</w:t>
            </w:r>
          </w:p>
        </w:tc>
        <w:tc>
          <w:tcPr>
            <w:tcW w:w="827" w:type="pct"/>
            <w:vMerge/>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1986"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Tjetër sipas rastit</w:t>
            </w:r>
          </w:p>
        </w:tc>
        <w:tc>
          <w:tcPr>
            <w:tcW w:w="46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530"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9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13"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r>
      <w:tr w:rsidR="00F020CC" w:rsidRPr="00B67DFC" w:rsidTr="00F020CC">
        <w:trPr>
          <w:jc w:val="center"/>
        </w:trPr>
        <w:tc>
          <w:tcPr>
            <w:tcW w:w="27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22</w:t>
            </w:r>
          </w:p>
        </w:tc>
        <w:tc>
          <w:tcPr>
            <w:tcW w:w="82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Hartat e propozimit të përdorimit të tokës</w:t>
            </w:r>
          </w:p>
        </w:tc>
        <w:tc>
          <w:tcPr>
            <w:tcW w:w="1986"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 xml:space="preserve">Përdorimi i propozuar i përdorimit të tokës (referencë rastet sipas nenit 19 në rregulloren uniforme të planifikimit) </w:t>
            </w:r>
          </w:p>
        </w:tc>
        <w:tc>
          <w:tcPr>
            <w:tcW w:w="46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530"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9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13"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r>
      <w:tr w:rsidR="00F020CC" w:rsidRPr="00B67DFC" w:rsidTr="00F020CC">
        <w:trPr>
          <w:jc w:val="center"/>
        </w:trPr>
        <w:tc>
          <w:tcPr>
            <w:tcW w:w="27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23</w:t>
            </w:r>
          </w:p>
        </w:tc>
        <w:tc>
          <w:tcPr>
            <w:tcW w:w="82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 xml:space="preserve">Harta e njësive dhe </w:t>
            </w:r>
            <w:proofErr w:type="spellStart"/>
            <w:r w:rsidRPr="00B67DFC">
              <w:rPr>
                <w:rFonts w:ascii="Garamond" w:hAnsi="Garamond"/>
                <w:lang w:val="sq-AL" w:bidi="en-US"/>
              </w:rPr>
              <w:t>nënnjësive</w:t>
            </w:r>
            <w:proofErr w:type="spellEnd"/>
            <w:r w:rsidRPr="00B67DFC">
              <w:rPr>
                <w:rFonts w:ascii="Garamond" w:hAnsi="Garamond"/>
                <w:lang w:val="sq-AL" w:bidi="en-US"/>
              </w:rPr>
              <w:t xml:space="preserve"> </w:t>
            </w:r>
          </w:p>
        </w:tc>
        <w:tc>
          <w:tcPr>
            <w:tcW w:w="1986"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 xml:space="preserve">Njësitë dhe </w:t>
            </w:r>
            <w:proofErr w:type="spellStart"/>
            <w:r w:rsidRPr="00B67DFC">
              <w:rPr>
                <w:rFonts w:ascii="Garamond" w:hAnsi="Garamond"/>
                <w:lang w:val="sq-AL" w:bidi="en-US"/>
              </w:rPr>
              <w:t>nënnjësitë</w:t>
            </w:r>
            <w:proofErr w:type="spellEnd"/>
            <w:r w:rsidRPr="00B67DFC">
              <w:rPr>
                <w:rFonts w:ascii="Garamond" w:hAnsi="Garamond"/>
                <w:lang w:val="sq-AL" w:bidi="en-US"/>
              </w:rPr>
              <w:t xml:space="preserve"> strukturore dhe zonat për prioritet zhvillimi</w:t>
            </w:r>
          </w:p>
        </w:tc>
        <w:tc>
          <w:tcPr>
            <w:tcW w:w="46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530"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9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13"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r>
      <w:tr w:rsidR="00F020CC" w:rsidRPr="00B67DFC" w:rsidTr="00F020CC">
        <w:trPr>
          <w:trHeight w:val="689"/>
          <w:jc w:val="center"/>
        </w:trPr>
        <w:tc>
          <w:tcPr>
            <w:tcW w:w="278" w:type="pct"/>
            <w:vMerge w:val="restar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24</w:t>
            </w:r>
          </w:p>
        </w:tc>
        <w:tc>
          <w:tcPr>
            <w:tcW w:w="827" w:type="pct"/>
            <w:vMerge w:val="restar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Hartat e shërbimeve dhe infrastrukturave të propozuara</w:t>
            </w:r>
          </w:p>
        </w:tc>
        <w:tc>
          <w:tcPr>
            <w:tcW w:w="1986"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Rrjetet e infrastrukturave</w:t>
            </w:r>
          </w:p>
        </w:tc>
        <w:tc>
          <w:tcPr>
            <w:tcW w:w="467" w:type="pct"/>
            <w:vMerge w:val="restar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530"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98" w:type="pct"/>
            <w:vMerge w:val="restar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13" w:type="pct"/>
            <w:vMerge w:val="restar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r>
      <w:tr w:rsidR="00F020CC" w:rsidRPr="00B67DFC" w:rsidTr="00F020CC">
        <w:trPr>
          <w:trHeight w:val="479"/>
          <w:jc w:val="center"/>
        </w:trPr>
        <w:tc>
          <w:tcPr>
            <w:tcW w:w="278" w:type="pct"/>
            <w:vMerge/>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827" w:type="pct"/>
            <w:vMerge/>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1986"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Objektet e shërbimeve sociale dhe rrezet e mbulimit</w:t>
            </w:r>
          </w:p>
        </w:tc>
        <w:tc>
          <w:tcPr>
            <w:tcW w:w="467" w:type="pct"/>
            <w:vMerge/>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530"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98" w:type="pct"/>
            <w:vMerge/>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13" w:type="pct"/>
            <w:vMerge/>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r>
      <w:tr w:rsidR="00F020CC" w:rsidRPr="00B67DFC" w:rsidTr="00F020CC">
        <w:trPr>
          <w:jc w:val="center"/>
        </w:trPr>
        <w:tc>
          <w:tcPr>
            <w:tcW w:w="27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25</w:t>
            </w:r>
          </w:p>
        </w:tc>
        <w:tc>
          <w:tcPr>
            <w:tcW w:w="82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Hartat e vlerësimit mjedisor</w:t>
            </w:r>
          </w:p>
        </w:tc>
        <w:tc>
          <w:tcPr>
            <w:tcW w:w="1986"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Vlerësimi mjedisor i propozimeve të planit</w:t>
            </w:r>
          </w:p>
        </w:tc>
        <w:tc>
          <w:tcPr>
            <w:tcW w:w="46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530"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9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13"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r>
      <w:tr w:rsidR="00F020CC" w:rsidRPr="00B67DFC" w:rsidTr="00F020CC">
        <w:trPr>
          <w:jc w:val="center"/>
        </w:trPr>
        <w:tc>
          <w:tcPr>
            <w:tcW w:w="27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26</w:t>
            </w:r>
          </w:p>
        </w:tc>
        <w:tc>
          <w:tcPr>
            <w:tcW w:w="827" w:type="pct"/>
            <w:vMerge w:val="restar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Hartat e instrumenteve speciale të kontrollit të zhvillimit dhe të tjera</w:t>
            </w:r>
          </w:p>
        </w:tc>
        <w:tc>
          <w:tcPr>
            <w:tcW w:w="1986"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 xml:space="preserve">Zonat e </w:t>
            </w:r>
            <w:proofErr w:type="spellStart"/>
            <w:r w:rsidRPr="00B67DFC">
              <w:rPr>
                <w:rFonts w:ascii="Garamond" w:hAnsi="Garamond"/>
                <w:lang w:val="sq-AL" w:bidi="en-US"/>
              </w:rPr>
              <w:t>preferimit</w:t>
            </w:r>
            <w:proofErr w:type="spellEnd"/>
          </w:p>
        </w:tc>
        <w:tc>
          <w:tcPr>
            <w:tcW w:w="46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530"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9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13"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r>
      <w:tr w:rsidR="00F020CC" w:rsidRPr="00B67DFC" w:rsidTr="00F020CC">
        <w:trPr>
          <w:jc w:val="center"/>
        </w:trPr>
        <w:tc>
          <w:tcPr>
            <w:tcW w:w="27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27</w:t>
            </w:r>
          </w:p>
        </w:tc>
        <w:tc>
          <w:tcPr>
            <w:tcW w:w="827" w:type="pct"/>
            <w:vMerge/>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1986"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Zonat e pezullimit të zhvillimit</w:t>
            </w:r>
          </w:p>
        </w:tc>
        <w:tc>
          <w:tcPr>
            <w:tcW w:w="46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530"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9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13"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r>
      <w:tr w:rsidR="00F020CC" w:rsidRPr="00B67DFC" w:rsidTr="00F020CC">
        <w:trPr>
          <w:jc w:val="center"/>
        </w:trPr>
        <w:tc>
          <w:tcPr>
            <w:tcW w:w="27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28</w:t>
            </w:r>
          </w:p>
        </w:tc>
        <w:tc>
          <w:tcPr>
            <w:tcW w:w="827" w:type="pct"/>
            <w:vMerge/>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1986"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Zonat e rezervimit publik</w:t>
            </w:r>
          </w:p>
        </w:tc>
        <w:tc>
          <w:tcPr>
            <w:tcW w:w="46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530"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9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13"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r>
      <w:tr w:rsidR="00F020CC" w:rsidRPr="00B67DFC" w:rsidTr="00F020CC">
        <w:trPr>
          <w:jc w:val="center"/>
        </w:trPr>
        <w:tc>
          <w:tcPr>
            <w:tcW w:w="27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29</w:t>
            </w:r>
          </w:p>
        </w:tc>
        <w:tc>
          <w:tcPr>
            <w:tcW w:w="827" w:type="pct"/>
            <w:vMerge/>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1986"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Zonat për servitut publik</w:t>
            </w:r>
          </w:p>
        </w:tc>
        <w:tc>
          <w:tcPr>
            <w:tcW w:w="46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530"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9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13"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r>
      <w:tr w:rsidR="00F020CC" w:rsidRPr="00B67DFC" w:rsidTr="00F020CC">
        <w:trPr>
          <w:jc w:val="center"/>
        </w:trPr>
        <w:tc>
          <w:tcPr>
            <w:tcW w:w="27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30</w:t>
            </w:r>
          </w:p>
        </w:tc>
        <w:tc>
          <w:tcPr>
            <w:tcW w:w="82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1986"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Zona dhënëse dhe marrëse në rast programi transferimi të drejtash zhvillimi</w:t>
            </w:r>
          </w:p>
        </w:tc>
        <w:tc>
          <w:tcPr>
            <w:tcW w:w="46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530"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9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13"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r>
      <w:tr w:rsidR="00F020CC" w:rsidRPr="00B67DFC" w:rsidTr="00F020CC">
        <w:trPr>
          <w:jc w:val="center"/>
        </w:trPr>
        <w:tc>
          <w:tcPr>
            <w:tcW w:w="27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31</w:t>
            </w:r>
          </w:p>
        </w:tc>
        <w:tc>
          <w:tcPr>
            <w:tcW w:w="82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1986"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 xml:space="preserve">Zonat për </w:t>
            </w:r>
            <w:proofErr w:type="spellStart"/>
            <w:r w:rsidRPr="00B67DFC">
              <w:rPr>
                <w:rFonts w:ascii="Garamond" w:hAnsi="Garamond"/>
                <w:lang w:val="sq-AL" w:bidi="en-US"/>
              </w:rPr>
              <w:t>bonus</w:t>
            </w:r>
            <w:proofErr w:type="spellEnd"/>
            <w:r w:rsidRPr="00B67DFC">
              <w:rPr>
                <w:rFonts w:ascii="Garamond" w:hAnsi="Garamond"/>
                <w:lang w:val="sq-AL" w:bidi="en-US"/>
              </w:rPr>
              <w:t xml:space="preserve"> intensiteti </w:t>
            </w:r>
            <w:r w:rsidRPr="00B67DFC">
              <w:rPr>
                <w:rFonts w:ascii="Garamond" w:hAnsi="Garamond"/>
                <w:lang w:val="sq-AL" w:bidi="en-US"/>
              </w:rPr>
              <w:lastRenderedPageBreak/>
              <w:t xml:space="preserve">në rast programi të </w:t>
            </w:r>
            <w:proofErr w:type="spellStart"/>
            <w:r w:rsidRPr="00B67DFC">
              <w:rPr>
                <w:rFonts w:ascii="Garamond" w:hAnsi="Garamond"/>
                <w:lang w:val="sq-AL" w:bidi="en-US"/>
              </w:rPr>
              <w:t>bonusit</w:t>
            </w:r>
            <w:proofErr w:type="spellEnd"/>
            <w:r w:rsidRPr="00B67DFC">
              <w:rPr>
                <w:rFonts w:ascii="Garamond" w:hAnsi="Garamond"/>
                <w:lang w:val="sq-AL" w:bidi="en-US"/>
              </w:rPr>
              <w:t xml:space="preserve"> të intensitetit</w:t>
            </w:r>
          </w:p>
        </w:tc>
        <w:tc>
          <w:tcPr>
            <w:tcW w:w="46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530"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9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13"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r>
      <w:tr w:rsidR="00F020CC" w:rsidRPr="00B67DFC" w:rsidTr="00F020CC">
        <w:trPr>
          <w:jc w:val="center"/>
        </w:trPr>
        <w:tc>
          <w:tcPr>
            <w:tcW w:w="27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32</w:t>
            </w:r>
          </w:p>
        </w:tc>
        <w:tc>
          <w:tcPr>
            <w:tcW w:w="827" w:type="pct"/>
            <w:vMerge w:val="restar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Hartat e zbatimit të planit</w:t>
            </w:r>
          </w:p>
        </w:tc>
        <w:tc>
          <w:tcPr>
            <w:tcW w:w="1986"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 xml:space="preserve">Harta e </w:t>
            </w:r>
            <w:proofErr w:type="spellStart"/>
            <w:r w:rsidRPr="00B67DFC">
              <w:rPr>
                <w:rFonts w:ascii="Garamond" w:hAnsi="Garamond"/>
                <w:lang w:val="sq-AL" w:bidi="en-US"/>
              </w:rPr>
              <w:t>fazimit</w:t>
            </w:r>
            <w:proofErr w:type="spellEnd"/>
            <w:r w:rsidRPr="00B67DFC">
              <w:rPr>
                <w:rFonts w:ascii="Garamond" w:hAnsi="Garamond"/>
                <w:lang w:val="sq-AL" w:bidi="en-US"/>
              </w:rPr>
              <w:t xml:space="preserve"> të zhvillimit</w:t>
            </w:r>
          </w:p>
        </w:tc>
        <w:tc>
          <w:tcPr>
            <w:tcW w:w="46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530"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9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13"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r>
      <w:tr w:rsidR="00F020CC" w:rsidRPr="00B67DFC" w:rsidTr="00F020CC">
        <w:trPr>
          <w:jc w:val="center"/>
        </w:trPr>
        <w:tc>
          <w:tcPr>
            <w:tcW w:w="27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33</w:t>
            </w:r>
          </w:p>
        </w:tc>
        <w:tc>
          <w:tcPr>
            <w:tcW w:w="827" w:type="pct"/>
            <w:vMerge/>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1986"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Harta e planit të zhvendosjes</w:t>
            </w:r>
          </w:p>
        </w:tc>
        <w:tc>
          <w:tcPr>
            <w:tcW w:w="46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530"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9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13"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r>
      <w:tr w:rsidR="00F020CC" w:rsidRPr="00B67DFC" w:rsidTr="00F020CC">
        <w:trPr>
          <w:jc w:val="center"/>
        </w:trPr>
        <w:tc>
          <w:tcPr>
            <w:tcW w:w="27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x</w:t>
            </w:r>
          </w:p>
        </w:tc>
        <w:tc>
          <w:tcPr>
            <w:tcW w:w="827" w:type="pct"/>
            <w:vMerge/>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1986"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r w:rsidRPr="00B67DFC">
              <w:rPr>
                <w:rFonts w:ascii="Garamond" w:hAnsi="Garamond"/>
                <w:lang w:val="sq-AL" w:bidi="en-US"/>
              </w:rPr>
              <w:t>Tjetër sipas rastit</w:t>
            </w:r>
          </w:p>
        </w:tc>
        <w:tc>
          <w:tcPr>
            <w:tcW w:w="467"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530"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98"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c>
          <w:tcPr>
            <w:tcW w:w="413" w:type="pct"/>
            <w:tcBorders>
              <w:top w:val="single" w:sz="4" w:space="0" w:color="000000"/>
              <w:left w:val="single" w:sz="4" w:space="0" w:color="000000"/>
              <w:bottom w:val="single" w:sz="4" w:space="0" w:color="000000"/>
              <w:right w:val="single" w:sz="4" w:space="0" w:color="000000"/>
            </w:tcBorders>
          </w:tcPr>
          <w:p w:rsidR="00F020CC" w:rsidRPr="00B67DFC" w:rsidRDefault="00F020CC" w:rsidP="00F020CC">
            <w:pPr>
              <w:widowControl w:val="0"/>
              <w:rPr>
                <w:rFonts w:ascii="Garamond" w:hAnsi="Garamond"/>
                <w:lang w:val="sq-AL" w:bidi="en-US"/>
              </w:rPr>
            </w:pPr>
          </w:p>
        </w:tc>
      </w:tr>
    </w:tbl>
    <w:p w:rsidR="00F020CC" w:rsidRPr="00B67DFC" w:rsidRDefault="00F020CC" w:rsidP="00F020CC">
      <w:pPr>
        <w:widowControl w:val="0"/>
        <w:outlineLvl w:val="0"/>
        <w:rPr>
          <w:rFonts w:ascii="Garamond" w:hAnsi="Garamond"/>
          <w:lang w:val="sq-AL" w:bidi="en-US"/>
        </w:rPr>
      </w:pPr>
    </w:p>
    <w:p w:rsidR="00F020CC" w:rsidRPr="00B67DFC" w:rsidRDefault="00F020CC" w:rsidP="00F020CC">
      <w:pPr>
        <w:widowControl w:val="0"/>
        <w:outlineLvl w:val="0"/>
        <w:rPr>
          <w:rFonts w:ascii="Garamond" w:hAnsi="Garamond"/>
          <w:b/>
          <w:caps/>
          <w:color w:val="000000"/>
          <w:lang w:val="en-GB" w:bidi="en-US"/>
        </w:rPr>
      </w:pPr>
    </w:p>
    <w:p w:rsidR="00F020CC" w:rsidRPr="00B67DFC" w:rsidRDefault="00F020CC" w:rsidP="00F020CC">
      <w:pPr>
        <w:widowControl w:val="0"/>
        <w:outlineLvl w:val="0"/>
        <w:rPr>
          <w:rFonts w:ascii="Garamond" w:hAnsi="Garamond"/>
          <w:b/>
          <w:caps/>
          <w:color w:val="000000"/>
          <w:lang w:val="en-GB" w:bidi="en-US"/>
        </w:rPr>
      </w:pPr>
    </w:p>
    <w:p w:rsidR="00B67DFC" w:rsidRPr="00B67DFC" w:rsidRDefault="00B67DFC" w:rsidP="00F020CC">
      <w:pPr>
        <w:widowControl w:val="0"/>
        <w:outlineLvl w:val="0"/>
        <w:rPr>
          <w:rFonts w:ascii="Garamond" w:hAnsi="Garamond"/>
          <w:b/>
          <w:caps/>
          <w:color w:val="000000"/>
          <w:lang w:val="en-GB" w:bidi="en-US"/>
        </w:rPr>
      </w:pPr>
    </w:p>
    <w:p w:rsidR="00F020CC" w:rsidRPr="00B67DFC" w:rsidRDefault="00B67DFC" w:rsidP="00B67DFC">
      <w:pPr>
        <w:widowControl w:val="0"/>
        <w:jc w:val="right"/>
        <w:outlineLvl w:val="0"/>
        <w:rPr>
          <w:rFonts w:ascii="Garamond" w:hAnsi="Garamond"/>
          <w:b/>
          <w:caps/>
          <w:color w:val="000000"/>
          <w:lang w:val="en-GB" w:bidi="en-US"/>
        </w:rPr>
      </w:pPr>
      <w:r w:rsidRPr="00B67DFC">
        <w:rPr>
          <w:rFonts w:ascii="Garamond" w:hAnsi="Garamond"/>
          <w:b/>
          <w:caps/>
          <w:color w:val="000000"/>
          <w:lang w:val="en-GB" w:bidi="en-US"/>
        </w:rPr>
        <w:t>(Shtojca nr. 2)</w:t>
      </w:r>
    </w:p>
    <w:p w:rsidR="00B67DFC" w:rsidRPr="00B67DFC" w:rsidRDefault="00B67DFC" w:rsidP="00B67DFC">
      <w:pPr>
        <w:widowControl w:val="0"/>
        <w:jc w:val="center"/>
        <w:outlineLvl w:val="0"/>
        <w:rPr>
          <w:rFonts w:ascii="Garamond" w:hAnsi="Garamond"/>
          <w:caps/>
          <w:color w:val="000000"/>
          <w:lang w:val="en-GB" w:bidi="en-US"/>
        </w:rPr>
      </w:pPr>
      <w:r w:rsidRPr="00B67DFC">
        <w:rPr>
          <w:rFonts w:ascii="Garamond" w:hAnsi="Garamond"/>
          <w:color w:val="000000"/>
          <w:lang w:val="en-GB" w:bidi="en-US"/>
        </w:rPr>
        <w:t>(</w:t>
      </w:r>
      <w:proofErr w:type="spellStart"/>
      <w:r w:rsidRPr="00B67DFC">
        <w:rPr>
          <w:rFonts w:ascii="Garamond" w:hAnsi="Garamond"/>
          <w:color w:val="000000"/>
          <w:lang w:val="en-GB" w:bidi="en-US"/>
        </w:rPr>
        <w:t>Shtuar</w:t>
      </w:r>
      <w:proofErr w:type="spellEnd"/>
      <w:r w:rsidRPr="00B67DFC">
        <w:rPr>
          <w:rFonts w:ascii="Garamond" w:hAnsi="Garamond"/>
          <w:color w:val="000000"/>
          <w:lang w:val="en-GB" w:bidi="en-US"/>
        </w:rPr>
        <w:t xml:space="preserve"> me VKM nr. 312, </w:t>
      </w:r>
      <w:proofErr w:type="spellStart"/>
      <w:r w:rsidRPr="00B67DFC">
        <w:rPr>
          <w:rFonts w:ascii="Garamond" w:hAnsi="Garamond"/>
          <w:color w:val="000000"/>
          <w:lang w:val="en-GB" w:bidi="en-US"/>
        </w:rPr>
        <w:t>datë</w:t>
      </w:r>
      <w:proofErr w:type="spellEnd"/>
      <w:r w:rsidRPr="00B67DFC">
        <w:rPr>
          <w:rFonts w:ascii="Garamond" w:hAnsi="Garamond"/>
          <w:color w:val="000000"/>
          <w:lang w:val="en-GB" w:bidi="en-US"/>
        </w:rPr>
        <w:t xml:space="preserve"> 13.3.2013)</w:t>
      </w:r>
    </w:p>
    <w:p w:rsidR="00F020CC" w:rsidRPr="00B67DFC" w:rsidRDefault="0050532B" w:rsidP="00F020CC">
      <w:pPr>
        <w:rPr>
          <w:rFonts w:ascii="Garamond" w:hAnsi="Garamond"/>
          <w:lang w:val="sq-AL"/>
        </w:rPr>
      </w:pPr>
      <w:r w:rsidRPr="00B67DFC">
        <w:rPr>
          <w:rFonts w:ascii="Garamond" w:hAnsi="Garamond"/>
          <w:noProof/>
          <w:lang w:val="en-GB" w:eastAsia="en-GB"/>
        </w:rPr>
        <w:lastRenderedPageBreak/>
        <w:drawing>
          <wp:inline distT="0" distB="0" distL="0" distR="0" wp14:anchorId="659E76D3" wp14:editId="0B4179F0">
            <wp:extent cx="5486400" cy="7278226"/>
            <wp:effectExtent l="0" t="0" r="0" b="0"/>
            <wp:docPr id="21" name="Picture 21" descr="Shtojca 3 Lista e perdorimit te tokes (VKM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htojca 3 Lista e perdorimit te tokes (VKM 48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86400" cy="7278226"/>
                    </a:xfrm>
                    <a:prstGeom prst="rect">
                      <a:avLst/>
                    </a:prstGeom>
                    <a:noFill/>
                    <a:ln>
                      <a:noFill/>
                    </a:ln>
                  </pic:spPr>
                </pic:pic>
              </a:graphicData>
            </a:graphic>
          </wp:inline>
        </w:drawing>
      </w:r>
    </w:p>
    <w:p w:rsidR="0050532B" w:rsidRPr="00B67DFC" w:rsidRDefault="00665A38" w:rsidP="00F020CC">
      <w:pPr>
        <w:rPr>
          <w:rFonts w:ascii="Garamond" w:hAnsi="Garamond"/>
          <w:lang w:val="sq-AL"/>
        </w:rPr>
      </w:pPr>
      <w:r w:rsidRPr="00B67DFC">
        <w:rPr>
          <w:rFonts w:ascii="Garamond" w:hAnsi="Garamond"/>
          <w:noProof/>
          <w:lang w:val="en-GB" w:eastAsia="en-GB"/>
        </w:rPr>
        <w:lastRenderedPageBreak/>
        <w:drawing>
          <wp:inline distT="0" distB="0" distL="0" distR="0" wp14:anchorId="70BFAF61" wp14:editId="04B817CD">
            <wp:extent cx="5486400" cy="7269693"/>
            <wp:effectExtent l="0" t="0" r="0" b="7620"/>
            <wp:docPr id="22" name="Picture 22" descr="Shtojca 3 Lista e perdorimit te tokes (VKM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htojca 3 Lista e perdorimit te tokes (VKM 481)"/>
                    <pic:cNvPicPr>
                      <a:picLocks noChangeAspect="1" noChangeArrowheads="1"/>
                    </pic:cNvPicPr>
                  </pic:nvPicPr>
                  <pic:blipFill>
                    <a:blip r:embed="rId8" cstate="print">
                      <a:extLst>
                        <a:ext uri="{28A0092B-C50C-407E-A947-70E740481C1C}">
                          <a14:useLocalDpi xmlns:a14="http://schemas.microsoft.com/office/drawing/2010/main" val="0"/>
                        </a:ext>
                      </a:extLst>
                    </a:blip>
                    <a:srcRect l="6230" t="3157" r="7477" b="12123"/>
                    <a:stretch>
                      <a:fillRect/>
                    </a:stretch>
                  </pic:blipFill>
                  <pic:spPr bwMode="auto">
                    <a:xfrm>
                      <a:off x="0" y="0"/>
                      <a:ext cx="5486400" cy="7269693"/>
                    </a:xfrm>
                    <a:prstGeom prst="rect">
                      <a:avLst/>
                    </a:prstGeom>
                    <a:noFill/>
                    <a:ln>
                      <a:noFill/>
                    </a:ln>
                  </pic:spPr>
                </pic:pic>
              </a:graphicData>
            </a:graphic>
          </wp:inline>
        </w:drawing>
      </w:r>
    </w:p>
    <w:p w:rsidR="00665A38" w:rsidRPr="00B67DFC" w:rsidRDefault="00665A38" w:rsidP="00F020CC">
      <w:pPr>
        <w:rPr>
          <w:rFonts w:ascii="Garamond" w:hAnsi="Garamond"/>
          <w:lang w:val="sq-AL"/>
        </w:rPr>
      </w:pPr>
      <w:r w:rsidRPr="00B67DFC">
        <w:rPr>
          <w:rFonts w:ascii="Garamond" w:hAnsi="Garamond"/>
          <w:noProof/>
          <w:lang w:val="en-GB" w:eastAsia="en-GB"/>
        </w:rPr>
        <w:lastRenderedPageBreak/>
        <w:drawing>
          <wp:inline distT="0" distB="0" distL="0" distR="0" wp14:anchorId="28580EB2" wp14:editId="55388413">
            <wp:extent cx="5486400" cy="7252628"/>
            <wp:effectExtent l="0" t="0" r="0" b="5715"/>
            <wp:docPr id="23" name="Picture 23" descr="Shtojca 3 Lista e perdorimit te tokes (VKM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htojca 3 Lista e perdorimit te tokes (VKM 481)"/>
                    <pic:cNvPicPr>
                      <a:picLocks noChangeAspect="1" noChangeArrowheads="1"/>
                    </pic:cNvPicPr>
                  </pic:nvPicPr>
                  <pic:blipFill>
                    <a:blip r:embed="rId9" cstate="print">
                      <a:extLst>
                        <a:ext uri="{28A0092B-C50C-407E-A947-70E740481C1C}">
                          <a14:useLocalDpi xmlns:a14="http://schemas.microsoft.com/office/drawing/2010/main" val="0"/>
                        </a:ext>
                      </a:extLst>
                    </a:blip>
                    <a:srcRect l="6334" t="3084" r="7269" b="10500"/>
                    <a:stretch>
                      <a:fillRect/>
                    </a:stretch>
                  </pic:blipFill>
                  <pic:spPr bwMode="auto">
                    <a:xfrm>
                      <a:off x="0" y="0"/>
                      <a:ext cx="5486400" cy="7252628"/>
                    </a:xfrm>
                    <a:prstGeom prst="rect">
                      <a:avLst/>
                    </a:prstGeom>
                    <a:noFill/>
                    <a:ln>
                      <a:noFill/>
                    </a:ln>
                  </pic:spPr>
                </pic:pic>
              </a:graphicData>
            </a:graphic>
          </wp:inline>
        </w:drawing>
      </w:r>
    </w:p>
    <w:p w:rsidR="00665A38" w:rsidRPr="00B67DFC" w:rsidRDefault="00665A38" w:rsidP="00F020CC">
      <w:pPr>
        <w:rPr>
          <w:rFonts w:ascii="Garamond" w:hAnsi="Garamond"/>
          <w:lang w:val="sq-AL"/>
        </w:rPr>
      </w:pPr>
      <w:r w:rsidRPr="00B67DFC">
        <w:rPr>
          <w:rFonts w:ascii="Garamond" w:hAnsi="Garamond"/>
          <w:noProof/>
          <w:lang w:val="en-GB" w:eastAsia="en-GB"/>
        </w:rPr>
        <w:lastRenderedPageBreak/>
        <w:drawing>
          <wp:anchor distT="0" distB="0" distL="114300" distR="114300" simplePos="0" relativeHeight="251661824" behindDoc="0" locked="0" layoutInCell="1" allowOverlap="1" wp14:anchorId="326ECAD3" wp14:editId="5F67BEC4">
            <wp:simplePos x="0" y="0"/>
            <wp:positionH relativeFrom="column">
              <wp:posOffset>0</wp:posOffset>
            </wp:positionH>
            <wp:positionV relativeFrom="paragraph">
              <wp:posOffset>171450</wp:posOffset>
            </wp:positionV>
            <wp:extent cx="6122670" cy="1217295"/>
            <wp:effectExtent l="0" t="0" r="0" b="1905"/>
            <wp:wrapSquare wrapText="bothSides"/>
            <wp:docPr id="143" name="Picture 143" descr="Shtojca 3 Lista e perdorimit te tokes (VKM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Shtojca 3 Lista e perdorimit te tokes (VKM 481)"/>
                    <pic:cNvPicPr>
                      <a:picLocks noChangeAspect="1" noChangeArrowheads="1"/>
                    </pic:cNvPicPr>
                  </pic:nvPicPr>
                  <pic:blipFill>
                    <a:blip r:embed="rId10" cstate="print">
                      <a:extLst>
                        <a:ext uri="{28A0092B-C50C-407E-A947-70E740481C1C}">
                          <a14:useLocalDpi xmlns:a14="http://schemas.microsoft.com/office/drawing/2010/main" val="0"/>
                        </a:ext>
                      </a:extLst>
                    </a:blip>
                    <a:srcRect l="6241" t="2997" r="7147" b="82317"/>
                    <a:stretch>
                      <a:fillRect/>
                    </a:stretch>
                  </pic:blipFill>
                  <pic:spPr bwMode="auto">
                    <a:xfrm>
                      <a:off x="0" y="0"/>
                      <a:ext cx="6122670" cy="121729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665A38" w:rsidRPr="00B67DF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ヒラギノ角ゴ Pro W3">
    <w:altName w:val="MS Mincho"/>
    <w:panose1 w:val="00000000000000000000"/>
    <w:charset w:val="80"/>
    <w:family w:val="auto"/>
    <w:notTrueType/>
    <w:pitch w:val="variable"/>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Lucida Grande">
    <w:charset w:val="00"/>
    <w:family w:val="auto"/>
    <w:pitch w:val="variable"/>
    <w:sig w:usb0="00000000" w:usb1="5000A1FF" w:usb2="00000000" w:usb3="00000000" w:csb0="000001B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pitch w:val="variable"/>
    <w:sig w:usb0="E0002AFF" w:usb1="C0007843" w:usb2="00000009" w:usb3="00000000" w:csb0="000001FF" w:csb1="00000000"/>
  </w:font>
  <w:font w:name="Life L2">
    <w:altName w:val="Times New Roman"/>
    <w:charset w:val="EE"/>
    <w:family w:val="roman"/>
    <w:pitch w:val="variable"/>
    <w:sig w:usb0="00000005" w:usb1="00000000" w:usb2="00000000" w:usb3="00000000" w:csb0="00000002"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34.5pt;height:21pt;visibility:visible" o:bullet="t">
        <v:imagedata r:id="rId1" o:title=""/>
      </v:shape>
    </w:pict>
  </w:numPicBullet>
  <w:abstractNum w:abstractNumId="0" w15:restartNumberingAfterBreak="0">
    <w:nsid w:val="FFFFFF7C"/>
    <w:multiLevelType w:val="singleLevel"/>
    <w:tmpl w:val="C176723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672F9F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540047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AE254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1BC908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0C88FB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5D451A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C82E33C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38FC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8"/>
    <w:multiLevelType w:val="multilevel"/>
    <w:tmpl w:val="894EE87A"/>
    <w:lvl w:ilvl="0">
      <w:start w:val="1"/>
      <w:numFmt w:val="decimal"/>
      <w:isLgl/>
      <w:lvlText w:val="%1."/>
      <w:lvlJc w:val="left"/>
      <w:pPr>
        <w:tabs>
          <w:tab w:val="num" w:pos="360"/>
        </w:tabs>
        <w:ind w:left="360" w:firstLine="360"/>
      </w:pPr>
      <w:rPr>
        <w:rFonts w:cs="Times New Roman" w:hint="default"/>
        <w:color w:val="000000"/>
        <w:position w:val="0"/>
      </w:rPr>
    </w:lvl>
    <w:lvl w:ilvl="1">
      <w:start w:val="1"/>
      <w:numFmt w:val="lowerLetter"/>
      <w:lvlText w:val="%2."/>
      <w:lvlJc w:val="left"/>
      <w:pPr>
        <w:tabs>
          <w:tab w:val="num" w:pos="360"/>
        </w:tabs>
        <w:ind w:left="360" w:firstLine="1080"/>
      </w:pPr>
      <w:rPr>
        <w:rFonts w:cs="Times New Roman" w:hint="default"/>
        <w:color w:val="000000"/>
        <w:position w:val="0"/>
      </w:rPr>
    </w:lvl>
    <w:lvl w:ilvl="2">
      <w:start w:val="1"/>
      <w:numFmt w:val="lowerRoman"/>
      <w:lvlText w:val="%3."/>
      <w:lvlJc w:val="left"/>
      <w:pPr>
        <w:tabs>
          <w:tab w:val="num" w:pos="340"/>
        </w:tabs>
        <w:ind w:left="340" w:firstLine="1820"/>
      </w:pPr>
      <w:rPr>
        <w:rFonts w:cs="Times New Roman" w:hint="default"/>
        <w:color w:val="000000"/>
        <w:position w:val="0"/>
      </w:rPr>
    </w:lvl>
    <w:lvl w:ilvl="3">
      <w:start w:val="1"/>
      <w:numFmt w:val="decimal"/>
      <w:isLgl/>
      <w:lvlText w:val="%4."/>
      <w:lvlJc w:val="left"/>
      <w:pPr>
        <w:tabs>
          <w:tab w:val="num" w:pos="360"/>
        </w:tabs>
        <w:ind w:left="360" w:firstLine="2520"/>
      </w:pPr>
      <w:rPr>
        <w:rFonts w:cs="Times New Roman" w:hint="default"/>
        <w:color w:val="000000"/>
        <w:position w:val="0"/>
      </w:rPr>
    </w:lvl>
    <w:lvl w:ilvl="4">
      <w:start w:val="1"/>
      <w:numFmt w:val="lowerLetter"/>
      <w:lvlText w:val="%5."/>
      <w:lvlJc w:val="left"/>
      <w:pPr>
        <w:tabs>
          <w:tab w:val="num" w:pos="360"/>
        </w:tabs>
        <w:ind w:left="360" w:firstLine="3240"/>
      </w:pPr>
      <w:rPr>
        <w:rFonts w:cs="Times New Roman" w:hint="default"/>
        <w:color w:val="000000"/>
        <w:position w:val="0"/>
      </w:rPr>
    </w:lvl>
    <w:lvl w:ilvl="5">
      <w:start w:val="1"/>
      <w:numFmt w:val="lowerRoman"/>
      <w:lvlText w:val="%6."/>
      <w:lvlJc w:val="left"/>
      <w:pPr>
        <w:tabs>
          <w:tab w:val="num" w:pos="340"/>
        </w:tabs>
        <w:ind w:left="340" w:firstLine="3980"/>
      </w:pPr>
      <w:rPr>
        <w:rFonts w:cs="Times New Roman" w:hint="default"/>
        <w:color w:val="000000"/>
        <w:position w:val="0"/>
      </w:rPr>
    </w:lvl>
    <w:lvl w:ilvl="6">
      <w:start w:val="1"/>
      <w:numFmt w:val="decimal"/>
      <w:isLgl/>
      <w:lvlText w:val="%7."/>
      <w:lvlJc w:val="left"/>
      <w:pPr>
        <w:tabs>
          <w:tab w:val="num" w:pos="360"/>
        </w:tabs>
        <w:ind w:left="360" w:firstLine="4680"/>
      </w:pPr>
      <w:rPr>
        <w:rFonts w:cs="Times New Roman" w:hint="default"/>
        <w:color w:val="000000"/>
        <w:position w:val="0"/>
      </w:rPr>
    </w:lvl>
    <w:lvl w:ilvl="7">
      <w:start w:val="1"/>
      <w:numFmt w:val="lowerLetter"/>
      <w:lvlText w:val="%8."/>
      <w:lvlJc w:val="left"/>
      <w:pPr>
        <w:tabs>
          <w:tab w:val="num" w:pos="360"/>
        </w:tabs>
        <w:ind w:left="360" w:firstLine="5400"/>
      </w:pPr>
      <w:rPr>
        <w:rFonts w:cs="Times New Roman" w:hint="default"/>
        <w:color w:val="000000"/>
        <w:position w:val="0"/>
      </w:rPr>
    </w:lvl>
    <w:lvl w:ilvl="8">
      <w:start w:val="1"/>
      <w:numFmt w:val="lowerRoman"/>
      <w:lvlText w:val="%9."/>
      <w:lvlJc w:val="left"/>
      <w:pPr>
        <w:tabs>
          <w:tab w:val="num" w:pos="340"/>
        </w:tabs>
        <w:ind w:left="340" w:firstLine="6140"/>
      </w:pPr>
      <w:rPr>
        <w:rFonts w:cs="Times New Roman" w:hint="default"/>
        <w:color w:val="000000"/>
        <w:position w:val="0"/>
      </w:rPr>
    </w:lvl>
  </w:abstractNum>
  <w:abstractNum w:abstractNumId="11" w15:restartNumberingAfterBreak="0">
    <w:nsid w:val="0000000D"/>
    <w:multiLevelType w:val="multilevel"/>
    <w:tmpl w:val="894EE87F"/>
    <w:styleLink w:val="List19"/>
    <w:lvl w:ilvl="0">
      <w:start w:val="1"/>
      <w:numFmt w:val="lowerLetter"/>
      <w:lvlText w:val="%1)"/>
      <w:lvlJc w:val="left"/>
      <w:pPr>
        <w:tabs>
          <w:tab w:val="num" w:pos="360"/>
        </w:tabs>
        <w:ind w:left="360"/>
      </w:pPr>
      <w:rPr>
        <w:rFonts w:ascii="Times New Roman" w:eastAsia="ヒラギノ角ゴ Pro W3" w:hAnsi="Times New Roman" w:cs="Times New Roman" w:hint="default"/>
        <w:color w:val="000000"/>
        <w:position w:val="0"/>
      </w:rPr>
    </w:lvl>
    <w:lvl w:ilvl="1">
      <w:start w:val="1"/>
      <w:numFmt w:val="lowerLetter"/>
      <w:lvlText w:val="%2."/>
      <w:lvlJc w:val="left"/>
      <w:pPr>
        <w:tabs>
          <w:tab w:val="num" w:pos="360"/>
        </w:tabs>
        <w:ind w:left="360" w:firstLine="1440"/>
      </w:pPr>
      <w:rPr>
        <w:rFonts w:cs="Times New Roman" w:hint="default"/>
        <w:color w:val="000000"/>
        <w:position w:val="0"/>
      </w:rPr>
    </w:lvl>
    <w:lvl w:ilvl="2">
      <w:start w:val="1"/>
      <w:numFmt w:val="lowerRoman"/>
      <w:lvlText w:val="%3."/>
      <w:lvlJc w:val="left"/>
      <w:pPr>
        <w:tabs>
          <w:tab w:val="num" w:pos="340"/>
        </w:tabs>
        <w:ind w:left="340" w:firstLine="2180"/>
      </w:pPr>
      <w:rPr>
        <w:rFonts w:cs="Times New Roman" w:hint="default"/>
        <w:color w:val="000000"/>
        <w:position w:val="0"/>
      </w:rPr>
    </w:lvl>
    <w:lvl w:ilvl="3">
      <w:start w:val="1"/>
      <w:numFmt w:val="decimal"/>
      <w:isLgl/>
      <w:lvlText w:val="%4."/>
      <w:lvlJc w:val="left"/>
      <w:pPr>
        <w:tabs>
          <w:tab w:val="num" w:pos="360"/>
        </w:tabs>
        <w:ind w:left="360" w:firstLine="2880"/>
      </w:pPr>
      <w:rPr>
        <w:rFonts w:cs="Times New Roman" w:hint="default"/>
        <w:color w:val="000000"/>
        <w:position w:val="0"/>
      </w:rPr>
    </w:lvl>
    <w:lvl w:ilvl="4">
      <w:start w:val="1"/>
      <w:numFmt w:val="lowerLetter"/>
      <w:lvlText w:val="%5."/>
      <w:lvlJc w:val="left"/>
      <w:pPr>
        <w:tabs>
          <w:tab w:val="num" w:pos="360"/>
        </w:tabs>
        <w:ind w:left="360" w:firstLine="3600"/>
      </w:pPr>
      <w:rPr>
        <w:rFonts w:cs="Times New Roman" w:hint="default"/>
        <w:color w:val="000000"/>
        <w:position w:val="0"/>
      </w:rPr>
    </w:lvl>
    <w:lvl w:ilvl="5">
      <w:start w:val="1"/>
      <w:numFmt w:val="lowerRoman"/>
      <w:lvlText w:val="%6."/>
      <w:lvlJc w:val="left"/>
      <w:pPr>
        <w:tabs>
          <w:tab w:val="num" w:pos="340"/>
        </w:tabs>
        <w:ind w:left="340" w:firstLine="4340"/>
      </w:pPr>
      <w:rPr>
        <w:rFonts w:cs="Times New Roman" w:hint="default"/>
        <w:color w:val="000000"/>
        <w:position w:val="0"/>
      </w:rPr>
    </w:lvl>
    <w:lvl w:ilvl="6">
      <w:start w:val="1"/>
      <w:numFmt w:val="decimal"/>
      <w:isLgl/>
      <w:lvlText w:val="%7."/>
      <w:lvlJc w:val="left"/>
      <w:pPr>
        <w:tabs>
          <w:tab w:val="num" w:pos="360"/>
        </w:tabs>
        <w:ind w:left="360" w:firstLine="5040"/>
      </w:pPr>
      <w:rPr>
        <w:rFonts w:cs="Times New Roman" w:hint="default"/>
        <w:color w:val="000000"/>
        <w:position w:val="0"/>
      </w:rPr>
    </w:lvl>
    <w:lvl w:ilvl="7">
      <w:start w:val="1"/>
      <w:numFmt w:val="lowerLetter"/>
      <w:lvlText w:val="%8."/>
      <w:lvlJc w:val="left"/>
      <w:pPr>
        <w:tabs>
          <w:tab w:val="num" w:pos="360"/>
        </w:tabs>
        <w:ind w:left="360" w:firstLine="5760"/>
      </w:pPr>
      <w:rPr>
        <w:rFonts w:cs="Times New Roman" w:hint="default"/>
        <w:color w:val="000000"/>
        <w:position w:val="0"/>
      </w:rPr>
    </w:lvl>
    <w:lvl w:ilvl="8">
      <w:start w:val="1"/>
      <w:numFmt w:val="lowerRoman"/>
      <w:lvlText w:val="%9."/>
      <w:lvlJc w:val="left"/>
      <w:pPr>
        <w:tabs>
          <w:tab w:val="num" w:pos="340"/>
        </w:tabs>
        <w:ind w:left="340" w:firstLine="6500"/>
      </w:pPr>
      <w:rPr>
        <w:rFonts w:cs="Times New Roman" w:hint="default"/>
        <w:color w:val="000000"/>
        <w:position w:val="0"/>
      </w:rPr>
    </w:lvl>
  </w:abstractNum>
  <w:abstractNum w:abstractNumId="12" w15:restartNumberingAfterBreak="0">
    <w:nsid w:val="0000000F"/>
    <w:multiLevelType w:val="multilevel"/>
    <w:tmpl w:val="894EE881"/>
    <w:styleLink w:val="List21"/>
    <w:lvl w:ilvl="0">
      <w:start w:val="1"/>
      <w:numFmt w:val="decimal"/>
      <w:isLgl/>
      <w:lvlText w:val="%1."/>
      <w:lvlJc w:val="left"/>
      <w:pPr>
        <w:tabs>
          <w:tab w:val="num" w:pos="360"/>
        </w:tabs>
        <w:ind w:left="360"/>
      </w:pPr>
      <w:rPr>
        <w:rFonts w:ascii="Times New Roman" w:eastAsia="ヒラギノ角ゴ Pro W3" w:hAnsi="Times New Roman" w:cs="Times New Roman" w:hint="default"/>
        <w:b w:val="0"/>
        <w:color w:val="000000"/>
        <w:position w:val="0"/>
      </w:rPr>
    </w:lvl>
    <w:lvl w:ilvl="1">
      <w:start w:val="1"/>
      <w:numFmt w:val="lowerLetter"/>
      <w:lvlText w:val="%2."/>
      <w:lvlJc w:val="left"/>
      <w:pPr>
        <w:tabs>
          <w:tab w:val="num" w:pos="360"/>
        </w:tabs>
        <w:ind w:left="360" w:firstLine="720"/>
      </w:pPr>
      <w:rPr>
        <w:rFonts w:cs="Times New Roman" w:hint="default"/>
        <w:color w:val="000000"/>
        <w:position w:val="0"/>
      </w:rPr>
    </w:lvl>
    <w:lvl w:ilvl="2">
      <w:start w:val="1"/>
      <w:numFmt w:val="lowerRoman"/>
      <w:lvlText w:val="%3."/>
      <w:lvlJc w:val="left"/>
      <w:pPr>
        <w:tabs>
          <w:tab w:val="num" w:pos="340"/>
        </w:tabs>
        <w:ind w:left="340" w:firstLine="1460"/>
      </w:pPr>
      <w:rPr>
        <w:rFonts w:cs="Times New Roman" w:hint="default"/>
        <w:color w:val="000000"/>
        <w:position w:val="0"/>
      </w:rPr>
    </w:lvl>
    <w:lvl w:ilvl="3">
      <w:start w:val="1"/>
      <w:numFmt w:val="decimal"/>
      <w:isLgl/>
      <w:lvlText w:val="%4."/>
      <w:lvlJc w:val="left"/>
      <w:pPr>
        <w:tabs>
          <w:tab w:val="num" w:pos="360"/>
        </w:tabs>
        <w:ind w:left="360" w:firstLine="2160"/>
      </w:pPr>
      <w:rPr>
        <w:rFonts w:cs="Times New Roman" w:hint="default"/>
        <w:color w:val="000000"/>
        <w:position w:val="0"/>
      </w:rPr>
    </w:lvl>
    <w:lvl w:ilvl="4">
      <w:start w:val="1"/>
      <w:numFmt w:val="lowerLetter"/>
      <w:lvlText w:val="%5."/>
      <w:lvlJc w:val="left"/>
      <w:pPr>
        <w:tabs>
          <w:tab w:val="num" w:pos="360"/>
        </w:tabs>
        <w:ind w:left="360" w:firstLine="2880"/>
      </w:pPr>
      <w:rPr>
        <w:rFonts w:cs="Times New Roman" w:hint="default"/>
        <w:color w:val="000000"/>
        <w:position w:val="0"/>
      </w:rPr>
    </w:lvl>
    <w:lvl w:ilvl="5">
      <w:start w:val="1"/>
      <w:numFmt w:val="lowerRoman"/>
      <w:lvlText w:val="%6."/>
      <w:lvlJc w:val="left"/>
      <w:pPr>
        <w:tabs>
          <w:tab w:val="num" w:pos="340"/>
        </w:tabs>
        <w:ind w:left="340" w:firstLine="3620"/>
      </w:pPr>
      <w:rPr>
        <w:rFonts w:cs="Times New Roman" w:hint="default"/>
        <w:color w:val="000000"/>
        <w:position w:val="0"/>
      </w:rPr>
    </w:lvl>
    <w:lvl w:ilvl="6">
      <w:start w:val="1"/>
      <w:numFmt w:val="decimal"/>
      <w:isLgl/>
      <w:lvlText w:val="%7."/>
      <w:lvlJc w:val="left"/>
      <w:pPr>
        <w:tabs>
          <w:tab w:val="num" w:pos="360"/>
        </w:tabs>
        <w:ind w:left="360" w:firstLine="4320"/>
      </w:pPr>
      <w:rPr>
        <w:rFonts w:cs="Times New Roman" w:hint="default"/>
        <w:color w:val="000000"/>
        <w:position w:val="0"/>
      </w:rPr>
    </w:lvl>
    <w:lvl w:ilvl="7">
      <w:start w:val="1"/>
      <w:numFmt w:val="lowerLetter"/>
      <w:lvlText w:val="%8."/>
      <w:lvlJc w:val="left"/>
      <w:pPr>
        <w:tabs>
          <w:tab w:val="num" w:pos="360"/>
        </w:tabs>
        <w:ind w:left="360" w:firstLine="5040"/>
      </w:pPr>
      <w:rPr>
        <w:rFonts w:cs="Times New Roman" w:hint="default"/>
        <w:color w:val="000000"/>
        <w:position w:val="0"/>
      </w:rPr>
    </w:lvl>
    <w:lvl w:ilvl="8">
      <w:start w:val="1"/>
      <w:numFmt w:val="lowerRoman"/>
      <w:lvlText w:val="%9."/>
      <w:lvlJc w:val="left"/>
      <w:pPr>
        <w:tabs>
          <w:tab w:val="num" w:pos="340"/>
        </w:tabs>
        <w:ind w:left="340" w:firstLine="5780"/>
      </w:pPr>
      <w:rPr>
        <w:rFonts w:cs="Times New Roman" w:hint="default"/>
        <w:color w:val="000000"/>
        <w:position w:val="0"/>
      </w:rPr>
    </w:lvl>
  </w:abstractNum>
  <w:abstractNum w:abstractNumId="13" w15:restartNumberingAfterBreak="0">
    <w:nsid w:val="00000011"/>
    <w:multiLevelType w:val="multilevel"/>
    <w:tmpl w:val="894EE883"/>
    <w:styleLink w:val="List23"/>
    <w:lvl w:ilvl="0">
      <w:start w:val="1"/>
      <w:numFmt w:val="decimal"/>
      <w:isLgl/>
      <w:lvlText w:val="%1."/>
      <w:lvlJc w:val="left"/>
      <w:pPr>
        <w:tabs>
          <w:tab w:val="num" w:pos="360"/>
        </w:tabs>
        <w:ind w:left="360"/>
      </w:pPr>
      <w:rPr>
        <w:rFonts w:ascii="Times New Roman" w:eastAsia="ヒラギノ角ゴ Pro W3" w:hAnsi="Times New Roman" w:cs="Times New Roman" w:hint="default"/>
        <w:color w:val="000000"/>
        <w:position w:val="0"/>
      </w:rPr>
    </w:lvl>
    <w:lvl w:ilvl="1">
      <w:start w:val="1"/>
      <w:numFmt w:val="lowerLetter"/>
      <w:lvlText w:val="%2."/>
      <w:lvlJc w:val="left"/>
      <w:pPr>
        <w:tabs>
          <w:tab w:val="num" w:pos="360"/>
        </w:tabs>
        <w:ind w:left="360" w:firstLine="360"/>
      </w:pPr>
      <w:rPr>
        <w:rFonts w:ascii="Times New Roman" w:eastAsia="ヒラギノ角ゴ Pro W3" w:hAnsi="Times New Roman" w:cs="Times New Roman" w:hint="default"/>
        <w:color w:val="000000"/>
        <w:position w:val="0"/>
      </w:rPr>
    </w:lvl>
    <w:lvl w:ilvl="2">
      <w:start w:val="1"/>
      <w:numFmt w:val="lowerRoman"/>
      <w:lvlText w:val="%3."/>
      <w:lvlJc w:val="left"/>
      <w:pPr>
        <w:tabs>
          <w:tab w:val="num" w:pos="340"/>
        </w:tabs>
        <w:ind w:left="340" w:firstLine="1820"/>
      </w:pPr>
      <w:rPr>
        <w:rFonts w:cs="Times New Roman" w:hint="default"/>
        <w:color w:val="000000"/>
        <w:position w:val="0"/>
      </w:rPr>
    </w:lvl>
    <w:lvl w:ilvl="3">
      <w:start w:val="1"/>
      <w:numFmt w:val="decimal"/>
      <w:isLgl/>
      <w:lvlText w:val="%4."/>
      <w:lvlJc w:val="left"/>
      <w:pPr>
        <w:tabs>
          <w:tab w:val="num" w:pos="360"/>
        </w:tabs>
        <w:ind w:left="360" w:firstLine="2520"/>
      </w:pPr>
      <w:rPr>
        <w:rFonts w:cs="Times New Roman" w:hint="default"/>
        <w:color w:val="000000"/>
        <w:position w:val="0"/>
      </w:rPr>
    </w:lvl>
    <w:lvl w:ilvl="4">
      <w:start w:val="1"/>
      <w:numFmt w:val="lowerLetter"/>
      <w:lvlText w:val="%5."/>
      <w:lvlJc w:val="left"/>
      <w:pPr>
        <w:tabs>
          <w:tab w:val="num" w:pos="360"/>
        </w:tabs>
        <w:ind w:left="360" w:firstLine="3240"/>
      </w:pPr>
      <w:rPr>
        <w:rFonts w:cs="Times New Roman" w:hint="default"/>
        <w:color w:val="000000"/>
        <w:position w:val="0"/>
      </w:rPr>
    </w:lvl>
    <w:lvl w:ilvl="5">
      <w:start w:val="1"/>
      <w:numFmt w:val="lowerRoman"/>
      <w:lvlText w:val="%6."/>
      <w:lvlJc w:val="left"/>
      <w:pPr>
        <w:tabs>
          <w:tab w:val="num" w:pos="340"/>
        </w:tabs>
        <w:ind w:left="340" w:firstLine="3980"/>
      </w:pPr>
      <w:rPr>
        <w:rFonts w:cs="Times New Roman" w:hint="default"/>
        <w:color w:val="000000"/>
        <w:position w:val="0"/>
      </w:rPr>
    </w:lvl>
    <w:lvl w:ilvl="6">
      <w:start w:val="1"/>
      <w:numFmt w:val="decimal"/>
      <w:isLgl/>
      <w:lvlText w:val="%7."/>
      <w:lvlJc w:val="left"/>
      <w:pPr>
        <w:tabs>
          <w:tab w:val="num" w:pos="360"/>
        </w:tabs>
        <w:ind w:left="360" w:firstLine="4680"/>
      </w:pPr>
      <w:rPr>
        <w:rFonts w:cs="Times New Roman" w:hint="default"/>
        <w:color w:val="000000"/>
        <w:position w:val="0"/>
      </w:rPr>
    </w:lvl>
    <w:lvl w:ilvl="7">
      <w:start w:val="1"/>
      <w:numFmt w:val="lowerLetter"/>
      <w:lvlText w:val="%8."/>
      <w:lvlJc w:val="left"/>
      <w:pPr>
        <w:tabs>
          <w:tab w:val="num" w:pos="360"/>
        </w:tabs>
        <w:ind w:left="360" w:firstLine="5400"/>
      </w:pPr>
      <w:rPr>
        <w:rFonts w:cs="Times New Roman" w:hint="default"/>
        <w:color w:val="000000"/>
        <w:position w:val="0"/>
      </w:rPr>
    </w:lvl>
    <w:lvl w:ilvl="8">
      <w:start w:val="1"/>
      <w:numFmt w:val="lowerRoman"/>
      <w:lvlText w:val="%9."/>
      <w:lvlJc w:val="left"/>
      <w:pPr>
        <w:tabs>
          <w:tab w:val="num" w:pos="340"/>
        </w:tabs>
        <w:ind w:left="340" w:firstLine="6140"/>
      </w:pPr>
      <w:rPr>
        <w:rFonts w:cs="Times New Roman" w:hint="default"/>
        <w:color w:val="000000"/>
        <w:position w:val="0"/>
      </w:rPr>
    </w:lvl>
  </w:abstractNum>
  <w:abstractNum w:abstractNumId="14" w15:restartNumberingAfterBreak="0">
    <w:nsid w:val="00000017"/>
    <w:multiLevelType w:val="multilevel"/>
    <w:tmpl w:val="894EE889"/>
    <w:styleLink w:val="List22"/>
    <w:lvl w:ilvl="0">
      <w:start w:val="1"/>
      <w:numFmt w:val="lowerLetter"/>
      <w:lvlText w:val="%1."/>
      <w:lvlJc w:val="left"/>
      <w:pPr>
        <w:tabs>
          <w:tab w:val="num" w:pos="360"/>
        </w:tabs>
        <w:ind w:left="360" w:firstLine="360"/>
      </w:pPr>
      <w:rPr>
        <w:rFonts w:cs="Times New Roman" w:hint="default"/>
        <w:color w:val="000000"/>
        <w:position w:val="0"/>
      </w:rPr>
    </w:lvl>
    <w:lvl w:ilvl="1">
      <w:start w:val="1"/>
      <w:numFmt w:val="lowerLetter"/>
      <w:lvlText w:val="%2)"/>
      <w:lvlJc w:val="left"/>
      <w:pPr>
        <w:tabs>
          <w:tab w:val="num" w:pos="360"/>
        </w:tabs>
        <w:ind w:left="360" w:firstLine="1080"/>
      </w:pPr>
      <w:rPr>
        <w:rFonts w:cs="Times New Roman" w:hint="default"/>
        <w:color w:val="000000"/>
        <w:position w:val="0"/>
      </w:rPr>
    </w:lvl>
    <w:lvl w:ilvl="2">
      <w:start w:val="1"/>
      <w:numFmt w:val="lowerRoman"/>
      <w:lvlText w:val="%3."/>
      <w:lvlJc w:val="left"/>
      <w:pPr>
        <w:tabs>
          <w:tab w:val="num" w:pos="340"/>
        </w:tabs>
        <w:ind w:left="340" w:firstLine="1820"/>
      </w:pPr>
      <w:rPr>
        <w:rFonts w:cs="Times New Roman" w:hint="default"/>
        <w:color w:val="000000"/>
        <w:position w:val="0"/>
      </w:rPr>
    </w:lvl>
    <w:lvl w:ilvl="3">
      <w:start w:val="1"/>
      <w:numFmt w:val="decimal"/>
      <w:isLgl/>
      <w:lvlText w:val="%4."/>
      <w:lvlJc w:val="left"/>
      <w:pPr>
        <w:tabs>
          <w:tab w:val="num" w:pos="360"/>
        </w:tabs>
        <w:ind w:left="360" w:firstLine="2520"/>
      </w:pPr>
      <w:rPr>
        <w:rFonts w:cs="Times New Roman" w:hint="default"/>
        <w:color w:val="000000"/>
        <w:position w:val="0"/>
      </w:rPr>
    </w:lvl>
    <w:lvl w:ilvl="4">
      <w:start w:val="1"/>
      <w:numFmt w:val="lowerLetter"/>
      <w:lvlText w:val="%5."/>
      <w:lvlJc w:val="left"/>
      <w:pPr>
        <w:tabs>
          <w:tab w:val="num" w:pos="360"/>
        </w:tabs>
        <w:ind w:left="360" w:firstLine="3240"/>
      </w:pPr>
      <w:rPr>
        <w:rFonts w:cs="Times New Roman" w:hint="default"/>
        <w:color w:val="000000"/>
        <w:position w:val="0"/>
      </w:rPr>
    </w:lvl>
    <w:lvl w:ilvl="5">
      <w:start w:val="1"/>
      <w:numFmt w:val="lowerRoman"/>
      <w:lvlText w:val="%6."/>
      <w:lvlJc w:val="left"/>
      <w:pPr>
        <w:tabs>
          <w:tab w:val="num" w:pos="340"/>
        </w:tabs>
        <w:ind w:left="340" w:firstLine="3980"/>
      </w:pPr>
      <w:rPr>
        <w:rFonts w:cs="Times New Roman" w:hint="default"/>
        <w:color w:val="000000"/>
        <w:position w:val="0"/>
      </w:rPr>
    </w:lvl>
    <w:lvl w:ilvl="6">
      <w:start w:val="1"/>
      <w:numFmt w:val="decimal"/>
      <w:isLgl/>
      <w:lvlText w:val="%7."/>
      <w:lvlJc w:val="left"/>
      <w:pPr>
        <w:tabs>
          <w:tab w:val="num" w:pos="360"/>
        </w:tabs>
        <w:ind w:left="360" w:firstLine="4680"/>
      </w:pPr>
      <w:rPr>
        <w:rFonts w:cs="Times New Roman" w:hint="default"/>
        <w:color w:val="000000"/>
        <w:position w:val="0"/>
      </w:rPr>
    </w:lvl>
    <w:lvl w:ilvl="7">
      <w:start w:val="1"/>
      <w:numFmt w:val="lowerLetter"/>
      <w:lvlText w:val="%8."/>
      <w:lvlJc w:val="left"/>
      <w:pPr>
        <w:tabs>
          <w:tab w:val="num" w:pos="360"/>
        </w:tabs>
        <w:ind w:left="360" w:firstLine="5400"/>
      </w:pPr>
      <w:rPr>
        <w:rFonts w:cs="Times New Roman" w:hint="default"/>
        <w:color w:val="000000"/>
        <w:position w:val="0"/>
      </w:rPr>
    </w:lvl>
    <w:lvl w:ilvl="8">
      <w:start w:val="1"/>
      <w:numFmt w:val="lowerRoman"/>
      <w:lvlText w:val="%9."/>
      <w:lvlJc w:val="left"/>
      <w:pPr>
        <w:tabs>
          <w:tab w:val="num" w:pos="340"/>
        </w:tabs>
        <w:ind w:left="340" w:firstLine="6140"/>
      </w:pPr>
      <w:rPr>
        <w:rFonts w:cs="Times New Roman" w:hint="default"/>
        <w:color w:val="000000"/>
        <w:position w:val="0"/>
      </w:rPr>
    </w:lvl>
  </w:abstractNum>
  <w:abstractNum w:abstractNumId="15" w15:restartNumberingAfterBreak="0">
    <w:nsid w:val="00000038"/>
    <w:multiLevelType w:val="multilevel"/>
    <w:tmpl w:val="894EE8AA"/>
    <w:styleLink w:val="List64"/>
    <w:lvl w:ilvl="0">
      <w:start w:val="1"/>
      <w:numFmt w:val="lowerLetter"/>
      <w:lvlText w:val="%1."/>
      <w:lvlJc w:val="left"/>
      <w:pPr>
        <w:tabs>
          <w:tab w:val="num" w:pos="360"/>
        </w:tabs>
        <w:ind w:left="360" w:firstLine="360"/>
      </w:pPr>
      <w:rPr>
        <w:rFonts w:cs="Times New Roman" w:hint="default"/>
        <w:color w:val="000000"/>
        <w:position w:val="0"/>
      </w:rPr>
    </w:lvl>
    <w:lvl w:ilvl="1">
      <w:start w:val="1"/>
      <w:numFmt w:val="lowerLetter"/>
      <w:lvlText w:val="%2."/>
      <w:lvlJc w:val="left"/>
      <w:pPr>
        <w:tabs>
          <w:tab w:val="num" w:pos="360"/>
        </w:tabs>
        <w:ind w:left="360" w:firstLine="1080"/>
      </w:pPr>
      <w:rPr>
        <w:rFonts w:cs="Times New Roman" w:hint="default"/>
        <w:color w:val="000000"/>
        <w:position w:val="0"/>
      </w:rPr>
    </w:lvl>
    <w:lvl w:ilvl="2">
      <w:start w:val="1"/>
      <w:numFmt w:val="lowerRoman"/>
      <w:lvlText w:val="%3."/>
      <w:lvlJc w:val="left"/>
      <w:pPr>
        <w:tabs>
          <w:tab w:val="num" w:pos="340"/>
        </w:tabs>
        <w:ind w:left="340" w:firstLine="1820"/>
      </w:pPr>
      <w:rPr>
        <w:rFonts w:cs="Times New Roman" w:hint="default"/>
        <w:color w:val="000000"/>
        <w:position w:val="0"/>
      </w:rPr>
    </w:lvl>
    <w:lvl w:ilvl="3">
      <w:start w:val="1"/>
      <w:numFmt w:val="decimal"/>
      <w:isLgl/>
      <w:lvlText w:val="%4."/>
      <w:lvlJc w:val="left"/>
      <w:pPr>
        <w:tabs>
          <w:tab w:val="num" w:pos="360"/>
        </w:tabs>
        <w:ind w:left="360" w:firstLine="2520"/>
      </w:pPr>
      <w:rPr>
        <w:rFonts w:cs="Times New Roman" w:hint="default"/>
        <w:color w:val="000000"/>
        <w:position w:val="0"/>
      </w:rPr>
    </w:lvl>
    <w:lvl w:ilvl="4">
      <w:start w:val="1"/>
      <w:numFmt w:val="lowerLetter"/>
      <w:lvlText w:val="%5."/>
      <w:lvlJc w:val="left"/>
      <w:pPr>
        <w:tabs>
          <w:tab w:val="num" w:pos="360"/>
        </w:tabs>
        <w:ind w:left="360" w:firstLine="3240"/>
      </w:pPr>
      <w:rPr>
        <w:rFonts w:cs="Times New Roman" w:hint="default"/>
        <w:color w:val="000000"/>
        <w:position w:val="0"/>
      </w:rPr>
    </w:lvl>
    <w:lvl w:ilvl="5">
      <w:start w:val="1"/>
      <w:numFmt w:val="lowerRoman"/>
      <w:lvlText w:val="%6."/>
      <w:lvlJc w:val="left"/>
      <w:pPr>
        <w:tabs>
          <w:tab w:val="num" w:pos="340"/>
        </w:tabs>
        <w:ind w:left="340" w:firstLine="3980"/>
      </w:pPr>
      <w:rPr>
        <w:rFonts w:cs="Times New Roman" w:hint="default"/>
        <w:color w:val="000000"/>
        <w:position w:val="0"/>
      </w:rPr>
    </w:lvl>
    <w:lvl w:ilvl="6">
      <w:start w:val="1"/>
      <w:numFmt w:val="decimal"/>
      <w:isLgl/>
      <w:lvlText w:val="%7."/>
      <w:lvlJc w:val="left"/>
      <w:pPr>
        <w:tabs>
          <w:tab w:val="num" w:pos="360"/>
        </w:tabs>
        <w:ind w:left="360" w:firstLine="4680"/>
      </w:pPr>
      <w:rPr>
        <w:rFonts w:cs="Times New Roman" w:hint="default"/>
        <w:color w:val="000000"/>
        <w:position w:val="0"/>
      </w:rPr>
    </w:lvl>
    <w:lvl w:ilvl="7">
      <w:start w:val="1"/>
      <w:numFmt w:val="lowerLetter"/>
      <w:lvlText w:val="%8."/>
      <w:lvlJc w:val="left"/>
      <w:pPr>
        <w:tabs>
          <w:tab w:val="num" w:pos="360"/>
        </w:tabs>
        <w:ind w:left="360" w:firstLine="5400"/>
      </w:pPr>
      <w:rPr>
        <w:rFonts w:cs="Times New Roman" w:hint="default"/>
        <w:color w:val="000000"/>
        <w:position w:val="0"/>
      </w:rPr>
    </w:lvl>
    <w:lvl w:ilvl="8">
      <w:start w:val="1"/>
      <w:numFmt w:val="lowerRoman"/>
      <w:lvlText w:val="%9."/>
      <w:lvlJc w:val="left"/>
      <w:pPr>
        <w:tabs>
          <w:tab w:val="num" w:pos="340"/>
        </w:tabs>
        <w:ind w:left="340" w:firstLine="6140"/>
      </w:pPr>
      <w:rPr>
        <w:rFonts w:cs="Times New Roman" w:hint="default"/>
        <w:color w:val="000000"/>
        <w:position w:val="0"/>
      </w:rPr>
    </w:lvl>
  </w:abstractNum>
  <w:abstractNum w:abstractNumId="16" w15:restartNumberingAfterBreak="0">
    <w:nsid w:val="0000003A"/>
    <w:multiLevelType w:val="multilevel"/>
    <w:tmpl w:val="894EE8AC"/>
    <w:styleLink w:val="List65"/>
    <w:lvl w:ilvl="0">
      <w:start w:val="1"/>
      <w:numFmt w:val="lowerRoman"/>
      <w:lvlText w:val="%1."/>
      <w:lvlJc w:val="left"/>
      <w:pPr>
        <w:tabs>
          <w:tab w:val="num" w:pos="720"/>
        </w:tabs>
        <w:ind w:left="720" w:firstLine="720"/>
      </w:pPr>
      <w:rPr>
        <w:rFonts w:cs="Times New Roman" w:hint="default"/>
        <w:color w:val="000000"/>
        <w:position w:val="0"/>
      </w:rPr>
    </w:lvl>
    <w:lvl w:ilvl="1">
      <w:start w:val="1"/>
      <w:numFmt w:val="lowerLetter"/>
      <w:lvlText w:val="%2."/>
      <w:lvlJc w:val="left"/>
      <w:pPr>
        <w:tabs>
          <w:tab w:val="num" w:pos="360"/>
        </w:tabs>
        <w:ind w:left="360" w:firstLine="1440"/>
      </w:pPr>
      <w:rPr>
        <w:rFonts w:cs="Times New Roman" w:hint="default"/>
        <w:color w:val="000000"/>
        <w:position w:val="0"/>
      </w:rPr>
    </w:lvl>
    <w:lvl w:ilvl="2">
      <w:start w:val="1"/>
      <w:numFmt w:val="lowerRoman"/>
      <w:lvlText w:val="%3."/>
      <w:lvlJc w:val="left"/>
      <w:pPr>
        <w:tabs>
          <w:tab w:val="num" w:pos="340"/>
        </w:tabs>
        <w:ind w:left="340" w:firstLine="2180"/>
      </w:pPr>
      <w:rPr>
        <w:rFonts w:cs="Times New Roman" w:hint="default"/>
        <w:color w:val="000000"/>
        <w:position w:val="0"/>
      </w:rPr>
    </w:lvl>
    <w:lvl w:ilvl="3">
      <w:start w:val="1"/>
      <w:numFmt w:val="decimal"/>
      <w:isLgl/>
      <w:lvlText w:val="%4."/>
      <w:lvlJc w:val="left"/>
      <w:pPr>
        <w:tabs>
          <w:tab w:val="num" w:pos="360"/>
        </w:tabs>
        <w:ind w:left="360" w:firstLine="2880"/>
      </w:pPr>
      <w:rPr>
        <w:rFonts w:cs="Times New Roman" w:hint="default"/>
        <w:color w:val="000000"/>
        <w:position w:val="0"/>
      </w:rPr>
    </w:lvl>
    <w:lvl w:ilvl="4">
      <w:start w:val="1"/>
      <w:numFmt w:val="lowerLetter"/>
      <w:lvlText w:val="%5."/>
      <w:lvlJc w:val="left"/>
      <w:pPr>
        <w:tabs>
          <w:tab w:val="num" w:pos="360"/>
        </w:tabs>
        <w:ind w:left="360" w:firstLine="3600"/>
      </w:pPr>
      <w:rPr>
        <w:rFonts w:cs="Times New Roman" w:hint="default"/>
        <w:color w:val="000000"/>
        <w:position w:val="0"/>
      </w:rPr>
    </w:lvl>
    <w:lvl w:ilvl="5">
      <w:start w:val="1"/>
      <w:numFmt w:val="lowerRoman"/>
      <w:lvlText w:val="%6."/>
      <w:lvlJc w:val="left"/>
      <w:pPr>
        <w:tabs>
          <w:tab w:val="num" w:pos="340"/>
        </w:tabs>
        <w:ind w:left="340" w:firstLine="4340"/>
      </w:pPr>
      <w:rPr>
        <w:rFonts w:cs="Times New Roman" w:hint="default"/>
        <w:color w:val="000000"/>
        <w:position w:val="0"/>
      </w:rPr>
    </w:lvl>
    <w:lvl w:ilvl="6">
      <w:start w:val="1"/>
      <w:numFmt w:val="decimal"/>
      <w:isLgl/>
      <w:lvlText w:val="%7."/>
      <w:lvlJc w:val="left"/>
      <w:pPr>
        <w:tabs>
          <w:tab w:val="num" w:pos="360"/>
        </w:tabs>
        <w:ind w:left="360" w:firstLine="5040"/>
      </w:pPr>
      <w:rPr>
        <w:rFonts w:cs="Times New Roman" w:hint="default"/>
        <w:color w:val="000000"/>
        <w:position w:val="0"/>
      </w:rPr>
    </w:lvl>
    <w:lvl w:ilvl="7">
      <w:start w:val="1"/>
      <w:numFmt w:val="lowerLetter"/>
      <w:lvlText w:val="%8."/>
      <w:lvlJc w:val="left"/>
      <w:pPr>
        <w:tabs>
          <w:tab w:val="num" w:pos="360"/>
        </w:tabs>
        <w:ind w:left="360" w:firstLine="5760"/>
      </w:pPr>
      <w:rPr>
        <w:rFonts w:cs="Times New Roman" w:hint="default"/>
        <w:color w:val="000000"/>
        <w:position w:val="0"/>
      </w:rPr>
    </w:lvl>
    <w:lvl w:ilvl="8">
      <w:start w:val="1"/>
      <w:numFmt w:val="lowerRoman"/>
      <w:lvlText w:val="%9."/>
      <w:lvlJc w:val="left"/>
      <w:pPr>
        <w:tabs>
          <w:tab w:val="num" w:pos="340"/>
        </w:tabs>
        <w:ind w:left="340" w:firstLine="6500"/>
      </w:pPr>
      <w:rPr>
        <w:rFonts w:cs="Times New Roman" w:hint="default"/>
        <w:color w:val="000000"/>
        <w:position w:val="0"/>
      </w:rPr>
    </w:lvl>
  </w:abstractNum>
  <w:abstractNum w:abstractNumId="17" w15:restartNumberingAfterBreak="0">
    <w:nsid w:val="00000054"/>
    <w:multiLevelType w:val="multilevel"/>
    <w:tmpl w:val="894EE8C6"/>
    <w:lvl w:ilvl="0">
      <w:start w:val="1"/>
      <w:numFmt w:val="decimal"/>
      <w:isLgl/>
      <w:lvlText w:val="%1."/>
      <w:lvlJc w:val="left"/>
      <w:pPr>
        <w:tabs>
          <w:tab w:val="num" w:pos="360"/>
        </w:tabs>
        <w:ind w:left="360" w:firstLine="360"/>
      </w:pPr>
      <w:rPr>
        <w:rFonts w:cs="Times New Roman" w:hint="default"/>
        <w:color w:val="000000"/>
        <w:position w:val="0"/>
      </w:rPr>
    </w:lvl>
    <w:lvl w:ilvl="1">
      <w:start w:val="1"/>
      <w:numFmt w:val="lowerLetter"/>
      <w:lvlText w:val="%2."/>
      <w:lvlJc w:val="left"/>
      <w:pPr>
        <w:tabs>
          <w:tab w:val="num" w:pos="360"/>
        </w:tabs>
        <w:ind w:left="360" w:firstLine="1080"/>
      </w:pPr>
      <w:rPr>
        <w:rFonts w:cs="Times New Roman" w:hint="default"/>
        <w:color w:val="000000"/>
        <w:position w:val="0"/>
      </w:rPr>
    </w:lvl>
    <w:lvl w:ilvl="2">
      <w:start w:val="1"/>
      <w:numFmt w:val="lowerRoman"/>
      <w:lvlText w:val="%3."/>
      <w:lvlJc w:val="left"/>
      <w:pPr>
        <w:tabs>
          <w:tab w:val="num" w:pos="340"/>
        </w:tabs>
        <w:ind w:left="340" w:firstLine="1820"/>
      </w:pPr>
      <w:rPr>
        <w:rFonts w:cs="Times New Roman" w:hint="default"/>
        <w:color w:val="000000"/>
        <w:position w:val="0"/>
      </w:rPr>
    </w:lvl>
    <w:lvl w:ilvl="3">
      <w:start w:val="1"/>
      <w:numFmt w:val="decimal"/>
      <w:isLgl/>
      <w:lvlText w:val="%4."/>
      <w:lvlJc w:val="left"/>
      <w:pPr>
        <w:tabs>
          <w:tab w:val="num" w:pos="360"/>
        </w:tabs>
        <w:ind w:left="360" w:firstLine="2520"/>
      </w:pPr>
      <w:rPr>
        <w:rFonts w:cs="Times New Roman" w:hint="default"/>
        <w:color w:val="000000"/>
        <w:position w:val="0"/>
      </w:rPr>
    </w:lvl>
    <w:lvl w:ilvl="4">
      <w:start w:val="1"/>
      <w:numFmt w:val="lowerLetter"/>
      <w:lvlText w:val="%5."/>
      <w:lvlJc w:val="left"/>
      <w:pPr>
        <w:tabs>
          <w:tab w:val="num" w:pos="360"/>
        </w:tabs>
        <w:ind w:left="360" w:firstLine="3240"/>
      </w:pPr>
      <w:rPr>
        <w:rFonts w:cs="Times New Roman" w:hint="default"/>
        <w:color w:val="000000"/>
        <w:position w:val="0"/>
      </w:rPr>
    </w:lvl>
    <w:lvl w:ilvl="5">
      <w:start w:val="1"/>
      <w:numFmt w:val="lowerRoman"/>
      <w:lvlText w:val="%6."/>
      <w:lvlJc w:val="left"/>
      <w:pPr>
        <w:tabs>
          <w:tab w:val="num" w:pos="340"/>
        </w:tabs>
        <w:ind w:left="340" w:firstLine="3980"/>
      </w:pPr>
      <w:rPr>
        <w:rFonts w:cs="Times New Roman" w:hint="default"/>
        <w:color w:val="000000"/>
        <w:position w:val="0"/>
      </w:rPr>
    </w:lvl>
    <w:lvl w:ilvl="6">
      <w:start w:val="1"/>
      <w:numFmt w:val="decimal"/>
      <w:isLgl/>
      <w:lvlText w:val="%7."/>
      <w:lvlJc w:val="left"/>
      <w:pPr>
        <w:tabs>
          <w:tab w:val="num" w:pos="360"/>
        </w:tabs>
        <w:ind w:left="360" w:firstLine="4680"/>
      </w:pPr>
      <w:rPr>
        <w:rFonts w:cs="Times New Roman" w:hint="default"/>
        <w:color w:val="000000"/>
        <w:position w:val="0"/>
      </w:rPr>
    </w:lvl>
    <w:lvl w:ilvl="7">
      <w:start w:val="1"/>
      <w:numFmt w:val="lowerLetter"/>
      <w:lvlText w:val="%8."/>
      <w:lvlJc w:val="left"/>
      <w:pPr>
        <w:tabs>
          <w:tab w:val="num" w:pos="360"/>
        </w:tabs>
        <w:ind w:left="360" w:firstLine="5400"/>
      </w:pPr>
      <w:rPr>
        <w:rFonts w:cs="Times New Roman" w:hint="default"/>
        <w:color w:val="000000"/>
        <w:position w:val="0"/>
      </w:rPr>
    </w:lvl>
    <w:lvl w:ilvl="8">
      <w:start w:val="1"/>
      <w:numFmt w:val="lowerRoman"/>
      <w:lvlText w:val="%9."/>
      <w:lvlJc w:val="left"/>
      <w:pPr>
        <w:tabs>
          <w:tab w:val="num" w:pos="340"/>
        </w:tabs>
        <w:ind w:left="340" w:firstLine="6140"/>
      </w:pPr>
      <w:rPr>
        <w:rFonts w:cs="Times New Roman" w:hint="default"/>
        <w:color w:val="000000"/>
        <w:position w:val="0"/>
      </w:rPr>
    </w:lvl>
  </w:abstractNum>
  <w:abstractNum w:abstractNumId="18" w15:restartNumberingAfterBreak="0">
    <w:nsid w:val="04EA47C0"/>
    <w:multiLevelType w:val="hybridMultilevel"/>
    <w:tmpl w:val="880CA890"/>
    <w:lvl w:ilvl="0" w:tplc="04090001">
      <w:start w:val="1"/>
      <w:numFmt w:val="bullet"/>
      <w:lvlText w:val=""/>
      <w:lvlJc w:val="left"/>
      <w:pPr>
        <w:tabs>
          <w:tab w:val="num" w:pos="1287"/>
        </w:tabs>
        <w:ind w:left="1287" w:hanging="360"/>
      </w:pPr>
      <w:rPr>
        <w:rFonts w:ascii="Symbol" w:hAnsi="Symbol" w:hint="default"/>
      </w:rPr>
    </w:lvl>
    <w:lvl w:ilvl="1" w:tplc="04090003">
      <w:start w:val="1"/>
      <w:numFmt w:val="bullet"/>
      <w:lvlText w:val="o"/>
      <w:lvlJc w:val="left"/>
      <w:pPr>
        <w:tabs>
          <w:tab w:val="num" w:pos="2007"/>
        </w:tabs>
        <w:ind w:left="2007" w:hanging="360"/>
      </w:pPr>
      <w:rPr>
        <w:rFonts w:ascii="Courier New" w:hAnsi="Courier New" w:hint="default"/>
      </w:rPr>
    </w:lvl>
    <w:lvl w:ilvl="2" w:tplc="04090005">
      <w:start w:val="1"/>
      <w:numFmt w:val="bullet"/>
      <w:lvlText w:val=""/>
      <w:lvlJc w:val="left"/>
      <w:pPr>
        <w:tabs>
          <w:tab w:val="num" w:pos="2727"/>
        </w:tabs>
        <w:ind w:left="2727" w:hanging="360"/>
      </w:pPr>
      <w:rPr>
        <w:rFonts w:ascii="Wingdings" w:hAnsi="Wingdings" w:hint="default"/>
      </w:rPr>
    </w:lvl>
    <w:lvl w:ilvl="3" w:tplc="04090001">
      <w:start w:val="1"/>
      <w:numFmt w:val="bullet"/>
      <w:lvlText w:val=""/>
      <w:lvlJc w:val="left"/>
      <w:pPr>
        <w:tabs>
          <w:tab w:val="num" w:pos="3447"/>
        </w:tabs>
        <w:ind w:left="3447" w:hanging="360"/>
      </w:pPr>
      <w:rPr>
        <w:rFonts w:ascii="Symbol" w:hAnsi="Symbol" w:hint="default"/>
      </w:rPr>
    </w:lvl>
    <w:lvl w:ilvl="4" w:tplc="04090003">
      <w:start w:val="1"/>
      <w:numFmt w:val="bullet"/>
      <w:lvlText w:val="o"/>
      <w:lvlJc w:val="left"/>
      <w:pPr>
        <w:tabs>
          <w:tab w:val="num" w:pos="4167"/>
        </w:tabs>
        <w:ind w:left="4167" w:hanging="360"/>
      </w:pPr>
      <w:rPr>
        <w:rFonts w:ascii="Courier New" w:hAnsi="Courier New" w:hint="default"/>
      </w:rPr>
    </w:lvl>
    <w:lvl w:ilvl="5" w:tplc="04090005">
      <w:start w:val="1"/>
      <w:numFmt w:val="bullet"/>
      <w:lvlText w:val=""/>
      <w:lvlJc w:val="left"/>
      <w:pPr>
        <w:tabs>
          <w:tab w:val="num" w:pos="4887"/>
        </w:tabs>
        <w:ind w:left="4887" w:hanging="360"/>
      </w:pPr>
      <w:rPr>
        <w:rFonts w:ascii="Wingdings" w:hAnsi="Wingdings" w:hint="default"/>
      </w:rPr>
    </w:lvl>
    <w:lvl w:ilvl="6" w:tplc="04090001">
      <w:start w:val="1"/>
      <w:numFmt w:val="bullet"/>
      <w:lvlText w:val=""/>
      <w:lvlJc w:val="left"/>
      <w:pPr>
        <w:tabs>
          <w:tab w:val="num" w:pos="5607"/>
        </w:tabs>
        <w:ind w:left="5607" w:hanging="360"/>
      </w:pPr>
      <w:rPr>
        <w:rFonts w:ascii="Symbol" w:hAnsi="Symbol" w:hint="default"/>
      </w:rPr>
    </w:lvl>
    <w:lvl w:ilvl="7" w:tplc="04090003">
      <w:start w:val="1"/>
      <w:numFmt w:val="bullet"/>
      <w:lvlText w:val="o"/>
      <w:lvlJc w:val="left"/>
      <w:pPr>
        <w:tabs>
          <w:tab w:val="num" w:pos="6327"/>
        </w:tabs>
        <w:ind w:left="6327" w:hanging="360"/>
      </w:pPr>
      <w:rPr>
        <w:rFonts w:ascii="Courier New" w:hAnsi="Courier New" w:hint="default"/>
      </w:rPr>
    </w:lvl>
    <w:lvl w:ilvl="8" w:tplc="04090005">
      <w:start w:val="1"/>
      <w:numFmt w:val="bullet"/>
      <w:lvlText w:val=""/>
      <w:lvlJc w:val="left"/>
      <w:pPr>
        <w:tabs>
          <w:tab w:val="num" w:pos="7047"/>
        </w:tabs>
        <w:ind w:left="7047" w:hanging="360"/>
      </w:pPr>
      <w:rPr>
        <w:rFonts w:ascii="Wingdings" w:hAnsi="Wingdings" w:hint="default"/>
      </w:rPr>
    </w:lvl>
  </w:abstractNum>
  <w:abstractNum w:abstractNumId="19" w15:restartNumberingAfterBreak="0">
    <w:nsid w:val="12D2432A"/>
    <w:multiLevelType w:val="hybridMultilevel"/>
    <w:tmpl w:val="94F04314"/>
    <w:lvl w:ilvl="0" w:tplc="975AE4DE">
      <w:start w:val="1"/>
      <w:numFmt w:val="lowerRoman"/>
      <w:lvlText w:val="%1."/>
      <w:lvlJc w:val="left"/>
      <w:pPr>
        <w:ind w:left="1080" w:hanging="720"/>
      </w:pPr>
      <w:rPr>
        <w:rFonts w:cs="Times New Roman" w:hint="default"/>
        <w:b/>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0" w15:restartNumberingAfterBreak="0">
    <w:nsid w:val="1390217D"/>
    <w:multiLevelType w:val="hybridMultilevel"/>
    <w:tmpl w:val="FC38B13E"/>
    <w:lvl w:ilvl="0" w:tplc="041C0017">
      <w:start w:val="1"/>
      <w:numFmt w:val="lowerLetter"/>
      <w:lvlText w:val="%1)"/>
      <w:lvlJc w:val="left"/>
      <w:pPr>
        <w:ind w:left="1080" w:hanging="360"/>
      </w:p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21" w15:restartNumberingAfterBreak="0">
    <w:nsid w:val="174D2D54"/>
    <w:multiLevelType w:val="hybridMultilevel"/>
    <w:tmpl w:val="459CD23E"/>
    <w:lvl w:ilvl="0" w:tplc="0409000D">
      <w:start w:val="1"/>
      <w:numFmt w:val="bullet"/>
      <w:lvlText w:val=""/>
      <w:lvlJc w:val="left"/>
      <w:pPr>
        <w:tabs>
          <w:tab w:val="num" w:pos="720"/>
        </w:tabs>
        <w:ind w:left="720" w:hanging="360"/>
      </w:pPr>
      <w:rPr>
        <w:rFonts w:ascii="Wingdings" w:hAnsi="Wingdings" w:hint="default"/>
      </w:rPr>
    </w:lvl>
    <w:lvl w:ilvl="1" w:tplc="0409000D">
      <w:start w:val="1"/>
      <w:numFmt w:val="bullet"/>
      <w:lvlText w:val=""/>
      <w:lvlJc w:val="left"/>
      <w:pPr>
        <w:tabs>
          <w:tab w:val="num" w:pos="1440"/>
        </w:tabs>
        <w:ind w:left="1440" w:hanging="360"/>
      </w:pPr>
      <w:rPr>
        <w:rFonts w:ascii="Wingdings" w:hAnsi="Wingdings" w:cs="Wingding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1B360E89"/>
    <w:multiLevelType w:val="multilevel"/>
    <w:tmpl w:val="B5F2AFD2"/>
    <w:lvl w:ilvl="0">
      <w:start w:val="13"/>
      <w:numFmt w:val="decimal"/>
      <w:lvlText w:val="%1"/>
      <w:lvlJc w:val="left"/>
      <w:pPr>
        <w:tabs>
          <w:tab w:val="num" w:pos="360"/>
        </w:tabs>
        <w:ind w:left="360" w:hanging="360"/>
      </w:pPr>
      <w:rPr>
        <w:rFonts w:hint="default"/>
        <w:b/>
      </w:rPr>
    </w:lvl>
    <w:lvl w:ilvl="1">
      <w:start w:val="2"/>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23" w15:restartNumberingAfterBreak="0">
    <w:nsid w:val="20D24B80"/>
    <w:multiLevelType w:val="multilevel"/>
    <w:tmpl w:val="7F9E4760"/>
    <w:lvl w:ilvl="0">
      <w:start w:val="7"/>
      <w:numFmt w:val="decimal"/>
      <w:lvlText w:val="%1"/>
      <w:lvlJc w:val="left"/>
      <w:pPr>
        <w:tabs>
          <w:tab w:val="num" w:pos="360"/>
        </w:tabs>
        <w:ind w:left="360" w:hanging="360"/>
      </w:pPr>
      <w:rPr>
        <w:rFonts w:hint="default"/>
        <w:b/>
      </w:rPr>
    </w:lvl>
    <w:lvl w:ilvl="1">
      <w:start w:val="2"/>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24" w15:restartNumberingAfterBreak="0">
    <w:nsid w:val="2CFE57FB"/>
    <w:multiLevelType w:val="hybridMultilevel"/>
    <w:tmpl w:val="1DC68C1E"/>
    <w:lvl w:ilvl="0" w:tplc="7D324400">
      <w:start w:val="1"/>
      <w:numFmt w:val="decimal"/>
      <w:lvlText w:val="%1."/>
      <w:lvlJc w:val="left"/>
      <w:pPr>
        <w:ind w:left="360" w:hanging="360"/>
      </w:pPr>
      <w:rPr>
        <w:rFonts w:cs="Times New Roman" w:hint="default"/>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5" w15:restartNumberingAfterBreak="0">
    <w:nsid w:val="31C87247"/>
    <w:multiLevelType w:val="hybridMultilevel"/>
    <w:tmpl w:val="F99204CC"/>
    <w:lvl w:ilvl="0" w:tplc="7D324400">
      <w:start w:val="1"/>
      <w:numFmt w:val="decimal"/>
      <w:lvlText w:val="%1."/>
      <w:lvlJc w:val="left"/>
      <w:pPr>
        <w:ind w:left="360" w:hanging="360"/>
      </w:pPr>
      <w:rPr>
        <w:rFonts w:cs="Times New Roman" w:hint="default"/>
        <w:b w:val="0"/>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26" w15:restartNumberingAfterBreak="0">
    <w:nsid w:val="36F3534E"/>
    <w:multiLevelType w:val="hybridMultilevel"/>
    <w:tmpl w:val="36E6680E"/>
    <w:lvl w:ilvl="0" w:tplc="514C3400">
      <w:start w:val="1"/>
      <w:numFmt w:val="decimal"/>
      <w:lvlText w:val="%1."/>
      <w:lvlJc w:val="left"/>
      <w:pPr>
        <w:ind w:left="1785" w:hanging="106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C850770"/>
    <w:multiLevelType w:val="hybridMultilevel"/>
    <w:tmpl w:val="A9001850"/>
    <w:lvl w:ilvl="0" w:tplc="B11E48DC">
      <w:start w:val="1"/>
      <w:numFmt w:val="decimal"/>
      <w:lvlText w:val="%1."/>
      <w:lvlJc w:val="left"/>
      <w:pPr>
        <w:ind w:left="360" w:hanging="360"/>
      </w:pPr>
      <w:rPr>
        <w:rFonts w:cs="Times New Roman" w:hint="default"/>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28" w15:restartNumberingAfterBreak="0">
    <w:nsid w:val="42267085"/>
    <w:multiLevelType w:val="hybridMultilevel"/>
    <w:tmpl w:val="BD225548"/>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9" w15:restartNumberingAfterBreak="0">
    <w:nsid w:val="46672C59"/>
    <w:multiLevelType w:val="hybridMultilevel"/>
    <w:tmpl w:val="A3F0AC6E"/>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0" w15:restartNumberingAfterBreak="0">
    <w:nsid w:val="4D515B05"/>
    <w:multiLevelType w:val="hybridMultilevel"/>
    <w:tmpl w:val="706A0A5A"/>
    <w:lvl w:ilvl="0" w:tplc="56661FC0">
      <w:start w:val="3"/>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1" w15:restartNumberingAfterBreak="0">
    <w:nsid w:val="4E6B2BAE"/>
    <w:multiLevelType w:val="hybridMultilevel"/>
    <w:tmpl w:val="E8C429F8"/>
    <w:lvl w:ilvl="0" w:tplc="0409000F">
      <w:start w:val="1"/>
      <w:numFmt w:val="decimal"/>
      <w:lvlText w:val="%1."/>
      <w:lvlJc w:val="left"/>
      <w:pPr>
        <w:ind w:left="360" w:hanging="360"/>
      </w:pPr>
      <w:rPr>
        <w:rFonts w:cs="Times New Roman"/>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32" w15:restartNumberingAfterBreak="0">
    <w:nsid w:val="504474E2"/>
    <w:multiLevelType w:val="hybridMultilevel"/>
    <w:tmpl w:val="0BF4F134"/>
    <w:lvl w:ilvl="0" w:tplc="AF84F2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5863808"/>
    <w:multiLevelType w:val="hybridMultilevel"/>
    <w:tmpl w:val="9662D2D6"/>
    <w:lvl w:ilvl="0" w:tplc="041C0017">
      <w:start w:val="1"/>
      <w:numFmt w:val="lowerLetter"/>
      <w:lvlText w:val="%1)"/>
      <w:lvlJc w:val="left"/>
      <w:pPr>
        <w:ind w:left="1080" w:hanging="360"/>
      </w:p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34" w15:restartNumberingAfterBreak="0">
    <w:nsid w:val="5E5E17CB"/>
    <w:multiLevelType w:val="hybridMultilevel"/>
    <w:tmpl w:val="158015D8"/>
    <w:lvl w:ilvl="0" w:tplc="852A0A36">
      <w:start w:val="1"/>
      <w:numFmt w:val="bullet"/>
      <w:lvlText w:val=""/>
      <w:lvlPicBulletId w:val="0"/>
      <w:lvlJc w:val="left"/>
      <w:pPr>
        <w:tabs>
          <w:tab w:val="num" w:pos="720"/>
        </w:tabs>
        <w:ind w:left="720" w:hanging="360"/>
      </w:pPr>
      <w:rPr>
        <w:rFonts w:ascii="Symbol" w:hAnsi="Symbol" w:hint="default"/>
      </w:rPr>
    </w:lvl>
    <w:lvl w:ilvl="1" w:tplc="2C681CD0" w:tentative="1">
      <w:start w:val="1"/>
      <w:numFmt w:val="bullet"/>
      <w:lvlText w:val=""/>
      <w:lvlJc w:val="left"/>
      <w:pPr>
        <w:tabs>
          <w:tab w:val="num" w:pos="1440"/>
        </w:tabs>
        <w:ind w:left="1440" w:hanging="360"/>
      </w:pPr>
      <w:rPr>
        <w:rFonts w:ascii="Symbol" w:hAnsi="Symbol" w:hint="default"/>
      </w:rPr>
    </w:lvl>
    <w:lvl w:ilvl="2" w:tplc="CAB2C6C6" w:tentative="1">
      <w:start w:val="1"/>
      <w:numFmt w:val="bullet"/>
      <w:lvlText w:val=""/>
      <w:lvlJc w:val="left"/>
      <w:pPr>
        <w:tabs>
          <w:tab w:val="num" w:pos="2160"/>
        </w:tabs>
        <w:ind w:left="2160" w:hanging="360"/>
      </w:pPr>
      <w:rPr>
        <w:rFonts w:ascii="Symbol" w:hAnsi="Symbol" w:hint="default"/>
      </w:rPr>
    </w:lvl>
    <w:lvl w:ilvl="3" w:tplc="49D6200E" w:tentative="1">
      <w:start w:val="1"/>
      <w:numFmt w:val="bullet"/>
      <w:lvlText w:val=""/>
      <w:lvlJc w:val="left"/>
      <w:pPr>
        <w:tabs>
          <w:tab w:val="num" w:pos="2880"/>
        </w:tabs>
        <w:ind w:left="2880" w:hanging="360"/>
      </w:pPr>
      <w:rPr>
        <w:rFonts w:ascii="Symbol" w:hAnsi="Symbol" w:hint="default"/>
      </w:rPr>
    </w:lvl>
    <w:lvl w:ilvl="4" w:tplc="32289A7C" w:tentative="1">
      <w:start w:val="1"/>
      <w:numFmt w:val="bullet"/>
      <w:lvlText w:val=""/>
      <w:lvlJc w:val="left"/>
      <w:pPr>
        <w:tabs>
          <w:tab w:val="num" w:pos="3600"/>
        </w:tabs>
        <w:ind w:left="3600" w:hanging="360"/>
      </w:pPr>
      <w:rPr>
        <w:rFonts w:ascii="Symbol" w:hAnsi="Symbol" w:hint="default"/>
      </w:rPr>
    </w:lvl>
    <w:lvl w:ilvl="5" w:tplc="02EEA95C" w:tentative="1">
      <w:start w:val="1"/>
      <w:numFmt w:val="bullet"/>
      <w:lvlText w:val=""/>
      <w:lvlJc w:val="left"/>
      <w:pPr>
        <w:tabs>
          <w:tab w:val="num" w:pos="4320"/>
        </w:tabs>
        <w:ind w:left="4320" w:hanging="360"/>
      </w:pPr>
      <w:rPr>
        <w:rFonts w:ascii="Symbol" w:hAnsi="Symbol" w:hint="default"/>
      </w:rPr>
    </w:lvl>
    <w:lvl w:ilvl="6" w:tplc="C9623BEE" w:tentative="1">
      <w:start w:val="1"/>
      <w:numFmt w:val="bullet"/>
      <w:lvlText w:val=""/>
      <w:lvlJc w:val="left"/>
      <w:pPr>
        <w:tabs>
          <w:tab w:val="num" w:pos="5040"/>
        </w:tabs>
        <w:ind w:left="5040" w:hanging="360"/>
      </w:pPr>
      <w:rPr>
        <w:rFonts w:ascii="Symbol" w:hAnsi="Symbol" w:hint="default"/>
      </w:rPr>
    </w:lvl>
    <w:lvl w:ilvl="7" w:tplc="7E0AB6BA" w:tentative="1">
      <w:start w:val="1"/>
      <w:numFmt w:val="bullet"/>
      <w:lvlText w:val=""/>
      <w:lvlJc w:val="left"/>
      <w:pPr>
        <w:tabs>
          <w:tab w:val="num" w:pos="5760"/>
        </w:tabs>
        <w:ind w:left="5760" w:hanging="360"/>
      </w:pPr>
      <w:rPr>
        <w:rFonts w:ascii="Symbol" w:hAnsi="Symbol" w:hint="default"/>
      </w:rPr>
    </w:lvl>
    <w:lvl w:ilvl="8" w:tplc="7414BCF6"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64F0112D"/>
    <w:multiLevelType w:val="hybridMultilevel"/>
    <w:tmpl w:val="266EB1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7"/>
  </w:num>
  <w:num w:numId="2">
    <w:abstractNumId w:val="7"/>
  </w:num>
  <w:num w:numId="3">
    <w:abstractNumId w:val="36"/>
  </w:num>
  <w:num w:numId="4">
    <w:abstractNumId w:val="9"/>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8"/>
  </w:num>
  <w:num w:numId="14">
    <w:abstractNumId w:val="21"/>
  </w:num>
  <w:num w:numId="15">
    <w:abstractNumId w:val="33"/>
  </w:num>
  <w:num w:numId="16">
    <w:abstractNumId w:val="20"/>
  </w:num>
  <w:num w:numId="17">
    <w:abstractNumId w:val="35"/>
  </w:num>
  <w:num w:numId="18">
    <w:abstractNumId w:val="30"/>
  </w:num>
  <w:num w:numId="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22"/>
  </w:num>
  <w:num w:numId="24">
    <w:abstractNumId w:val="34"/>
  </w:num>
  <w:num w:numId="25">
    <w:abstractNumId w:val="10"/>
  </w:num>
  <w:num w:numId="26">
    <w:abstractNumId w:val="11"/>
  </w:num>
  <w:num w:numId="27">
    <w:abstractNumId w:val="12"/>
  </w:num>
  <w:num w:numId="28">
    <w:abstractNumId w:val="13"/>
  </w:num>
  <w:num w:numId="29">
    <w:abstractNumId w:val="14"/>
  </w:num>
  <w:num w:numId="30">
    <w:abstractNumId w:val="15"/>
  </w:num>
  <w:num w:numId="31">
    <w:abstractNumId w:val="16"/>
  </w:num>
  <w:num w:numId="32">
    <w:abstractNumId w:val="17"/>
  </w:num>
  <w:num w:numId="33">
    <w:abstractNumId w:val="19"/>
  </w:num>
  <w:num w:numId="34">
    <w:abstractNumId w:val="18"/>
  </w:num>
  <w:num w:numId="35">
    <w:abstractNumId w:val="25"/>
  </w:num>
  <w:num w:numId="36">
    <w:abstractNumId w:val="24"/>
  </w:num>
  <w:num w:numId="37">
    <w:abstractNumId w:val="31"/>
  </w:num>
  <w:num w:numId="38">
    <w:abstractNumId w:val="27"/>
  </w:num>
  <w:num w:numId="39">
    <w:abstractNumId w:val="29"/>
  </w:num>
  <w:num w:numId="40">
    <w:abstractNumId w:val="32"/>
  </w:num>
  <w:num w:numId="4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995"/>
    <w:rsid w:val="0000709E"/>
    <w:rsid w:val="000168D2"/>
    <w:rsid w:val="00034533"/>
    <w:rsid w:val="00074ECB"/>
    <w:rsid w:val="00086B00"/>
    <w:rsid w:val="00094C8D"/>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0532B"/>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65A38"/>
    <w:rsid w:val="006874BA"/>
    <w:rsid w:val="006909CF"/>
    <w:rsid w:val="00693FF3"/>
    <w:rsid w:val="006A303A"/>
    <w:rsid w:val="006D5C83"/>
    <w:rsid w:val="006E2A0E"/>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67DFC"/>
    <w:rsid w:val="00B71725"/>
    <w:rsid w:val="00BA2385"/>
    <w:rsid w:val="00BD753C"/>
    <w:rsid w:val="00BF1117"/>
    <w:rsid w:val="00C13704"/>
    <w:rsid w:val="00C26995"/>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74EF3"/>
    <w:rsid w:val="00D9277A"/>
    <w:rsid w:val="00DA7390"/>
    <w:rsid w:val="00DC37A3"/>
    <w:rsid w:val="00DD41D0"/>
    <w:rsid w:val="00DD54D4"/>
    <w:rsid w:val="00E20AA5"/>
    <w:rsid w:val="00E4648D"/>
    <w:rsid w:val="00E87941"/>
    <w:rsid w:val="00E87F11"/>
    <w:rsid w:val="00ED3E5E"/>
    <w:rsid w:val="00EF0CF6"/>
    <w:rsid w:val="00EF672B"/>
    <w:rsid w:val="00F020CC"/>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A40EF3"/>
  <w15:chartTrackingRefBased/>
  <w15:docId w15:val="{AC66A6B8-5580-46E0-8226-DC9CC12C8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header" w:uiPriority="99"/>
    <w:lsdException w:name="footer" w:uiPriority="99"/>
    <w:lsdException w:name="caption" w:semiHidden="1" w:unhideWhenUsed="1" w:qFormat="1"/>
    <w:lsdException w:name="footnote reference"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303A"/>
    <w:rPr>
      <w:sz w:val="24"/>
      <w:szCs w:val="24"/>
    </w:rPr>
  </w:style>
  <w:style w:type="paragraph" w:styleId="Heading1">
    <w:name w:val="heading 1"/>
    <w:basedOn w:val="Normal"/>
    <w:next w:val="Normal"/>
    <w:link w:val="Heading1Char1"/>
    <w:uiPriority w:val="9"/>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link w:val="Heading2Char"/>
    <w:uiPriority w:val="9"/>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link w:val="Heading3Char"/>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link w:val="Heading4Char"/>
    <w:uiPriority w:val="9"/>
    <w:qFormat/>
    <w:rsid w:val="006A303A"/>
    <w:pPr>
      <w:spacing w:before="200"/>
      <w:outlineLvl w:val="3"/>
    </w:pPr>
    <w:rPr>
      <w:rFonts w:ascii="Cambria" w:eastAsia="MS Mincho" w:hAnsi="Cambria" w:cs="Cambria"/>
      <w:b/>
      <w:bCs/>
      <w:i/>
      <w:iCs/>
    </w:rPr>
  </w:style>
  <w:style w:type="paragraph" w:styleId="Heading5">
    <w:name w:val="heading 5"/>
    <w:basedOn w:val="Normal"/>
    <w:next w:val="Normal"/>
    <w:link w:val="Heading5Char"/>
    <w:uiPriority w:val="9"/>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link w:val="Heading6Char"/>
    <w:uiPriority w:val="9"/>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link w:val="Heading7Char"/>
    <w:uiPriority w:val="9"/>
    <w:qFormat/>
    <w:rsid w:val="006A303A"/>
    <w:pPr>
      <w:outlineLvl w:val="6"/>
    </w:pPr>
    <w:rPr>
      <w:rFonts w:ascii="Cambria" w:eastAsia="MS Mincho" w:hAnsi="Cambria" w:cs="Cambria"/>
      <w:i/>
      <w:iCs/>
    </w:rPr>
  </w:style>
  <w:style w:type="paragraph" w:styleId="Heading8">
    <w:name w:val="heading 8"/>
    <w:basedOn w:val="Normal"/>
    <w:next w:val="Normal"/>
    <w:link w:val="Heading8Char"/>
    <w:uiPriority w:val="9"/>
    <w:qFormat/>
    <w:rsid w:val="006A303A"/>
    <w:pPr>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link w:val="AktiChar"/>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uiPriority w:val="99"/>
    <w:rsid w:val="006A303A"/>
  </w:style>
  <w:style w:type="paragraph" w:customStyle="1" w:styleId="Autoriteti">
    <w:name w:val="Autoriteti"/>
    <w:next w:val="Normal"/>
    <w:link w:val="AutoritetiChar"/>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link w:val="BalloonTextChar1"/>
    <w:uiPriority w:val="99"/>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link w:val="BodyTextChar"/>
    <w:rsid w:val="006A303A"/>
    <w:pPr>
      <w:spacing w:after="120"/>
    </w:pPr>
    <w:rPr>
      <w:rFonts w:eastAsia="MS Mincho"/>
    </w:rPr>
  </w:style>
  <w:style w:type="character" w:customStyle="1" w:styleId="BookTitle1">
    <w:name w:val="Book Title1"/>
    <w:uiPriority w:val="99"/>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uiPriority w:val="99"/>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uiPriority w:val="99"/>
    <w:rsid w:val="006A303A"/>
    <w:pPr>
      <w:spacing w:before="100" w:beforeAutospacing="1" w:after="100" w:afterAutospacing="1"/>
    </w:pPr>
    <w:rPr>
      <w:rFonts w:eastAsia="MS Mincho"/>
      <w:lang w:val="it-IT" w:eastAsia="it-IT"/>
    </w:rPr>
  </w:style>
  <w:style w:type="character" w:styleId="Emphasis">
    <w:name w:val="Emphasis"/>
    <w:basedOn w:val="DefaultParagraphFont"/>
    <w:uiPriority w:val="20"/>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uiPriority w:val="99"/>
    <w:rsid w:val="006A303A"/>
    <w:rPr>
      <w:color w:val="800080"/>
      <w:u w:val="single"/>
    </w:rPr>
  </w:style>
  <w:style w:type="paragraph" w:styleId="Footer">
    <w:name w:val="footer"/>
    <w:basedOn w:val="Normal"/>
    <w:link w:val="FooterChar1"/>
    <w:uiPriority w:val="99"/>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uiPriority w:val="99"/>
    <w:semiHidden/>
    <w:rsid w:val="006A303A"/>
    <w:rPr>
      <w:vertAlign w:val="superscript"/>
    </w:rPr>
  </w:style>
  <w:style w:type="paragraph" w:styleId="FootnoteText">
    <w:name w:val="footnote text"/>
    <w:basedOn w:val="Normal"/>
    <w:link w:val="FootnoteTextChar"/>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link w:val="HeaderChar"/>
    <w:uiPriority w:val="99"/>
    <w:rsid w:val="006A303A"/>
    <w:pPr>
      <w:tabs>
        <w:tab w:val="center" w:pos="4680"/>
        <w:tab w:val="right" w:pos="9360"/>
      </w:tabs>
    </w:pPr>
    <w:rPr>
      <w:rFonts w:eastAsia="MS Mincho"/>
    </w:rPr>
  </w:style>
  <w:style w:type="paragraph" w:customStyle="1" w:styleId="Heading1Left0cm">
    <w:name w:val="Heading 1 + Left:  0 cm"/>
    <w:aliases w:val="First line:  0 cm"/>
    <w:basedOn w:val="Heading1"/>
    <w:uiPriority w:val="99"/>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uiPriority w:val="99"/>
    <w:rsid w:val="006A303A"/>
  </w:style>
  <w:style w:type="character" w:styleId="Hyperlink">
    <w:name w:val="Hyperlink"/>
    <w:uiPriority w:val="99"/>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uiPriority w:val="99"/>
    <w:rsid w:val="006A303A"/>
    <w:rPr>
      <w:b/>
      <w:bCs/>
    </w:rPr>
  </w:style>
  <w:style w:type="character" w:customStyle="1" w:styleId="IntenseReference1">
    <w:name w:val="Intense Reference1"/>
    <w:uiPriority w:val="99"/>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uiPriority w:val="34"/>
    <w:qFormat/>
    <w:rsid w:val="006A303A"/>
    <w:pPr>
      <w:ind w:left="720"/>
      <w:contextualSpacing/>
    </w:pPr>
    <w:rPr>
      <w:lang w:val="sq-AL" w:eastAsia="sq-AL"/>
    </w:rPr>
  </w:style>
  <w:style w:type="character" w:customStyle="1" w:styleId="longtext">
    <w:name w:val="long_text"/>
    <w:basedOn w:val="DefaultParagraphFont"/>
    <w:uiPriority w:val="99"/>
    <w:rsid w:val="006A303A"/>
  </w:style>
  <w:style w:type="paragraph" w:customStyle="1" w:styleId="MediumGrid1-Accent21">
    <w:name w:val="Medium Grid 1 - Accent 21"/>
    <w:basedOn w:val="Normal"/>
    <w:uiPriority w:val="99"/>
    <w:rsid w:val="006A303A"/>
    <w:pPr>
      <w:ind w:left="720"/>
    </w:pPr>
    <w:rPr>
      <w:rFonts w:eastAsia="MS Mincho"/>
      <w:sz w:val="20"/>
      <w:szCs w:val="20"/>
    </w:rPr>
  </w:style>
  <w:style w:type="paragraph" w:customStyle="1" w:styleId="MediumGrid2-Accent21">
    <w:name w:val="Medium Grid 2 - Accent 21"/>
    <w:basedOn w:val="Normal"/>
    <w:next w:val="Normal"/>
    <w:link w:val="MediumGrid2-Accent2Char"/>
    <w:uiPriority w:val="99"/>
    <w:rsid w:val="006A303A"/>
    <w:pPr>
      <w:spacing w:before="200"/>
      <w:ind w:left="360" w:right="360"/>
    </w:pPr>
    <w:rPr>
      <w:rFonts w:eastAsia="MS Mincho"/>
      <w:i/>
      <w:iCs/>
    </w:rPr>
  </w:style>
  <w:style w:type="paragraph" w:customStyle="1" w:styleId="MediumGrid3-Accent21">
    <w:name w:val="Medium Grid 3 - Accent 21"/>
    <w:basedOn w:val="Normal"/>
    <w:next w:val="Normal"/>
    <w:link w:val="MediumGrid3-Accent2Char"/>
    <w:uiPriority w:val="99"/>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uiPriority w:val="99"/>
    <w:rsid w:val="006A303A"/>
    <w:rPr>
      <w:sz w:val="17"/>
      <w:szCs w:val="17"/>
    </w:rPr>
  </w:style>
  <w:style w:type="paragraph" w:customStyle="1" w:styleId="msolistparagraphcxsplast">
    <w:name w:val="msolistparagraphcxsplast"/>
    <w:basedOn w:val="Normal"/>
    <w:uiPriority w:val="99"/>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uiPriority w:val="99"/>
    <w:rsid w:val="006A303A"/>
    <w:rPr>
      <w:rFonts w:eastAsia="MS Mincho"/>
    </w:rPr>
  </w:style>
  <w:style w:type="paragraph" w:styleId="NormalWeb">
    <w:name w:val="Normal (Web)"/>
    <w:basedOn w:val="Normal"/>
    <w:uiPriority w:val="99"/>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uiPriority w:val="99"/>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uiPriority w:val="22"/>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uiPriority w:val="99"/>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link w:val="SubtitleChar"/>
    <w:uiPriority w:val="11"/>
    <w:qFormat/>
    <w:rsid w:val="006A303A"/>
    <w:pPr>
      <w:spacing w:after="600"/>
    </w:pPr>
    <w:rPr>
      <w:rFonts w:ascii="Cambria" w:hAnsi="Cambria" w:cs="Cambria"/>
      <w:i/>
      <w:iCs/>
      <w:spacing w:val="13"/>
    </w:rPr>
  </w:style>
  <w:style w:type="character" w:customStyle="1" w:styleId="SubtleEmphasis1">
    <w:name w:val="Subtle Emphasis1"/>
    <w:uiPriority w:val="99"/>
    <w:rsid w:val="006A303A"/>
    <w:rPr>
      <w:i/>
      <w:iCs/>
    </w:rPr>
  </w:style>
  <w:style w:type="character" w:customStyle="1" w:styleId="SubtleReference1">
    <w:name w:val="Subtle Reference1"/>
    <w:uiPriority w:val="99"/>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link w:val="TableTitleChar"/>
    <w:uiPriority w:val="99"/>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link w:val="TitleChar"/>
    <w:uiPriority w:val="10"/>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link w:val="TitulliTitullChar"/>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uiPriority w:val="99"/>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uiPriority w:val="99"/>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uiPriority w:val="99"/>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uiPriority w:val="99"/>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uiPriority w:val="99"/>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uiPriority w:val="99"/>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uiPriority w:val="99"/>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6A303A"/>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uiPriority w:val="99"/>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uiPriority w:val="99"/>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uiPriority w:val="99"/>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uiPriority w:val="99"/>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uiPriority w:val="99"/>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uiPriority w:val="99"/>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uiPriority w:val="99"/>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uiPriority w:val="99"/>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uiPriority w:val="99"/>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uiPriority w:val="99"/>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uiPriority w:val="99"/>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uiPriority w:val="99"/>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uiPriority w:val="99"/>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TitulliChar">
    <w:name w:val="Titulli Char"/>
    <w:basedOn w:val="DefaultParagraphFont"/>
    <w:link w:val="Titulli"/>
    <w:rsid w:val="00C26995"/>
    <w:rPr>
      <w:rFonts w:ascii="CG Times" w:eastAsia="MS Mincho" w:hAnsi="CG Times" w:cs="CG Times"/>
      <w:b/>
      <w:bCs/>
      <w:caps/>
      <w:sz w:val="22"/>
      <w:szCs w:val="22"/>
      <w:lang w:val="en-GB" w:eastAsia="en-US" w:bidi="ar-SA"/>
    </w:rPr>
  </w:style>
  <w:style w:type="character" w:customStyle="1" w:styleId="ParagrafiChar">
    <w:name w:val="Paragrafi Char"/>
    <w:link w:val="Paragrafi"/>
    <w:rsid w:val="00C26995"/>
    <w:rPr>
      <w:rFonts w:ascii="CG Times" w:eastAsia="MS Mincho" w:hAnsi="CG Times" w:cs="CG Times"/>
      <w:sz w:val="22"/>
      <w:szCs w:val="22"/>
      <w:lang w:val="en-US" w:eastAsia="en-US" w:bidi="ar-SA"/>
    </w:rPr>
  </w:style>
  <w:style w:type="paragraph" w:customStyle="1" w:styleId="Char0">
    <w:name w:val="Char"/>
    <w:basedOn w:val="Normal"/>
    <w:rsid w:val="00C26995"/>
    <w:pPr>
      <w:spacing w:after="160" w:line="240" w:lineRule="exact"/>
    </w:pPr>
    <w:rPr>
      <w:rFonts w:ascii="Tahoma" w:eastAsia="MS Mincho" w:hAnsi="Tahoma"/>
      <w:sz w:val="20"/>
      <w:szCs w:val="20"/>
      <w:lang w:val="en-GB"/>
    </w:rPr>
  </w:style>
  <w:style w:type="character" w:customStyle="1" w:styleId="AktiChar">
    <w:name w:val="Akti Char"/>
    <w:basedOn w:val="DefaultParagraphFont"/>
    <w:link w:val="Akti"/>
    <w:rsid w:val="00C26995"/>
    <w:rPr>
      <w:rFonts w:ascii="CG Times" w:eastAsia="MS Mincho" w:hAnsi="CG Times" w:cs="CG Times"/>
      <w:b/>
      <w:bCs/>
      <w:caps/>
      <w:color w:val="000000"/>
      <w:sz w:val="22"/>
      <w:szCs w:val="22"/>
      <w:lang w:val="en-GB" w:eastAsia="en-US" w:bidi="ar-SA"/>
    </w:rPr>
  </w:style>
  <w:style w:type="numbering" w:customStyle="1" w:styleId="NoList1">
    <w:name w:val="No List1"/>
    <w:next w:val="NoList"/>
    <w:uiPriority w:val="99"/>
    <w:semiHidden/>
    <w:unhideWhenUsed/>
    <w:rsid w:val="00F020CC"/>
  </w:style>
  <w:style w:type="character" w:customStyle="1" w:styleId="Heading1Char1">
    <w:name w:val="Heading 1 Char1"/>
    <w:basedOn w:val="DefaultParagraphFont"/>
    <w:link w:val="Heading1"/>
    <w:uiPriority w:val="9"/>
    <w:rsid w:val="00F020CC"/>
    <w:rPr>
      <w:rFonts w:ascii="Arial" w:eastAsia="MS Mincho" w:hAnsi="Arial" w:cs="Arial"/>
      <w:b/>
      <w:bCs/>
      <w:kern w:val="32"/>
      <w:sz w:val="32"/>
      <w:szCs w:val="32"/>
    </w:rPr>
  </w:style>
  <w:style w:type="character" w:customStyle="1" w:styleId="Heading2Char">
    <w:name w:val="Heading 2 Char"/>
    <w:basedOn w:val="DefaultParagraphFont"/>
    <w:link w:val="Heading2"/>
    <w:uiPriority w:val="9"/>
    <w:rsid w:val="00F020CC"/>
    <w:rPr>
      <w:rFonts w:ascii="Cambria" w:eastAsia="MS Mincho" w:hAnsi="Cambria" w:cs="Cambria"/>
      <w:b/>
      <w:bCs/>
      <w:sz w:val="26"/>
      <w:szCs w:val="26"/>
    </w:rPr>
  </w:style>
  <w:style w:type="character" w:customStyle="1" w:styleId="Heading3Char">
    <w:name w:val="Heading 3 Char"/>
    <w:basedOn w:val="DefaultParagraphFont"/>
    <w:link w:val="Heading3"/>
    <w:rsid w:val="00F020CC"/>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F020CC"/>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F020CC"/>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F020CC"/>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F020CC"/>
    <w:rPr>
      <w:rFonts w:ascii="Cambria" w:eastAsia="MS Mincho" w:hAnsi="Cambria" w:cs="Cambria"/>
      <w:i/>
      <w:iCs/>
      <w:sz w:val="24"/>
      <w:szCs w:val="24"/>
    </w:rPr>
  </w:style>
  <w:style w:type="character" w:customStyle="1" w:styleId="Heading8Char">
    <w:name w:val="Heading 8 Char"/>
    <w:basedOn w:val="DefaultParagraphFont"/>
    <w:link w:val="Heading8"/>
    <w:uiPriority w:val="9"/>
    <w:rsid w:val="00F020CC"/>
    <w:rPr>
      <w:rFonts w:ascii="Cambria" w:eastAsia="MS Mincho" w:hAnsi="Cambria" w:cs="Cambria"/>
    </w:rPr>
  </w:style>
  <w:style w:type="character" w:customStyle="1" w:styleId="Heading9Char">
    <w:name w:val="Heading 9 Char"/>
    <w:basedOn w:val="DefaultParagraphFont"/>
    <w:link w:val="Heading9"/>
    <w:uiPriority w:val="9"/>
    <w:rsid w:val="00F020CC"/>
    <w:rPr>
      <w:rFonts w:ascii="Cambria" w:eastAsia="MS Mincho" w:hAnsi="Cambria" w:cs="Cambria"/>
      <w:i/>
      <w:iCs/>
      <w:spacing w:val="5"/>
    </w:rPr>
  </w:style>
  <w:style w:type="character" w:customStyle="1" w:styleId="BodyTextChar">
    <w:name w:val="Body Text Char"/>
    <w:basedOn w:val="DefaultParagraphFont"/>
    <w:link w:val="BodyText"/>
    <w:rsid w:val="00F020CC"/>
    <w:rPr>
      <w:rFonts w:eastAsia="MS Mincho"/>
      <w:sz w:val="24"/>
      <w:szCs w:val="24"/>
    </w:rPr>
  </w:style>
  <w:style w:type="character" w:customStyle="1" w:styleId="FooterChar1">
    <w:name w:val="Footer Char1"/>
    <w:basedOn w:val="DefaultParagraphFont"/>
    <w:link w:val="Footer"/>
    <w:rsid w:val="00F020CC"/>
    <w:rPr>
      <w:rFonts w:eastAsia="MS Mincho"/>
      <w:sz w:val="24"/>
      <w:szCs w:val="24"/>
    </w:rPr>
  </w:style>
  <w:style w:type="character" w:customStyle="1" w:styleId="Heading2Char1">
    <w:name w:val="Heading 2 Char1"/>
    <w:basedOn w:val="DefaultParagraphFont"/>
    <w:uiPriority w:val="9"/>
    <w:rsid w:val="00F020CC"/>
    <w:rPr>
      <w:rFonts w:ascii="Cambria" w:eastAsia="Times New Roman" w:hAnsi="Cambria" w:cs="Times New Roman"/>
      <w:b/>
      <w:bCs/>
      <w:color w:val="4F81BD"/>
      <w:sz w:val="26"/>
      <w:szCs w:val="26"/>
    </w:rPr>
  </w:style>
  <w:style w:type="character" w:customStyle="1" w:styleId="Heading3Char1">
    <w:name w:val="Heading 3 Char1"/>
    <w:basedOn w:val="DefaultParagraphFont"/>
    <w:rsid w:val="00F020CC"/>
    <w:rPr>
      <w:rFonts w:ascii="Cambria" w:eastAsia="Times New Roman" w:hAnsi="Cambria" w:cs="Times New Roman"/>
      <w:b/>
      <w:bCs/>
      <w:color w:val="4F81BD"/>
    </w:rPr>
  </w:style>
  <w:style w:type="character" w:customStyle="1" w:styleId="TitleChar">
    <w:name w:val="Title Char"/>
    <w:basedOn w:val="DefaultParagraphFont"/>
    <w:link w:val="Title"/>
    <w:uiPriority w:val="10"/>
    <w:rsid w:val="00F020CC"/>
    <w:rPr>
      <w:rFonts w:ascii="Cambria" w:hAnsi="Cambria" w:cs="Cambria"/>
      <w:spacing w:val="5"/>
      <w:sz w:val="52"/>
      <w:szCs w:val="52"/>
    </w:rPr>
  </w:style>
  <w:style w:type="character" w:customStyle="1" w:styleId="SubtitleChar">
    <w:name w:val="Subtitle Char"/>
    <w:basedOn w:val="DefaultParagraphFont"/>
    <w:link w:val="Subtitle"/>
    <w:uiPriority w:val="11"/>
    <w:rsid w:val="00F020CC"/>
    <w:rPr>
      <w:rFonts w:ascii="Cambria" w:hAnsi="Cambria" w:cs="Cambria"/>
      <w:i/>
      <w:iCs/>
      <w:spacing w:val="13"/>
      <w:sz w:val="24"/>
      <w:szCs w:val="24"/>
    </w:rPr>
  </w:style>
  <w:style w:type="paragraph" w:styleId="NoSpacing">
    <w:name w:val="No Spacing"/>
    <w:basedOn w:val="Normal"/>
    <w:uiPriority w:val="1"/>
    <w:qFormat/>
    <w:rsid w:val="00F020CC"/>
    <w:rPr>
      <w:rFonts w:ascii="Calibri" w:eastAsia="MS Mincho" w:hAnsi="Calibri"/>
      <w:sz w:val="22"/>
      <w:szCs w:val="22"/>
      <w:lang w:bidi="en-US"/>
    </w:rPr>
  </w:style>
  <w:style w:type="paragraph" w:styleId="Quote">
    <w:name w:val="Quote"/>
    <w:basedOn w:val="Normal"/>
    <w:next w:val="Normal"/>
    <w:link w:val="QuoteChar"/>
    <w:uiPriority w:val="29"/>
    <w:qFormat/>
    <w:rsid w:val="00F020CC"/>
    <w:pPr>
      <w:spacing w:before="200"/>
      <w:ind w:left="360" w:right="360"/>
    </w:pPr>
    <w:rPr>
      <w:rFonts w:ascii="Calibri" w:eastAsia="MS Mincho" w:hAnsi="Calibri"/>
      <w:i/>
      <w:iCs/>
      <w:sz w:val="22"/>
      <w:szCs w:val="22"/>
      <w:lang w:bidi="en-US"/>
    </w:rPr>
  </w:style>
  <w:style w:type="character" w:customStyle="1" w:styleId="QuoteChar">
    <w:name w:val="Quote Char"/>
    <w:basedOn w:val="DefaultParagraphFont"/>
    <w:link w:val="Quote"/>
    <w:uiPriority w:val="29"/>
    <w:rsid w:val="00F020CC"/>
    <w:rPr>
      <w:rFonts w:ascii="Calibri" w:eastAsia="MS Mincho" w:hAnsi="Calibri"/>
      <w:i/>
      <w:iCs/>
      <w:sz w:val="22"/>
      <w:szCs w:val="22"/>
      <w:lang w:bidi="en-US"/>
    </w:rPr>
  </w:style>
  <w:style w:type="paragraph" w:styleId="IntenseQuote">
    <w:name w:val="Intense Quote"/>
    <w:basedOn w:val="Normal"/>
    <w:next w:val="Normal"/>
    <w:link w:val="IntenseQuoteChar"/>
    <w:uiPriority w:val="30"/>
    <w:qFormat/>
    <w:rsid w:val="00F020CC"/>
    <w:pPr>
      <w:pBdr>
        <w:bottom w:val="single" w:sz="4" w:space="1" w:color="auto"/>
      </w:pBdr>
      <w:spacing w:before="200" w:after="280"/>
      <w:ind w:left="1008" w:right="1152"/>
      <w:jc w:val="both"/>
    </w:pPr>
    <w:rPr>
      <w:rFonts w:ascii="Calibri" w:eastAsia="MS Mincho" w:hAnsi="Calibri"/>
      <w:b/>
      <w:bCs/>
      <w:i/>
      <w:iCs/>
      <w:sz w:val="22"/>
      <w:szCs w:val="22"/>
      <w:lang w:bidi="en-US"/>
    </w:rPr>
  </w:style>
  <w:style w:type="character" w:customStyle="1" w:styleId="IntenseQuoteChar">
    <w:name w:val="Intense Quote Char"/>
    <w:basedOn w:val="DefaultParagraphFont"/>
    <w:link w:val="IntenseQuote"/>
    <w:uiPriority w:val="30"/>
    <w:rsid w:val="00F020CC"/>
    <w:rPr>
      <w:rFonts w:ascii="Calibri" w:eastAsia="MS Mincho" w:hAnsi="Calibri"/>
      <w:b/>
      <w:bCs/>
      <w:i/>
      <w:iCs/>
      <w:sz w:val="22"/>
      <w:szCs w:val="22"/>
      <w:lang w:bidi="en-US"/>
    </w:rPr>
  </w:style>
  <w:style w:type="character" w:styleId="SubtleEmphasis">
    <w:name w:val="Subtle Emphasis"/>
    <w:uiPriority w:val="19"/>
    <w:qFormat/>
    <w:rsid w:val="00F020CC"/>
    <w:rPr>
      <w:i/>
      <w:iCs/>
    </w:rPr>
  </w:style>
  <w:style w:type="character" w:styleId="IntenseEmphasis">
    <w:name w:val="Intense Emphasis"/>
    <w:uiPriority w:val="21"/>
    <w:qFormat/>
    <w:rsid w:val="00F020CC"/>
    <w:rPr>
      <w:b/>
      <w:bCs/>
    </w:rPr>
  </w:style>
  <w:style w:type="character" w:styleId="SubtleReference">
    <w:name w:val="Subtle Reference"/>
    <w:uiPriority w:val="31"/>
    <w:qFormat/>
    <w:rsid w:val="00F020CC"/>
    <w:rPr>
      <w:smallCaps/>
    </w:rPr>
  </w:style>
  <w:style w:type="character" w:styleId="IntenseReference">
    <w:name w:val="Intense Reference"/>
    <w:uiPriority w:val="32"/>
    <w:qFormat/>
    <w:rsid w:val="00F020CC"/>
    <w:rPr>
      <w:smallCaps/>
      <w:spacing w:val="5"/>
      <w:u w:val="single"/>
    </w:rPr>
  </w:style>
  <w:style w:type="character" w:styleId="BookTitle">
    <w:name w:val="Book Title"/>
    <w:uiPriority w:val="33"/>
    <w:qFormat/>
    <w:rsid w:val="00F020CC"/>
    <w:rPr>
      <w:i/>
      <w:iCs/>
      <w:smallCaps/>
      <w:spacing w:val="5"/>
    </w:rPr>
  </w:style>
  <w:style w:type="paragraph" w:styleId="TOCHeading">
    <w:name w:val="TOC Heading"/>
    <w:basedOn w:val="Heading1"/>
    <w:next w:val="Normal"/>
    <w:uiPriority w:val="39"/>
    <w:qFormat/>
    <w:rsid w:val="00F020CC"/>
    <w:pPr>
      <w:keepNext w:val="0"/>
      <w:spacing w:before="480" w:after="0"/>
      <w:contextualSpacing/>
      <w:outlineLvl w:val="9"/>
    </w:pPr>
    <w:rPr>
      <w:rFonts w:ascii="Cambria" w:eastAsia="Times New Roman" w:hAnsi="Cambria" w:cs="Times New Roman"/>
      <w:kern w:val="0"/>
      <w:sz w:val="28"/>
      <w:szCs w:val="28"/>
      <w:lang w:bidi="en-US"/>
    </w:rPr>
  </w:style>
  <w:style w:type="character" w:customStyle="1" w:styleId="BalloonTextChar1">
    <w:name w:val="Balloon Text Char1"/>
    <w:basedOn w:val="DefaultParagraphFont"/>
    <w:link w:val="BalloonText"/>
    <w:uiPriority w:val="99"/>
    <w:semiHidden/>
    <w:rsid w:val="00F020CC"/>
    <w:rPr>
      <w:rFonts w:ascii="Lucida Grande" w:eastAsia="MS Mincho" w:hAnsi="Lucida Grande" w:cs="Lucida Grande"/>
      <w:sz w:val="18"/>
      <w:szCs w:val="18"/>
    </w:rPr>
  </w:style>
  <w:style w:type="table" w:customStyle="1" w:styleId="TableGrid1">
    <w:name w:val="Table Grid1"/>
    <w:basedOn w:val="TableNormal"/>
    <w:next w:val="TableGrid"/>
    <w:rsid w:val="00F020CC"/>
    <w:rPr>
      <w:rFonts w:ascii="Calibri" w:eastAsia="MS Mincho"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F020CC"/>
    <w:rPr>
      <w:rFonts w:eastAsia="MS Mincho"/>
      <w:sz w:val="24"/>
      <w:szCs w:val="24"/>
    </w:rPr>
  </w:style>
  <w:style w:type="paragraph" w:styleId="NoteHeading">
    <w:name w:val="Note Heading"/>
    <w:basedOn w:val="Normal"/>
    <w:next w:val="Normal"/>
    <w:link w:val="NoteHeadingChar"/>
    <w:rsid w:val="00F020CC"/>
    <w:rPr>
      <w:rFonts w:ascii="Calibri" w:eastAsia="MS Mincho" w:hAnsi="Calibri"/>
      <w:sz w:val="22"/>
      <w:szCs w:val="22"/>
      <w:lang w:bidi="en-US"/>
    </w:rPr>
  </w:style>
  <w:style w:type="character" w:customStyle="1" w:styleId="NoteHeadingChar">
    <w:name w:val="Note Heading Char"/>
    <w:basedOn w:val="DefaultParagraphFont"/>
    <w:link w:val="NoteHeading"/>
    <w:rsid w:val="00F020CC"/>
    <w:rPr>
      <w:rFonts w:ascii="Calibri" w:eastAsia="MS Mincho" w:hAnsi="Calibri"/>
      <w:sz w:val="22"/>
      <w:szCs w:val="22"/>
      <w:lang w:bidi="en-US"/>
    </w:rPr>
  </w:style>
  <w:style w:type="paragraph" w:styleId="BodyText3">
    <w:name w:val="Body Text 3"/>
    <w:basedOn w:val="Normal"/>
    <w:link w:val="BodyText3Char"/>
    <w:rsid w:val="00F020CC"/>
    <w:pPr>
      <w:spacing w:after="120"/>
    </w:pPr>
    <w:rPr>
      <w:rFonts w:ascii="Calibri" w:eastAsia="MS Mincho" w:hAnsi="Calibri"/>
      <w:sz w:val="16"/>
      <w:szCs w:val="16"/>
      <w:lang w:bidi="en-US"/>
    </w:rPr>
  </w:style>
  <w:style w:type="character" w:customStyle="1" w:styleId="BodyText3Char">
    <w:name w:val="Body Text 3 Char"/>
    <w:basedOn w:val="DefaultParagraphFont"/>
    <w:link w:val="BodyText3"/>
    <w:rsid w:val="00F020CC"/>
    <w:rPr>
      <w:rFonts w:ascii="Calibri" w:eastAsia="MS Mincho" w:hAnsi="Calibri"/>
      <w:sz w:val="16"/>
      <w:szCs w:val="16"/>
      <w:lang w:bidi="en-US"/>
    </w:rPr>
  </w:style>
  <w:style w:type="paragraph" w:customStyle="1" w:styleId="paragrafi0">
    <w:name w:val="paragrafi"/>
    <w:basedOn w:val="Normal"/>
    <w:rsid w:val="00F020CC"/>
    <w:pPr>
      <w:spacing w:before="100" w:beforeAutospacing="1" w:after="100" w:afterAutospacing="1"/>
    </w:pPr>
  </w:style>
  <w:style w:type="paragraph" w:customStyle="1" w:styleId="msolistparagraph0">
    <w:name w:val="msolistparagraph"/>
    <w:basedOn w:val="Normal"/>
    <w:rsid w:val="00F020CC"/>
    <w:pPr>
      <w:spacing w:before="100" w:beforeAutospacing="1" w:after="100" w:afterAutospacing="1"/>
    </w:pPr>
  </w:style>
  <w:style w:type="paragraph" w:styleId="BodyText2">
    <w:name w:val="Body Text 2"/>
    <w:basedOn w:val="Normal"/>
    <w:link w:val="BodyText2Char"/>
    <w:rsid w:val="00F020CC"/>
    <w:pPr>
      <w:spacing w:after="120" w:line="480" w:lineRule="auto"/>
    </w:pPr>
    <w:rPr>
      <w:rFonts w:ascii="Calibri" w:eastAsia="MS Mincho" w:hAnsi="Calibri"/>
      <w:sz w:val="22"/>
      <w:szCs w:val="22"/>
      <w:lang w:bidi="en-US"/>
    </w:rPr>
  </w:style>
  <w:style w:type="character" w:customStyle="1" w:styleId="BodyText2Char">
    <w:name w:val="Body Text 2 Char"/>
    <w:basedOn w:val="DefaultParagraphFont"/>
    <w:link w:val="BodyText2"/>
    <w:rsid w:val="00F020CC"/>
    <w:rPr>
      <w:rFonts w:ascii="Calibri" w:eastAsia="MS Mincho" w:hAnsi="Calibri"/>
      <w:sz w:val="22"/>
      <w:szCs w:val="22"/>
      <w:lang w:bidi="en-US"/>
    </w:rPr>
  </w:style>
  <w:style w:type="character" w:customStyle="1" w:styleId="Heading1Char">
    <w:name w:val="Heading 1 Char"/>
    <w:basedOn w:val="DefaultParagraphFont"/>
    <w:uiPriority w:val="9"/>
    <w:locked/>
    <w:rsid w:val="00F020CC"/>
    <w:rPr>
      <w:rFonts w:ascii="Cambria" w:hAnsi="Cambria" w:cs="Times New Roman"/>
      <w:b/>
      <w:bCs/>
      <w:color w:val="365F91"/>
      <w:sz w:val="28"/>
      <w:szCs w:val="28"/>
      <w:lang w:val="fr-FR" w:eastAsia="x-none"/>
    </w:rPr>
  </w:style>
  <w:style w:type="paragraph" w:customStyle="1" w:styleId="FreeFormA">
    <w:name w:val="Free Form A"/>
    <w:autoRedefine/>
    <w:rsid w:val="00F020CC"/>
    <w:rPr>
      <w:rFonts w:ascii="Calibri" w:eastAsia="ヒラギノ角ゴ Pro W3" w:hAnsi="Calibri"/>
      <w:color w:val="000000"/>
    </w:rPr>
  </w:style>
  <w:style w:type="character" w:customStyle="1" w:styleId="FooterChar">
    <w:name w:val="Footer Char"/>
    <w:basedOn w:val="DefaultParagraphFont"/>
    <w:uiPriority w:val="99"/>
    <w:locked/>
    <w:rsid w:val="00F020CC"/>
    <w:rPr>
      <w:rFonts w:eastAsia="ヒラギノ角ゴ Pro W3" w:cs="Times New Roman"/>
      <w:color w:val="000000"/>
      <w:sz w:val="24"/>
      <w:szCs w:val="24"/>
      <w:lang w:val="en-GB" w:eastAsia="en-US" w:bidi="ar-SA"/>
    </w:rPr>
  </w:style>
  <w:style w:type="paragraph" w:customStyle="1" w:styleId="TitleA">
    <w:name w:val="Title A"/>
    <w:rsid w:val="00F020CC"/>
    <w:pPr>
      <w:jc w:val="center"/>
    </w:pPr>
    <w:rPr>
      <w:rFonts w:eastAsia="ヒラギノ角ゴ Pro W3"/>
      <w:b/>
      <w:color w:val="000000"/>
      <w:sz w:val="28"/>
      <w:szCs w:val="24"/>
    </w:rPr>
  </w:style>
  <w:style w:type="paragraph" w:customStyle="1" w:styleId="Standard">
    <w:name w:val="Standard"/>
    <w:rsid w:val="00F020CC"/>
    <w:pPr>
      <w:widowControl w:val="0"/>
      <w:suppressAutoHyphens/>
    </w:pPr>
    <w:rPr>
      <w:rFonts w:eastAsia="ヒラギノ角ゴ Pro W3"/>
      <w:color w:val="000000"/>
      <w:kern w:val="3"/>
      <w:sz w:val="24"/>
      <w:szCs w:val="24"/>
    </w:rPr>
  </w:style>
  <w:style w:type="paragraph" w:customStyle="1" w:styleId="ColorfulList-Accent11">
    <w:name w:val="Colorful List - Accent 11"/>
    <w:qFormat/>
    <w:rsid w:val="00F020CC"/>
    <w:pPr>
      <w:spacing w:after="200"/>
      <w:ind w:left="720"/>
    </w:pPr>
    <w:rPr>
      <w:rFonts w:eastAsia="ヒラギノ角ゴ Pro W3"/>
      <w:color w:val="000000"/>
      <w:sz w:val="24"/>
      <w:szCs w:val="24"/>
      <w:lang w:val="en-GB"/>
    </w:rPr>
  </w:style>
  <w:style w:type="character" w:customStyle="1" w:styleId="BalloonTextChar">
    <w:name w:val="Balloon Text Char"/>
    <w:basedOn w:val="DefaultParagraphFont"/>
    <w:uiPriority w:val="99"/>
    <w:locked/>
    <w:rsid w:val="00F020CC"/>
    <w:rPr>
      <w:rFonts w:ascii="Lucida Grande" w:eastAsia="ヒラギノ角ゴ Pro W3" w:hAnsi="Lucida Grande" w:cs="Times New Roman"/>
      <w:color w:val="000000"/>
      <w:sz w:val="18"/>
      <w:szCs w:val="18"/>
    </w:rPr>
  </w:style>
  <w:style w:type="character" w:styleId="CommentReference">
    <w:name w:val="annotation reference"/>
    <w:basedOn w:val="DefaultParagraphFont"/>
    <w:rsid w:val="00F020CC"/>
    <w:rPr>
      <w:rFonts w:cs="Times New Roman"/>
      <w:sz w:val="18"/>
      <w:szCs w:val="18"/>
    </w:rPr>
  </w:style>
  <w:style w:type="paragraph" w:styleId="CommentText">
    <w:name w:val="annotation text"/>
    <w:basedOn w:val="Normal"/>
    <w:link w:val="CommentTextChar"/>
    <w:rsid w:val="00F020CC"/>
    <w:rPr>
      <w:rFonts w:eastAsia="ヒラギノ角ゴ Pro W3"/>
      <w:color w:val="000000"/>
    </w:rPr>
  </w:style>
  <w:style w:type="character" w:customStyle="1" w:styleId="CommentTextChar">
    <w:name w:val="Comment Text Char"/>
    <w:basedOn w:val="DefaultParagraphFont"/>
    <w:link w:val="CommentText"/>
    <w:rsid w:val="00F020CC"/>
    <w:rPr>
      <w:rFonts w:eastAsia="ヒラギノ角ゴ Pro W3"/>
      <w:color w:val="000000"/>
      <w:sz w:val="24"/>
      <w:szCs w:val="24"/>
    </w:rPr>
  </w:style>
  <w:style w:type="paragraph" w:styleId="CommentSubject">
    <w:name w:val="annotation subject"/>
    <w:basedOn w:val="CommentText"/>
    <w:next w:val="CommentText"/>
    <w:link w:val="CommentSubjectChar"/>
    <w:rsid w:val="00F020CC"/>
    <w:rPr>
      <w:b/>
      <w:bCs/>
      <w:sz w:val="20"/>
      <w:szCs w:val="20"/>
    </w:rPr>
  </w:style>
  <w:style w:type="character" w:customStyle="1" w:styleId="CommentSubjectChar">
    <w:name w:val="Comment Subject Char"/>
    <w:basedOn w:val="CommentTextChar"/>
    <w:link w:val="CommentSubject"/>
    <w:rsid w:val="00F020CC"/>
    <w:rPr>
      <w:rFonts w:eastAsia="ヒラギノ角ゴ Pro W3"/>
      <w:b/>
      <w:bCs/>
      <w:color w:val="000000"/>
      <w:sz w:val="24"/>
      <w:szCs w:val="24"/>
    </w:rPr>
  </w:style>
  <w:style w:type="paragraph" w:customStyle="1" w:styleId="ColorfulList-Accent12">
    <w:name w:val="Colorful List - Accent 12"/>
    <w:qFormat/>
    <w:rsid w:val="00F020CC"/>
    <w:pPr>
      <w:suppressAutoHyphens/>
      <w:spacing w:after="200"/>
      <w:ind w:left="720"/>
    </w:pPr>
    <w:rPr>
      <w:rFonts w:ascii="Cambria" w:eastAsia="ヒラギノ角ゴ Pro W3" w:hAnsi="Cambria"/>
      <w:color w:val="000000"/>
      <w:sz w:val="24"/>
      <w:lang w:val="en-GB"/>
    </w:rPr>
  </w:style>
  <w:style w:type="paragraph" w:customStyle="1" w:styleId="mediumgrid1-accent210">
    <w:name w:val="mediumgrid1-accent21"/>
    <w:basedOn w:val="Normal"/>
    <w:rsid w:val="00F020CC"/>
    <w:pPr>
      <w:spacing w:before="100" w:beforeAutospacing="1" w:after="100" w:afterAutospacing="1"/>
    </w:pPr>
    <w:rPr>
      <w:rFonts w:eastAsia="MS Mincho"/>
    </w:rPr>
  </w:style>
  <w:style w:type="numbering" w:customStyle="1" w:styleId="List19">
    <w:name w:val="List 19"/>
    <w:rsid w:val="00F020CC"/>
    <w:pPr>
      <w:numPr>
        <w:numId w:val="26"/>
      </w:numPr>
    </w:pPr>
  </w:style>
  <w:style w:type="numbering" w:customStyle="1" w:styleId="List21">
    <w:name w:val="List 21"/>
    <w:rsid w:val="00F020CC"/>
    <w:pPr>
      <w:numPr>
        <w:numId w:val="27"/>
      </w:numPr>
    </w:pPr>
  </w:style>
  <w:style w:type="numbering" w:customStyle="1" w:styleId="List23">
    <w:name w:val="List 23"/>
    <w:rsid w:val="00F020CC"/>
    <w:pPr>
      <w:numPr>
        <w:numId w:val="28"/>
      </w:numPr>
    </w:pPr>
  </w:style>
  <w:style w:type="numbering" w:customStyle="1" w:styleId="List22">
    <w:name w:val="List 22"/>
    <w:rsid w:val="00F020CC"/>
    <w:pPr>
      <w:numPr>
        <w:numId w:val="29"/>
      </w:numPr>
    </w:pPr>
  </w:style>
  <w:style w:type="numbering" w:customStyle="1" w:styleId="List64">
    <w:name w:val="List 64"/>
    <w:rsid w:val="00F020CC"/>
    <w:pPr>
      <w:numPr>
        <w:numId w:val="30"/>
      </w:numPr>
    </w:pPr>
  </w:style>
  <w:style w:type="numbering" w:customStyle="1" w:styleId="List65">
    <w:name w:val="List 65"/>
    <w:rsid w:val="00F020CC"/>
    <w:pPr>
      <w:numPr>
        <w:numId w:val="31"/>
      </w:numPr>
    </w:pPr>
  </w:style>
  <w:style w:type="numbering" w:customStyle="1" w:styleId="NoList2">
    <w:name w:val="No List2"/>
    <w:next w:val="NoList"/>
    <w:uiPriority w:val="99"/>
    <w:semiHidden/>
    <w:unhideWhenUsed/>
    <w:rsid w:val="00D74EF3"/>
  </w:style>
  <w:style w:type="character" w:customStyle="1" w:styleId="NumriDataChar">
    <w:name w:val="Numri_Data Char"/>
    <w:basedOn w:val="DefaultParagraphFont"/>
    <w:link w:val="NumriData"/>
    <w:locked/>
    <w:rsid w:val="00D74EF3"/>
    <w:rPr>
      <w:rFonts w:ascii="CG Times" w:eastAsia="MS Mincho" w:hAnsi="CG Times" w:cs="CG Times"/>
      <w:b/>
      <w:bCs/>
      <w:sz w:val="22"/>
      <w:szCs w:val="22"/>
      <w:lang w:val="en-GB"/>
    </w:rPr>
  </w:style>
  <w:style w:type="character" w:customStyle="1" w:styleId="VENDOSIChar">
    <w:name w:val="VENDOSI Char"/>
    <w:basedOn w:val="DefaultParagraphFont"/>
    <w:link w:val="VENDOSI"/>
    <w:locked/>
    <w:rsid w:val="00D74EF3"/>
    <w:rPr>
      <w:rFonts w:ascii="CG Times" w:eastAsia="MS Mincho" w:hAnsi="CG Times" w:cs="CG Times"/>
      <w:caps/>
      <w:sz w:val="22"/>
      <w:szCs w:val="22"/>
      <w:lang w:val="en-GB"/>
    </w:rPr>
  </w:style>
  <w:style w:type="table" w:customStyle="1" w:styleId="TableGrid2">
    <w:name w:val="Table Grid2"/>
    <w:basedOn w:val="TableNormal"/>
    <w:next w:val="TableGrid"/>
    <w:uiPriority w:val="99"/>
    <w:rsid w:val="00D74EF3"/>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diumGrid2-Accent2Char">
    <w:name w:val="Medium Grid 2 - Accent 2 Char"/>
    <w:basedOn w:val="DefaultParagraphFont"/>
    <w:link w:val="MediumGrid2-Accent21"/>
    <w:uiPriority w:val="99"/>
    <w:locked/>
    <w:rsid w:val="00D74EF3"/>
    <w:rPr>
      <w:rFonts w:eastAsia="MS Mincho"/>
      <w:i/>
      <w:iCs/>
      <w:sz w:val="24"/>
      <w:szCs w:val="24"/>
    </w:rPr>
  </w:style>
  <w:style w:type="character" w:customStyle="1" w:styleId="MediumGrid3-Accent2Char">
    <w:name w:val="Medium Grid 3 - Accent 2 Char"/>
    <w:basedOn w:val="DefaultParagraphFont"/>
    <w:link w:val="MediumGrid3-Accent21"/>
    <w:uiPriority w:val="99"/>
    <w:locked/>
    <w:rsid w:val="00D74EF3"/>
    <w:rPr>
      <w:rFonts w:eastAsia="MS Mincho"/>
      <w:b/>
      <w:bCs/>
      <w:i/>
      <w:iCs/>
      <w:sz w:val="24"/>
      <w:szCs w:val="24"/>
    </w:rPr>
  </w:style>
  <w:style w:type="character" w:customStyle="1" w:styleId="FootnoteTextChar">
    <w:name w:val="Footnote Text Char"/>
    <w:basedOn w:val="DefaultParagraphFont"/>
    <w:link w:val="FootnoteText"/>
    <w:rsid w:val="00D74EF3"/>
    <w:rPr>
      <w:rFonts w:eastAsia="MS Mincho"/>
      <w:lang w:val="sq-AL"/>
    </w:rPr>
  </w:style>
  <w:style w:type="character" w:customStyle="1" w:styleId="TableTitleChar">
    <w:name w:val="Table Title Char"/>
    <w:link w:val="TableTitle"/>
    <w:uiPriority w:val="99"/>
    <w:locked/>
    <w:rsid w:val="00D74EF3"/>
    <w:rPr>
      <w:b/>
      <w:bCs/>
      <w:sz w:val="21"/>
      <w:szCs w:val="21"/>
      <w:lang w:val="en-GB" w:eastAsia="x-none"/>
    </w:rPr>
  </w:style>
  <w:style w:type="character" w:customStyle="1" w:styleId="f11">
    <w:name w:val="f11"/>
    <w:basedOn w:val="DefaultParagraphFont"/>
    <w:rsid w:val="00D74EF3"/>
    <w:rPr>
      <w:rFonts w:ascii="Bookman Old Style" w:hAnsi="Bookman Old Style" w:hint="default"/>
      <w:color w:val="000000"/>
      <w:sz w:val="22"/>
      <w:szCs w:val="22"/>
    </w:rPr>
  </w:style>
  <w:style w:type="paragraph" w:customStyle="1" w:styleId="ModelNrmlDouble">
    <w:name w:val="ModelNrmlDouble"/>
    <w:basedOn w:val="Normal"/>
    <w:rsid w:val="00D74EF3"/>
    <w:pPr>
      <w:spacing w:after="360" w:line="480" w:lineRule="auto"/>
      <w:ind w:firstLine="720"/>
      <w:jc w:val="both"/>
    </w:pPr>
    <w:rPr>
      <w:sz w:val="22"/>
      <w:szCs w:val="20"/>
    </w:rPr>
  </w:style>
  <w:style w:type="paragraph" w:customStyle="1" w:styleId="ModelDoubleNoIndent">
    <w:name w:val="ModelDoubleNoIndent"/>
    <w:basedOn w:val="ModelNrmlDouble"/>
    <w:rsid w:val="00D74EF3"/>
    <w:pPr>
      <w:ind w:firstLine="0"/>
    </w:pPr>
    <w:rPr>
      <w:u w:val="single"/>
    </w:rPr>
  </w:style>
  <w:style w:type="paragraph" w:customStyle="1" w:styleId="ModelNrmlSingle">
    <w:name w:val="ModelNrmlSingle"/>
    <w:basedOn w:val="Normal"/>
    <w:rsid w:val="00D74EF3"/>
    <w:pPr>
      <w:spacing w:after="240"/>
      <w:ind w:firstLine="720"/>
      <w:jc w:val="both"/>
    </w:pPr>
    <w:rPr>
      <w:sz w:val="22"/>
      <w:szCs w:val="20"/>
    </w:rPr>
  </w:style>
  <w:style w:type="character" w:customStyle="1" w:styleId="NeniNrChar">
    <w:name w:val="Neni_Nr Char"/>
    <w:basedOn w:val="DefaultParagraphFont"/>
    <w:link w:val="NeniNr"/>
    <w:rsid w:val="00D74EF3"/>
    <w:rPr>
      <w:rFonts w:ascii="CG Times" w:eastAsia="MS Mincho" w:hAnsi="CG Times" w:cs="CG Times"/>
      <w:sz w:val="22"/>
      <w:szCs w:val="22"/>
      <w:lang w:val="en-GB"/>
    </w:rPr>
  </w:style>
  <w:style w:type="character" w:customStyle="1" w:styleId="TitulliTitullChar">
    <w:name w:val="Titulli_Titull Char"/>
    <w:basedOn w:val="DefaultParagraphFont"/>
    <w:link w:val="TitulliTitull"/>
    <w:rsid w:val="00D74EF3"/>
    <w:rPr>
      <w:rFonts w:ascii="CG Times" w:eastAsia="MS Mincho" w:hAnsi="CG Times" w:cs="CG Times"/>
      <w:caps/>
      <w:sz w:val="22"/>
      <w:szCs w:val="22"/>
      <w:lang w:val="en-GB"/>
    </w:rPr>
  </w:style>
  <w:style w:type="paragraph" w:customStyle="1" w:styleId="ecxyiv2026995msonormal">
    <w:name w:val="ecxyiv2026995msonormal"/>
    <w:basedOn w:val="Normal"/>
    <w:rsid w:val="00D74EF3"/>
    <w:pPr>
      <w:spacing w:after="324"/>
    </w:pPr>
  </w:style>
  <w:style w:type="character" w:customStyle="1" w:styleId="hpsatn">
    <w:name w:val="hps atn"/>
    <w:basedOn w:val="DefaultParagraphFont"/>
    <w:rsid w:val="00D74EF3"/>
  </w:style>
  <w:style w:type="character" w:customStyle="1" w:styleId="atn">
    <w:name w:val="atn"/>
    <w:basedOn w:val="DefaultParagraphFont"/>
    <w:rsid w:val="00D74EF3"/>
  </w:style>
  <w:style w:type="character" w:customStyle="1" w:styleId="gt-icon-text1">
    <w:name w:val="gt-icon-text1"/>
    <w:basedOn w:val="DefaultParagraphFont"/>
    <w:rsid w:val="00D74EF3"/>
  </w:style>
  <w:style w:type="paragraph" w:customStyle="1" w:styleId="CM4">
    <w:name w:val="CM4"/>
    <w:basedOn w:val="Normal"/>
    <w:next w:val="Normal"/>
    <w:rsid w:val="00D74EF3"/>
    <w:pPr>
      <w:autoSpaceDE w:val="0"/>
      <w:autoSpaceDN w:val="0"/>
      <w:adjustRightInd w:val="0"/>
    </w:pPr>
    <w:rPr>
      <w:rFonts w:ascii="EUAlbertina" w:hAnsi="EUAlbertina"/>
    </w:rPr>
  </w:style>
  <w:style w:type="paragraph" w:customStyle="1" w:styleId="a">
    <w:name w:val="Κείμενο πλαισίου"/>
    <w:basedOn w:val="Normal"/>
    <w:semiHidden/>
    <w:rsid w:val="00D74EF3"/>
    <w:pPr>
      <w:widowControl w:val="0"/>
      <w:autoSpaceDE w:val="0"/>
      <w:autoSpaceDN w:val="0"/>
      <w:adjustRightInd w:val="0"/>
    </w:pPr>
    <w:rPr>
      <w:rFonts w:ascii="Tahoma" w:hAnsi="Tahoma" w:cs="Tahoma"/>
      <w:sz w:val="16"/>
      <w:szCs w:val="16"/>
      <w:lang w:val="el-GR" w:eastAsia="el-GR"/>
    </w:rPr>
  </w:style>
  <w:style w:type="paragraph" w:styleId="Caption">
    <w:name w:val="caption"/>
    <w:basedOn w:val="Normal"/>
    <w:next w:val="Normal"/>
    <w:qFormat/>
    <w:rsid w:val="00D74EF3"/>
    <w:rPr>
      <w:b/>
      <w:bCs/>
      <w:sz w:val="20"/>
      <w:szCs w:val="20"/>
      <w:lang w:val="en-GB"/>
    </w:rPr>
  </w:style>
  <w:style w:type="paragraph" w:customStyle="1" w:styleId="Char1CharChar1CharCharCharChar1CharCharChar1">
    <w:name w:val="Char1 Char Char1 Char Char Char Char1 Char Char Char1"/>
    <w:basedOn w:val="Normal"/>
    <w:rsid w:val="00D74EF3"/>
    <w:pPr>
      <w:spacing w:after="160" w:line="240" w:lineRule="exact"/>
    </w:pPr>
    <w:rPr>
      <w:rFonts w:ascii="Tahoma" w:eastAsia="MS Mincho" w:hAnsi="Tahoma"/>
      <w:sz w:val="20"/>
      <w:szCs w:val="20"/>
      <w:lang w:val="sq-AL"/>
    </w:rPr>
  </w:style>
  <w:style w:type="paragraph" w:customStyle="1" w:styleId="Normal0">
    <w:name w:val="[Normal]"/>
    <w:rsid w:val="00D74EF3"/>
    <w:pPr>
      <w:autoSpaceDE w:val="0"/>
      <w:autoSpaceDN w:val="0"/>
      <w:adjustRightInd w:val="0"/>
    </w:pPr>
    <w:rPr>
      <w:rFonts w:ascii="Arial" w:eastAsia="MS Mincho" w:hAnsi="Arial" w:cs="Arial"/>
      <w:sz w:val="24"/>
      <w:szCs w:val="24"/>
    </w:rPr>
  </w:style>
  <w:style w:type="paragraph" w:customStyle="1" w:styleId="a0">
    <w:name w:val="a0"/>
    <w:basedOn w:val="Normal"/>
    <w:rsid w:val="00D74EF3"/>
    <w:pPr>
      <w:spacing w:before="100" w:beforeAutospacing="1" w:after="100" w:afterAutospacing="1"/>
      <w:jc w:val="center"/>
    </w:pPr>
    <w:rPr>
      <w:rFonts w:eastAsia="MS Mincho"/>
      <w:lang w:val="sq-AL"/>
    </w:rPr>
  </w:style>
  <w:style w:type="paragraph" w:customStyle="1" w:styleId="a1">
    <w:name w:val="a1"/>
    <w:basedOn w:val="Normal"/>
    <w:rsid w:val="00D74EF3"/>
    <w:pPr>
      <w:spacing w:before="100" w:beforeAutospacing="1" w:after="100" w:afterAutospacing="1"/>
    </w:pPr>
    <w:rPr>
      <w:rFonts w:eastAsia="MS Mincho"/>
      <w:lang w:val="sq-AL"/>
    </w:rPr>
  </w:style>
  <w:style w:type="paragraph" w:customStyle="1" w:styleId="a2">
    <w:name w:val="a2"/>
    <w:basedOn w:val="Normal"/>
    <w:rsid w:val="00D74EF3"/>
    <w:pPr>
      <w:spacing w:before="100" w:beforeAutospacing="1" w:after="100" w:afterAutospacing="1"/>
      <w:jc w:val="both"/>
    </w:pPr>
    <w:rPr>
      <w:rFonts w:eastAsia="MS Mincho"/>
      <w:lang w:val="sq-AL"/>
    </w:rPr>
  </w:style>
  <w:style w:type="character" w:customStyle="1" w:styleId="actstitle">
    <w:name w:val="actstitle"/>
    <w:basedOn w:val="DefaultParagraphFont"/>
    <w:rsid w:val="00D74EF3"/>
  </w:style>
  <w:style w:type="paragraph" w:customStyle="1" w:styleId="akti0">
    <w:name w:val="akti"/>
    <w:basedOn w:val="Normal"/>
    <w:rsid w:val="00D74EF3"/>
    <w:pPr>
      <w:spacing w:before="100" w:beforeAutospacing="1" w:after="100" w:afterAutospacing="1"/>
    </w:pPr>
    <w:rPr>
      <w:rFonts w:eastAsia="SimSun"/>
      <w:lang w:val="sq-AL" w:eastAsia="zh-CN"/>
    </w:rPr>
  </w:style>
  <w:style w:type="paragraph" w:customStyle="1" w:styleId="Anlagentext">
    <w:name w:val="Anlagentext"/>
    <w:basedOn w:val="Normal"/>
    <w:rsid w:val="00D74EF3"/>
    <w:pPr>
      <w:tabs>
        <w:tab w:val="left" w:pos="1701"/>
        <w:tab w:val="left" w:pos="3969"/>
        <w:tab w:val="left" w:pos="6237"/>
      </w:tabs>
    </w:pPr>
    <w:rPr>
      <w:rFonts w:ascii="Arial" w:eastAsia="MS Mincho" w:hAnsi="Arial"/>
      <w:sz w:val="20"/>
      <w:szCs w:val="20"/>
      <w:lang w:val="sq-AL" w:eastAsia="de-DE"/>
    </w:rPr>
  </w:style>
  <w:style w:type="paragraph" w:customStyle="1" w:styleId="anrede">
    <w:name w:val="anrede"/>
    <w:basedOn w:val="Normal"/>
    <w:next w:val="Normal"/>
    <w:rsid w:val="00D74EF3"/>
    <w:pPr>
      <w:spacing w:after="240" w:line="360" w:lineRule="atLeast"/>
      <w:jc w:val="both"/>
    </w:pPr>
    <w:rPr>
      <w:rFonts w:ascii="Arial" w:eastAsia="MS Mincho" w:hAnsi="Arial"/>
      <w:szCs w:val="20"/>
      <w:lang w:val="sq-AL" w:eastAsia="de-DE"/>
    </w:rPr>
  </w:style>
  <w:style w:type="paragraph" w:customStyle="1" w:styleId="Artikel">
    <w:name w:val="Artikel"/>
    <w:basedOn w:val="Normal"/>
    <w:rsid w:val="00D74EF3"/>
    <w:pPr>
      <w:spacing w:after="480" w:line="360" w:lineRule="atLeast"/>
      <w:jc w:val="center"/>
    </w:pPr>
    <w:rPr>
      <w:rFonts w:ascii="Arial" w:eastAsia="MS Mincho" w:hAnsi="Arial"/>
      <w:b/>
      <w:szCs w:val="20"/>
      <w:u w:val="single"/>
      <w:lang w:val="sq-AL" w:eastAsia="de-DE"/>
    </w:rPr>
  </w:style>
  <w:style w:type="character" w:customStyle="1" w:styleId="bc">
    <w:name w:val="bc"/>
    <w:basedOn w:val="DefaultParagraphFont"/>
    <w:rsid w:val="00D74EF3"/>
  </w:style>
  <w:style w:type="paragraph" w:customStyle="1" w:styleId="betreff">
    <w:name w:val="betreff"/>
    <w:basedOn w:val="Normal"/>
    <w:next w:val="anrede"/>
    <w:rsid w:val="00D74EF3"/>
    <w:pPr>
      <w:spacing w:after="480" w:line="360" w:lineRule="atLeast"/>
      <w:ind w:left="1276" w:hanging="1276"/>
      <w:jc w:val="both"/>
    </w:pPr>
    <w:rPr>
      <w:rFonts w:ascii="Arial" w:eastAsia="MS Mincho" w:hAnsi="Arial"/>
      <w:b/>
      <w:szCs w:val="20"/>
      <w:lang w:val="sq-AL" w:eastAsia="de-DE"/>
    </w:rPr>
  </w:style>
  <w:style w:type="paragraph" w:customStyle="1" w:styleId="Normal115pt">
    <w:name w:val="Normal + 11.5 pt"/>
    <w:aliases w:val="Black,Justified"/>
    <w:basedOn w:val="Normal"/>
    <w:rsid w:val="00D74EF3"/>
    <w:pPr>
      <w:autoSpaceDE w:val="0"/>
      <w:autoSpaceDN w:val="0"/>
      <w:adjustRightInd w:val="0"/>
      <w:jc w:val="both"/>
    </w:pPr>
    <w:rPr>
      <w:color w:val="333333"/>
      <w:sz w:val="23"/>
      <w:szCs w:val="23"/>
      <w:lang w:val="x-none" w:eastAsia="x-none"/>
    </w:rPr>
  </w:style>
  <w:style w:type="paragraph" w:customStyle="1" w:styleId="bodytext0">
    <w:name w:val="bodytext"/>
    <w:basedOn w:val="Normal"/>
    <w:rsid w:val="00D74EF3"/>
    <w:pPr>
      <w:spacing w:before="100" w:beforeAutospacing="1" w:after="100" w:afterAutospacing="1"/>
    </w:pPr>
    <w:rPr>
      <w:rFonts w:eastAsia="MS Mincho"/>
      <w:lang w:val="sq-AL"/>
    </w:rPr>
  </w:style>
  <w:style w:type="paragraph" w:customStyle="1" w:styleId="bodytext212pt">
    <w:name w:val="bodytext212pt"/>
    <w:basedOn w:val="Normal"/>
    <w:rsid w:val="00D74EF3"/>
    <w:pPr>
      <w:spacing w:before="100" w:beforeAutospacing="1" w:after="100" w:afterAutospacing="1"/>
    </w:pPr>
    <w:rPr>
      <w:rFonts w:ascii="Arial Unicode MS" w:eastAsia="Arial Unicode MS" w:hAnsi="Arial Unicode MS" w:cs="Arial Unicode MS"/>
    </w:rPr>
  </w:style>
  <w:style w:type="paragraph" w:customStyle="1" w:styleId="briefkopf">
    <w:name w:val="briefkopf"/>
    <w:basedOn w:val="Normal"/>
    <w:rsid w:val="00D74EF3"/>
    <w:pPr>
      <w:spacing w:before="1440" w:after="1200" w:line="240" w:lineRule="exact"/>
      <w:jc w:val="both"/>
    </w:pPr>
    <w:rPr>
      <w:rFonts w:ascii="Arial" w:eastAsia="MS Mincho" w:hAnsi="Arial"/>
      <w:sz w:val="22"/>
      <w:szCs w:val="20"/>
      <w:lang w:val="sq-AL" w:eastAsia="de-DE"/>
    </w:rPr>
  </w:style>
  <w:style w:type="character" w:customStyle="1" w:styleId="CharChar">
    <w:name w:val="Char Char"/>
    <w:basedOn w:val="DefaultParagraphFont"/>
    <w:locked/>
    <w:rsid w:val="00D74EF3"/>
    <w:rPr>
      <w:rFonts w:ascii="Trebuchet MS" w:eastAsia="MS Mincho" w:hAnsi="Trebuchet MS"/>
      <w:sz w:val="22"/>
      <w:lang w:val="en-GB" w:eastAsia="en-US" w:bidi="ar-SA"/>
    </w:rPr>
  </w:style>
  <w:style w:type="character" w:customStyle="1" w:styleId="CharCharChar">
    <w:name w:val="Char Char Char"/>
    <w:basedOn w:val="DefaultParagraphFont"/>
    <w:rsid w:val="00D74EF3"/>
    <w:rPr>
      <w:b/>
      <w:bCs/>
      <w:sz w:val="24"/>
      <w:szCs w:val="24"/>
      <w:lang w:val="en-US" w:eastAsia="en-US" w:bidi="ar-SA"/>
    </w:rPr>
  </w:style>
  <w:style w:type="paragraph" w:customStyle="1" w:styleId="CharCharCharChar">
    <w:name w:val="Char Char Char Char"/>
    <w:basedOn w:val="Normal"/>
    <w:rsid w:val="00D74EF3"/>
    <w:pPr>
      <w:overflowPunct w:val="0"/>
      <w:autoSpaceDE w:val="0"/>
      <w:autoSpaceDN w:val="0"/>
      <w:adjustRightInd w:val="0"/>
      <w:spacing w:after="160" w:line="240" w:lineRule="exact"/>
      <w:textAlignment w:val="baseline"/>
    </w:pPr>
    <w:rPr>
      <w:rFonts w:ascii="Tahoma" w:eastAsia="MS Mincho" w:hAnsi="Tahoma" w:cs="Tahoma"/>
      <w:sz w:val="20"/>
      <w:szCs w:val="20"/>
      <w:lang w:val="de-DE" w:eastAsia="de-DE"/>
    </w:rPr>
  </w:style>
  <w:style w:type="paragraph" w:customStyle="1" w:styleId="CharCharCharCharCharCharCarattere">
    <w:name w:val="Char Char Char Char Char Char Carattere"/>
    <w:basedOn w:val="Normal"/>
    <w:rsid w:val="00D74EF3"/>
    <w:pPr>
      <w:spacing w:after="160" w:line="240" w:lineRule="exact"/>
    </w:pPr>
    <w:rPr>
      <w:rFonts w:ascii="Tahoma" w:eastAsia="MS Mincho" w:hAnsi="Tahoma" w:cs="Tahoma"/>
      <w:sz w:val="20"/>
      <w:szCs w:val="20"/>
      <w:lang w:val="sq-AL"/>
    </w:rPr>
  </w:style>
  <w:style w:type="character" w:customStyle="1" w:styleId="CharChar1">
    <w:name w:val="Char Char1"/>
    <w:basedOn w:val="DefaultParagraphFont"/>
    <w:rsid w:val="00D74EF3"/>
    <w:rPr>
      <w:rFonts w:ascii="Trebuchet MS" w:eastAsia="MS Mincho" w:hAnsi="Trebuchet MS"/>
      <w:lang w:val="en-GB" w:eastAsia="en-US" w:bidi="ar-SA"/>
    </w:rPr>
  </w:style>
  <w:style w:type="paragraph" w:customStyle="1" w:styleId="Char1">
    <w:name w:val="Char1"/>
    <w:basedOn w:val="Normal"/>
    <w:rsid w:val="00D74EF3"/>
    <w:pPr>
      <w:spacing w:after="160" w:line="240" w:lineRule="exact"/>
    </w:pPr>
    <w:rPr>
      <w:rFonts w:ascii="Tahoma" w:eastAsia="MS Mincho" w:hAnsi="Tahoma"/>
      <w:sz w:val="20"/>
      <w:szCs w:val="20"/>
      <w:lang w:val="sq-AL"/>
    </w:rPr>
  </w:style>
  <w:style w:type="paragraph" w:customStyle="1" w:styleId="Char2">
    <w:name w:val="Char2"/>
    <w:basedOn w:val="Normal"/>
    <w:rsid w:val="00D74EF3"/>
    <w:pPr>
      <w:overflowPunct w:val="0"/>
      <w:autoSpaceDE w:val="0"/>
      <w:autoSpaceDN w:val="0"/>
      <w:adjustRightInd w:val="0"/>
      <w:spacing w:after="160" w:line="240" w:lineRule="exact"/>
      <w:textAlignment w:val="baseline"/>
    </w:pPr>
    <w:rPr>
      <w:rFonts w:ascii="Tahoma" w:eastAsia="MS Mincho" w:hAnsi="Tahoma" w:cs="Tahoma"/>
      <w:sz w:val="20"/>
      <w:szCs w:val="20"/>
      <w:lang w:val="en-GB" w:eastAsia="en-GB"/>
    </w:rPr>
  </w:style>
  <w:style w:type="paragraph" w:customStyle="1" w:styleId="DefaultParagraphFontParaCharChar">
    <w:name w:val="Default Paragraph Font Para Char Char"/>
    <w:aliases w:val="Default Paragraph Font Para Char Para Char Char"/>
    <w:basedOn w:val="Normal"/>
    <w:rsid w:val="00D74EF3"/>
    <w:rPr>
      <w:rFonts w:eastAsia="MS Mincho"/>
      <w:sz w:val="20"/>
      <w:szCs w:val="20"/>
    </w:rPr>
  </w:style>
  <w:style w:type="paragraph" w:customStyle="1" w:styleId="ecxmsonormal">
    <w:name w:val="ecxmsonormal"/>
    <w:basedOn w:val="Normal"/>
    <w:rsid w:val="00D74EF3"/>
    <w:pPr>
      <w:spacing w:after="324"/>
    </w:pPr>
    <w:rPr>
      <w:rFonts w:eastAsia="MS Mincho"/>
      <w:lang w:val="en-GB" w:eastAsia="en-GB"/>
    </w:rPr>
  </w:style>
  <w:style w:type="paragraph" w:customStyle="1" w:styleId="ein1">
    <w:name w:val="ein1"/>
    <w:basedOn w:val="Normal"/>
    <w:rsid w:val="00D74EF3"/>
    <w:pPr>
      <w:ind w:left="1134" w:hanging="1134"/>
      <w:jc w:val="both"/>
    </w:pPr>
    <w:rPr>
      <w:rFonts w:ascii="Arial" w:eastAsia="MS Mincho" w:hAnsi="Arial"/>
      <w:sz w:val="22"/>
      <w:szCs w:val="20"/>
      <w:lang w:val="sq-AL" w:eastAsia="de-DE"/>
    </w:rPr>
  </w:style>
  <w:style w:type="paragraph" w:customStyle="1" w:styleId="Einrck1">
    <w:name w:val="Einrück1"/>
    <w:basedOn w:val="Normal"/>
    <w:rsid w:val="00D74EF3"/>
    <w:pPr>
      <w:overflowPunct w:val="0"/>
      <w:autoSpaceDE w:val="0"/>
      <w:autoSpaceDN w:val="0"/>
      <w:adjustRightInd w:val="0"/>
      <w:spacing w:line="312" w:lineRule="exact"/>
      <w:ind w:left="709" w:hanging="709"/>
      <w:textAlignment w:val="baseline"/>
    </w:pPr>
    <w:rPr>
      <w:rFonts w:ascii="Arial" w:eastAsia="MS Mincho" w:hAnsi="Arial" w:cs="Arial"/>
      <w:lang w:val="de-DE" w:eastAsia="de-DE"/>
    </w:rPr>
  </w:style>
  <w:style w:type="paragraph" w:customStyle="1" w:styleId="Einrck2">
    <w:name w:val="Einrück2"/>
    <w:basedOn w:val="Normal"/>
    <w:rsid w:val="00D74EF3"/>
    <w:pPr>
      <w:overflowPunct w:val="0"/>
      <w:autoSpaceDE w:val="0"/>
      <w:autoSpaceDN w:val="0"/>
      <w:adjustRightInd w:val="0"/>
      <w:spacing w:line="312" w:lineRule="exact"/>
      <w:ind w:left="1276" w:hanging="567"/>
      <w:textAlignment w:val="baseline"/>
    </w:pPr>
    <w:rPr>
      <w:rFonts w:ascii="Arial" w:eastAsia="MS Mincho" w:hAnsi="Arial" w:cs="Arial"/>
      <w:lang w:val="de-DE" w:eastAsia="de-DE"/>
    </w:rPr>
  </w:style>
  <w:style w:type="paragraph" w:customStyle="1" w:styleId="Einrckung1">
    <w:name w:val="Einrückung 1"/>
    <w:basedOn w:val="Normal"/>
    <w:rsid w:val="00D74EF3"/>
    <w:pPr>
      <w:spacing w:line="360" w:lineRule="atLeast"/>
      <w:ind w:left="851" w:hanging="851"/>
      <w:jc w:val="both"/>
    </w:pPr>
    <w:rPr>
      <w:rFonts w:ascii="Arial" w:eastAsia="MS Mincho" w:hAnsi="Arial"/>
      <w:szCs w:val="20"/>
      <w:lang w:val="sq-AL" w:eastAsia="de-DE"/>
    </w:rPr>
  </w:style>
  <w:style w:type="paragraph" w:customStyle="1" w:styleId="Einrckung2">
    <w:name w:val="Einrückung 2"/>
    <w:basedOn w:val="Normal"/>
    <w:rsid w:val="00D74EF3"/>
    <w:pPr>
      <w:spacing w:line="360" w:lineRule="atLeast"/>
      <w:ind w:left="1701" w:hanging="851"/>
    </w:pPr>
    <w:rPr>
      <w:rFonts w:ascii="Arial" w:eastAsia="MS Mincho" w:hAnsi="Arial"/>
      <w:szCs w:val="20"/>
      <w:lang w:val="sq-AL" w:eastAsia="de-DE"/>
    </w:rPr>
  </w:style>
  <w:style w:type="paragraph" w:customStyle="1" w:styleId="Einrckung3">
    <w:name w:val="Einrückung 3"/>
    <w:basedOn w:val="Normal"/>
    <w:rsid w:val="00D74EF3"/>
    <w:pPr>
      <w:spacing w:line="360" w:lineRule="atLeast"/>
      <w:ind w:left="2552" w:hanging="851"/>
    </w:pPr>
    <w:rPr>
      <w:rFonts w:ascii="Arial" w:eastAsia="MS Mincho" w:hAnsi="Arial"/>
      <w:szCs w:val="20"/>
      <w:lang w:val="sq-AL" w:eastAsia="de-DE"/>
    </w:rPr>
  </w:style>
  <w:style w:type="character" w:customStyle="1" w:styleId="f01">
    <w:name w:val="f01"/>
    <w:basedOn w:val="DefaultParagraphFont"/>
    <w:rsid w:val="00D74EF3"/>
    <w:rPr>
      <w:rFonts w:ascii="FangSong" w:eastAsia="FangSong" w:hAnsi="FangSong" w:hint="eastAsia"/>
      <w:color w:val="000000"/>
      <w:sz w:val="20"/>
      <w:szCs w:val="20"/>
    </w:rPr>
  </w:style>
  <w:style w:type="character" w:customStyle="1" w:styleId="f41">
    <w:name w:val="f41"/>
    <w:basedOn w:val="DefaultParagraphFont"/>
    <w:rsid w:val="00D74EF3"/>
    <w:rPr>
      <w:rFonts w:ascii="MS Mincho" w:eastAsia="MS Mincho" w:hAnsi="MS Mincho" w:hint="eastAsia"/>
      <w:color w:val="000000"/>
      <w:sz w:val="20"/>
      <w:szCs w:val="20"/>
    </w:rPr>
  </w:style>
  <w:style w:type="paragraph" w:customStyle="1" w:styleId="FootnoteText1">
    <w:name w:val="Footnote Text1"/>
    <w:rsid w:val="00D74EF3"/>
    <w:rPr>
      <w:rFonts w:ascii="Helvetica" w:eastAsia="ヒラギノ角ゴ Pro W3" w:hAnsi="Helvetica"/>
      <w:color w:val="000000"/>
      <w:lang w:val="en-GB"/>
    </w:rPr>
  </w:style>
  <w:style w:type="paragraph" w:customStyle="1" w:styleId="JuPara">
    <w:name w:val="Ju_Para"/>
    <w:basedOn w:val="Normal"/>
    <w:rsid w:val="00D74EF3"/>
    <w:pPr>
      <w:suppressAutoHyphens/>
      <w:ind w:firstLine="284"/>
      <w:jc w:val="both"/>
    </w:pPr>
    <w:rPr>
      <w:rFonts w:eastAsia="MS Mincho"/>
      <w:lang w:val="en-GB" w:eastAsia="fr-FR"/>
    </w:rPr>
  </w:style>
  <w:style w:type="paragraph" w:customStyle="1" w:styleId="ju-005fpara-0020char-0020char">
    <w:name w:val="ju-005fpara-0020char-0020char"/>
    <w:basedOn w:val="Normal"/>
    <w:rsid w:val="00D74EF3"/>
    <w:pPr>
      <w:spacing w:before="100" w:beforeAutospacing="1" w:after="100" w:afterAutospacing="1"/>
    </w:pPr>
    <w:rPr>
      <w:rFonts w:eastAsia="MS Mincho"/>
    </w:rPr>
  </w:style>
  <w:style w:type="character" w:customStyle="1" w:styleId="ju-005fpara-002cleft-002cfirst-0020line-003a-0020-00200-0020cm--char">
    <w:name w:val="ju-005fpara-002cleft-002cfirst-0020line-003a-0020-00200-0020cm--char"/>
    <w:basedOn w:val="DefaultParagraphFont"/>
    <w:rsid w:val="00D74EF3"/>
  </w:style>
  <w:style w:type="character" w:customStyle="1" w:styleId="ju--005fpara----char--char">
    <w:name w:val="ju--005fpara----char--char"/>
    <w:basedOn w:val="DefaultParagraphFont"/>
    <w:rsid w:val="00D74EF3"/>
  </w:style>
  <w:style w:type="character" w:customStyle="1" w:styleId="longtext1">
    <w:name w:val="long_text1"/>
    <w:basedOn w:val="DefaultParagraphFont"/>
    <w:rsid w:val="00D74EF3"/>
    <w:rPr>
      <w:sz w:val="20"/>
      <w:szCs w:val="20"/>
    </w:rPr>
  </w:style>
  <w:style w:type="character" w:customStyle="1" w:styleId="mediumtext">
    <w:name w:val="medium_text"/>
    <w:basedOn w:val="DefaultParagraphFont"/>
    <w:rsid w:val="00D74EF3"/>
  </w:style>
  <w:style w:type="paragraph" w:customStyle="1" w:styleId="neninr0">
    <w:name w:val="neninr"/>
    <w:basedOn w:val="Normal"/>
    <w:rsid w:val="00D74EF3"/>
    <w:pPr>
      <w:spacing w:before="100" w:beforeAutospacing="1" w:after="100" w:afterAutospacing="1"/>
    </w:pPr>
    <w:rPr>
      <w:rFonts w:eastAsia="MS Mincho"/>
      <w:lang w:val="sq-AL"/>
    </w:rPr>
  </w:style>
  <w:style w:type="paragraph" w:customStyle="1" w:styleId="NormalLatinArial">
    <w:name w:val="Normal + (Latin) Arial"/>
    <w:basedOn w:val="Normal"/>
    <w:rsid w:val="00D74EF3"/>
    <w:rPr>
      <w:rFonts w:ascii="Arial" w:eastAsia="MS Mincho" w:hAnsi="Arial" w:cs="Arial"/>
    </w:rPr>
  </w:style>
  <w:style w:type="paragraph" w:customStyle="1" w:styleId="Normal1">
    <w:name w:val="Normal+1"/>
    <w:basedOn w:val="Default"/>
    <w:next w:val="Default"/>
    <w:rsid w:val="00D74EF3"/>
    <w:rPr>
      <w:rFonts w:ascii="Life L2" w:hAnsi="Life L2"/>
      <w:color w:val="auto"/>
    </w:rPr>
  </w:style>
  <w:style w:type="paragraph" w:customStyle="1" w:styleId="NummerierteListe">
    <w:name w:val="Nummerierte Liste"/>
    <w:aliases w:val="Links:  0,63 cm"/>
    <w:basedOn w:val="Normal"/>
    <w:rsid w:val="00D74EF3"/>
    <w:pPr>
      <w:tabs>
        <w:tab w:val="left" w:pos="426"/>
      </w:tabs>
    </w:pPr>
    <w:rPr>
      <w:rFonts w:ascii="Arial" w:eastAsia="MS Mincho" w:hAnsi="Arial"/>
      <w:sz w:val="22"/>
      <w:szCs w:val="20"/>
      <w:lang w:val="en-GB" w:eastAsia="de-DE"/>
    </w:rPr>
  </w:style>
  <w:style w:type="paragraph" w:customStyle="1" w:styleId="numridata0">
    <w:name w:val="numridata"/>
    <w:basedOn w:val="Normal"/>
    <w:rsid w:val="00D74EF3"/>
    <w:pPr>
      <w:spacing w:before="100" w:beforeAutospacing="1" w:after="100" w:afterAutospacing="1"/>
    </w:pPr>
    <w:rPr>
      <w:rFonts w:eastAsia="MS Mincho"/>
    </w:rPr>
  </w:style>
  <w:style w:type="paragraph" w:customStyle="1" w:styleId="Paragrafoelenco">
    <w:name w:val="Paragrafo elenco"/>
    <w:basedOn w:val="Normal"/>
    <w:qFormat/>
    <w:rsid w:val="00D74EF3"/>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D74EF3"/>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eastAsia="MS Mincho" w:hAnsi="Arial" w:cs="Arial"/>
      <w:sz w:val="22"/>
      <w:szCs w:val="22"/>
      <w:lang w:val="de-DE" w:eastAsia="de-DE"/>
    </w:rPr>
  </w:style>
  <w:style w:type="character" w:customStyle="1" w:styleId="shorttext">
    <w:name w:val="short_text"/>
    <w:basedOn w:val="DefaultParagraphFont"/>
    <w:rsid w:val="00D74EF3"/>
  </w:style>
  <w:style w:type="paragraph" w:customStyle="1" w:styleId="Standard1">
    <w:name w:val="Standard1"/>
    <w:basedOn w:val="Normal"/>
    <w:rsid w:val="00D74EF3"/>
    <w:pPr>
      <w:spacing w:line="360" w:lineRule="atLeast"/>
      <w:jc w:val="both"/>
    </w:pPr>
    <w:rPr>
      <w:rFonts w:ascii="Arial" w:eastAsia="MS Mincho" w:hAnsi="Arial"/>
      <w:szCs w:val="20"/>
      <w:lang w:val="sq-AL" w:eastAsia="de-DE"/>
    </w:rPr>
  </w:style>
  <w:style w:type="paragraph" w:customStyle="1" w:styleId="Style1">
    <w:name w:val="Style 1"/>
    <w:rsid w:val="00D74EF3"/>
    <w:pPr>
      <w:widowControl w:val="0"/>
      <w:autoSpaceDE w:val="0"/>
      <w:autoSpaceDN w:val="0"/>
      <w:adjustRightInd w:val="0"/>
    </w:pPr>
    <w:rPr>
      <w:rFonts w:eastAsia="SimSun"/>
      <w:lang w:eastAsia="zh-CN"/>
    </w:rPr>
  </w:style>
  <w:style w:type="paragraph" w:customStyle="1" w:styleId="Style4">
    <w:name w:val="Style 4"/>
    <w:rsid w:val="00D74EF3"/>
    <w:pPr>
      <w:widowControl w:val="0"/>
      <w:autoSpaceDE w:val="0"/>
      <w:autoSpaceDN w:val="0"/>
      <w:spacing w:before="108"/>
      <w:ind w:left="288" w:hanging="288"/>
    </w:pPr>
    <w:rPr>
      <w:rFonts w:eastAsia="SimSun"/>
      <w:sz w:val="18"/>
      <w:szCs w:val="18"/>
      <w:lang w:eastAsia="zh-CN"/>
    </w:rPr>
  </w:style>
  <w:style w:type="paragraph" w:customStyle="1" w:styleId="Style8">
    <w:name w:val="Style 8"/>
    <w:rsid w:val="00D74EF3"/>
    <w:pPr>
      <w:widowControl w:val="0"/>
      <w:autoSpaceDE w:val="0"/>
      <w:autoSpaceDN w:val="0"/>
      <w:spacing w:before="72" w:line="307" w:lineRule="auto"/>
    </w:pPr>
    <w:rPr>
      <w:rFonts w:eastAsia="SimSun"/>
      <w:sz w:val="18"/>
      <w:szCs w:val="18"/>
      <w:lang w:eastAsia="zh-CN"/>
    </w:rPr>
  </w:style>
  <w:style w:type="paragraph" w:customStyle="1" w:styleId="style5">
    <w:name w:val="style5"/>
    <w:basedOn w:val="Normal"/>
    <w:rsid w:val="00D74EF3"/>
    <w:pPr>
      <w:spacing w:before="100" w:beforeAutospacing="1" w:after="100" w:afterAutospacing="1"/>
    </w:pPr>
    <w:rPr>
      <w:rFonts w:eastAsia="MS Mincho"/>
      <w:lang w:val="sq-AL"/>
    </w:rPr>
  </w:style>
  <w:style w:type="paragraph" w:customStyle="1" w:styleId="Tabellenberschrift">
    <w:name w:val="Tabellenüberschrift"/>
    <w:basedOn w:val="Normal"/>
    <w:rsid w:val="00D74EF3"/>
    <w:pPr>
      <w:keepNext/>
      <w:overflowPunct w:val="0"/>
      <w:autoSpaceDE w:val="0"/>
      <w:autoSpaceDN w:val="0"/>
      <w:adjustRightInd w:val="0"/>
      <w:spacing w:after="120" w:line="336" w:lineRule="auto"/>
      <w:jc w:val="center"/>
      <w:textAlignment w:val="baseline"/>
    </w:pPr>
    <w:rPr>
      <w:rFonts w:ascii="Arial" w:eastAsia="MS Mincho" w:hAnsi="Arial" w:cs="Arial"/>
      <w:b/>
      <w:bCs/>
      <w:sz w:val="22"/>
      <w:szCs w:val="22"/>
      <w:lang w:val="de-DE" w:eastAsia="de-DE"/>
    </w:rPr>
  </w:style>
  <w:style w:type="paragraph" w:customStyle="1" w:styleId="Tabellenzeile">
    <w:name w:val="Tabellenzeile"/>
    <w:basedOn w:val="Normal"/>
    <w:rsid w:val="00D74EF3"/>
    <w:pPr>
      <w:overflowPunct w:val="0"/>
      <w:autoSpaceDE w:val="0"/>
      <w:autoSpaceDN w:val="0"/>
      <w:adjustRightInd w:val="0"/>
      <w:spacing w:after="120" w:line="336" w:lineRule="auto"/>
      <w:ind w:right="-68"/>
      <w:jc w:val="both"/>
      <w:textAlignment w:val="baseline"/>
    </w:pPr>
    <w:rPr>
      <w:rFonts w:ascii="Arial" w:eastAsia="MS Mincho" w:hAnsi="Arial" w:cs="Arial"/>
      <w:sz w:val="22"/>
      <w:szCs w:val="22"/>
      <w:lang w:val="de-DE" w:eastAsia="de-DE"/>
    </w:rPr>
  </w:style>
  <w:style w:type="paragraph" w:customStyle="1" w:styleId="TextfrKfW">
    <w:name w:val="Text für KfW"/>
    <w:basedOn w:val="Normal"/>
    <w:rsid w:val="00D74EF3"/>
    <w:pPr>
      <w:tabs>
        <w:tab w:val="left" w:pos="851"/>
        <w:tab w:val="left" w:pos="1418"/>
        <w:tab w:val="left" w:pos="2127"/>
      </w:tabs>
      <w:spacing w:after="240" w:line="360" w:lineRule="atLeast"/>
      <w:jc w:val="both"/>
    </w:pPr>
    <w:rPr>
      <w:rFonts w:ascii="Arial" w:eastAsia="MS Mincho" w:hAnsi="Arial"/>
      <w:szCs w:val="20"/>
      <w:lang w:val="sq-AL" w:eastAsia="de-DE"/>
    </w:rPr>
  </w:style>
  <w:style w:type="paragraph" w:styleId="BodyTextIndent">
    <w:name w:val="Body Text Indent"/>
    <w:basedOn w:val="Normal"/>
    <w:link w:val="BodyTextIndentChar"/>
    <w:rsid w:val="00D74EF3"/>
    <w:pPr>
      <w:spacing w:after="120"/>
      <w:ind w:left="360"/>
    </w:pPr>
    <w:rPr>
      <w:rFonts w:eastAsia="MS Mincho"/>
      <w:sz w:val="20"/>
      <w:szCs w:val="20"/>
      <w:lang w:val="en-GB"/>
    </w:rPr>
  </w:style>
  <w:style w:type="character" w:customStyle="1" w:styleId="BodyTextIndentChar">
    <w:name w:val="Body Text Indent Char"/>
    <w:basedOn w:val="DefaultParagraphFont"/>
    <w:link w:val="BodyTextIndent"/>
    <w:rsid w:val="00D74EF3"/>
    <w:rPr>
      <w:rFonts w:eastAsia="MS Mincho"/>
      <w:lang w:val="en-GB"/>
    </w:rPr>
  </w:style>
  <w:style w:type="paragraph" w:customStyle="1" w:styleId="Corpodeltesto">
    <w:name w:val="Corpo del testo"/>
    <w:basedOn w:val="Default"/>
    <w:next w:val="Default"/>
    <w:rsid w:val="00D74EF3"/>
    <w:rPr>
      <w:rFonts w:eastAsia="Times New Roman"/>
      <w:color w:val="auto"/>
    </w:rPr>
  </w:style>
  <w:style w:type="paragraph" w:customStyle="1" w:styleId="Didascalia">
    <w:name w:val="Didascalia"/>
    <w:basedOn w:val="Default"/>
    <w:next w:val="Default"/>
    <w:rsid w:val="00D74EF3"/>
    <w:rPr>
      <w:rFonts w:eastAsia="Times New Roman"/>
      <w:color w:val="auto"/>
    </w:rPr>
  </w:style>
  <w:style w:type="numbering" w:customStyle="1" w:styleId="NoList11">
    <w:name w:val="No List11"/>
    <w:next w:val="NoList"/>
    <w:semiHidden/>
    <w:unhideWhenUsed/>
    <w:rsid w:val="00D74EF3"/>
  </w:style>
  <w:style w:type="paragraph" w:customStyle="1" w:styleId="Normale">
    <w:name w:val="Normale"/>
    <w:basedOn w:val="Default"/>
    <w:next w:val="Default"/>
    <w:rsid w:val="00D74EF3"/>
    <w:rPr>
      <w:rFonts w:eastAsia="Times New Roman"/>
      <w:color w:val="auto"/>
    </w:rPr>
  </w:style>
  <w:style w:type="paragraph" w:customStyle="1" w:styleId="Rientrocorpodeltesto">
    <w:name w:val="Rientro corpo del testo"/>
    <w:basedOn w:val="Default"/>
    <w:next w:val="Default"/>
    <w:rsid w:val="00D74EF3"/>
    <w:rPr>
      <w:rFonts w:eastAsia="Times New Roman"/>
      <w:color w:val="auto"/>
    </w:rPr>
  </w:style>
  <w:style w:type="paragraph" w:customStyle="1" w:styleId="Rientrocorpodeltesto2">
    <w:name w:val="Rientro corpo del testo 2"/>
    <w:basedOn w:val="Default"/>
    <w:next w:val="Default"/>
    <w:rsid w:val="00D74EF3"/>
    <w:rPr>
      <w:rFonts w:eastAsia="Times New Roman"/>
      <w:color w:val="auto"/>
    </w:rPr>
  </w:style>
  <w:style w:type="paragraph" w:customStyle="1" w:styleId="Rientrocorpodeltesto3">
    <w:name w:val="Rientro corpo del testo 3"/>
    <w:basedOn w:val="Default"/>
    <w:next w:val="Default"/>
    <w:rsid w:val="00D74EF3"/>
    <w:rPr>
      <w:rFonts w:eastAsia="Times New Roman"/>
      <w:color w:val="auto"/>
    </w:rPr>
  </w:style>
  <w:style w:type="character" w:customStyle="1" w:styleId="ssens">
    <w:name w:val="ssens"/>
    <w:basedOn w:val="DefaultParagraphFont"/>
    <w:rsid w:val="00D74EF3"/>
  </w:style>
  <w:style w:type="character" w:customStyle="1" w:styleId="Subtitle1">
    <w:name w:val="Subtitle1"/>
    <w:basedOn w:val="DefaultParagraphFont"/>
    <w:rsid w:val="00D74EF3"/>
  </w:style>
  <w:style w:type="paragraph" w:customStyle="1" w:styleId="Titolo1">
    <w:name w:val="Titolo 1"/>
    <w:basedOn w:val="Default"/>
    <w:next w:val="Default"/>
    <w:rsid w:val="00D74EF3"/>
    <w:rPr>
      <w:rFonts w:eastAsia="Times New Roman"/>
      <w:color w:val="auto"/>
    </w:rPr>
  </w:style>
  <w:style w:type="paragraph" w:customStyle="1" w:styleId="Titolo2">
    <w:name w:val="Titolo 2"/>
    <w:basedOn w:val="Default"/>
    <w:next w:val="Default"/>
    <w:rsid w:val="00D74EF3"/>
    <w:rPr>
      <w:rFonts w:eastAsia="Times New Roman"/>
      <w:color w:val="auto"/>
    </w:rPr>
  </w:style>
  <w:style w:type="paragraph" w:customStyle="1" w:styleId="Titolo3">
    <w:name w:val="Titolo 3"/>
    <w:basedOn w:val="Default"/>
    <w:next w:val="Default"/>
    <w:rsid w:val="00D74EF3"/>
    <w:rPr>
      <w:rFonts w:eastAsia="Times New Roman"/>
      <w:color w:val="auto"/>
    </w:rPr>
  </w:style>
  <w:style w:type="paragraph" w:customStyle="1" w:styleId="Titolo4">
    <w:name w:val="Titolo 4"/>
    <w:basedOn w:val="Default"/>
    <w:next w:val="Default"/>
    <w:rsid w:val="00D74EF3"/>
    <w:rPr>
      <w:rFonts w:eastAsia="Times New Roman"/>
      <w:color w:val="auto"/>
    </w:rPr>
  </w:style>
  <w:style w:type="character" w:customStyle="1" w:styleId="vi">
    <w:name w:val="vi"/>
    <w:basedOn w:val="DefaultParagraphFont"/>
    <w:rsid w:val="00D74EF3"/>
  </w:style>
  <w:style w:type="paragraph" w:customStyle="1" w:styleId="Numri">
    <w:name w:val="Numri"/>
    <w:aliases w:val="data"/>
    <w:rsid w:val="00D74EF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hAnsi="CG Times" w:cs="CG Times"/>
      <w:b/>
      <w:bCs/>
      <w:sz w:val="22"/>
      <w:szCs w:val="22"/>
    </w:rPr>
  </w:style>
  <w:style w:type="paragraph" w:styleId="EndnoteText">
    <w:name w:val="endnote text"/>
    <w:basedOn w:val="Normal"/>
    <w:link w:val="EndnoteTextChar"/>
    <w:unhideWhenUsed/>
    <w:rsid w:val="00D74EF3"/>
    <w:rPr>
      <w:rFonts w:ascii="Tahoma" w:hAnsi="Tahoma" w:cs="Tahoma"/>
      <w:sz w:val="20"/>
      <w:szCs w:val="20"/>
    </w:rPr>
  </w:style>
  <w:style w:type="character" w:customStyle="1" w:styleId="EndnoteTextChar">
    <w:name w:val="Endnote Text Char"/>
    <w:basedOn w:val="DefaultParagraphFont"/>
    <w:link w:val="EndnoteText"/>
    <w:rsid w:val="00D74EF3"/>
    <w:rPr>
      <w:rFonts w:ascii="Tahoma" w:hAnsi="Tahoma" w:cs="Tahoma"/>
    </w:rPr>
  </w:style>
  <w:style w:type="character" w:styleId="EndnoteReference">
    <w:name w:val="endnote reference"/>
    <w:unhideWhenUsed/>
    <w:rsid w:val="00D74EF3"/>
    <w:rPr>
      <w:vertAlign w:val="superscript"/>
    </w:rPr>
  </w:style>
  <w:style w:type="character" w:customStyle="1" w:styleId="AutoritetiChar">
    <w:name w:val="Autoriteti Char"/>
    <w:basedOn w:val="DefaultParagraphFont"/>
    <w:link w:val="Autoriteti"/>
    <w:locked/>
    <w:rsid w:val="00D74EF3"/>
    <w:rPr>
      <w:rFonts w:ascii="CG Times" w:eastAsia="MS Mincho" w:hAnsi="CG Times" w:cs="CG Times"/>
      <w:caps/>
      <w:sz w:val="22"/>
      <w:szCs w:val="22"/>
      <w:lang w:val="en-GB"/>
    </w:rPr>
  </w:style>
  <w:style w:type="paragraph" w:customStyle="1" w:styleId="xl63">
    <w:name w:val="xl63"/>
    <w:basedOn w:val="Normal"/>
    <w:rsid w:val="00D74EF3"/>
    <w:pPr>
      <w:pBdr>
        <w:top w:val="double" w:sz="6" w:space="0" w:color="auto"/>
      </w:pBdr>
      <w:shd w:val="clear" w:color="auto" w:fill="FFFFFF"/>
      <w:spacing w:before="100" w:beforeAutospacing="1" w:after="100" w:afterAutospacing="1"/>
      <w:jc w:val="center"/>
    </w:pPr>
    <w:rPr>
      <w:rFonts w:ascii="CG Times" w:hAnsi="CG Times"/>
      <w:b/>
      <w:bCs/>
      <w:sz w:val="14"/>
      <w:szCs w:val="14"/>
    </w:rPr>
  </w:style>
  <w:style w:type="paragraph" w:customStyle="1" w:styleId="xl64">
    <w:name w:val="xl64"/>
    <w:basedOn w:val="Normal"/>
    <w:rsid w:val="00D74EF3"/>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hAnsi="CG Times"/>
      <w:b/>
      <w:bCs/>
      <w:sz w:val="14"/>
      <w:szCs w:val="14"/>
    </w:rPr>
  </w:style>
  <w:style w:type="paragraph" w:customStyle="1" w:styleId="xl106">
    <w:name w:val="xl106"/>
    <w:basedOn w:val="Normal"/>
    <w:rsid w:val="00D74EF3"/>
    <w:pPr>
      <w:pBdr>
        <w:top w:val="single" w:sz="4" w:space="0" w:color="auto"/>
        <w:bottom w:val="double" w:sz="6" w:space="0" w:color="auto"/>
      </w:pBdr>
      <w:spacing w:before="100" w:beforeAutospacing="1" w:after="100" w:afterAutospacing="1"/>
      <w:jc w:val="right"/>
    </w:pPr>
    <w:rPr>
      <w:rFonts w:ascii="CG Times" w:hAnsi="CG Times"/>
      <w:sz w:val="14"/>
      <w:szCs w:val="14"/>
    </w:rPr>
  </w:style>
  <w:style w:type="paragraph" w:customStyle="1" w:styleId="xl107">
    <w:name w:val="xl107"/>
    <w:basedOn w:val="Normal"/>
    <w:rsid w:val="00D74EF3"/>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hAnsi="CG Times"/>
      <w:sz w:val="14"/>
      <w:szCs w:val="14"/>
    </w:rPr>
  </w:style>
  <w:style w:type="paragraph" w:customStyle="1" w:styleId="xl108">
    <w:name w:val="xl108"/>
    <w:basedOn w:val="Normal"/>
    <w:rsid w:val="00D74EF3"/>
    <w:pPr>
      <w:pBdr>
        <w:top w:val="single" w:sz="4" w:space="0" w:color="auto"/>
        <w:left w:val="double" w:sz="6" w:space="0" w:color="auto"/>
        <w:bottom w:val="double" w:sz="6" w:space="0" w:color="auto"/>
      </w:pBdr>
      <w:spacing w:before="100" w:beforeAutospacing="1" w:after="100" w:afterAutospacing="1"/>
      <w:jc w:val="right"/>
    </w:pPr>
    <w:rPr>
      <w:rFonts w:ascii="CG Times" w:hAnsi="CG Times"/>
      <w:sz w:val="14"/>
      <w:szCs w:val="14"/>
    </w:rPr>
  </w:style>
  <w:style w:type="paragraph" w:customStyle="1" w:styleId="xl109">
    <w:name w:val="xl109"/>
    <w:basedOn w:val="Normal"/>
    <w:rsid w:val="00D74EF3"/>
    <w:pPr>
      <w:pBdr>
        <w:top w:val="single" w:sz="4" w:space="0" w:color="auto"/>
        <w:left w:val="double" w:sz="6" w:space="0" w:color="auto"/>
        <w:bottom w:val="double" w:sz="6" w:space="0" w:color="auto"/>
      </w:pBdr>
      <w:spacing w:before="100" w:beforeAutospacing="1" w:after="100" w:afterAutospacing="1"/>
      <w:jc w:val="center"/>
    </w:pPr>
    <w:rPr>
      <w:rFonts w:ascii="CG Times" w:hAnsi="CG Times"/>
      <w:sz w:val="14"/>
      <w:szCs w:val="14"/>
    </w:rPr>
  </w:style>
  <w:style w:type="paragraph" w:customStyle="1" w:styleId="xl110">
    <w:name w:val="xl110"/>
    <w:basedOn w:val="Normal"/>
    <w:rsid w:val="00D74EF3"/>
    <w:pPr>
      <w:pBdr>
        <w:left w:val="double" w:sz="6" w:space="0" w:color="auto"/>
        <w:bottom w:val="single" w:sz="4" w:space="0" w:color="auto"/>
        <w:right w:val="double" w:sz="6" w:space="0" w:color="auto"/>
      </w:pBdr>
      <w:spacing w:before="100" w:beforeAutospacing="1" w:after="100" w:afterAutospacing="1"/>
      <w:jc w:val="center"/>
    </w:pPr>
    <w:rPr>
      <w:rFonts w:ascii="CG Times" w:hAnsi="CG Times"/>
      <w:b/>
      <w:bCs/>
      <w:sz w:val="14"/>
      <w:szCs w:val="14"/>
    </w:rPr>
  </w:style>
  <w:style w:type="paragraph" w:customStyle="1" w:styleId="xl111">
    <w:name w:val="xl111"/>
    <w:basedOn w:val="Normal"/>
    <w:rsid w:val="00D74EF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hAnsi="CG Times"/>
      <w:sz w:val="14"/>
      <w:szCs w:val="14"/>
    </w:rPr>
  </w:style>
  <w:style w:type="paragraph" w:customStyle="1" w:styleId="xl112">
    <w:name w:val="xl112"/>
    <w:basedOn w:val="Normal"/>
    <w:rsid w:val="00D74EF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hAnsi="CG Times"/>
      <w:b/>
      <w:bCs/>
      <w:sz w:val="14"/>
      <w:szCs w:val="14"/>
    </w:rPr>
  </w:style>
  <w:style w:type="paragraph" w:customStyle="1" w:styleId="xl113">
    <w:name w:val="xl113"/>
    <w:basedOn w:val="Normal"/>
    <w:rsid w:val="00D74EF3"/>
    <w:pPr>
      <w:pBdr>
        <w:top w:val="single" w:sz="4" w:space="0" w:color="auto"/>
        <w:left w:val="double" w:sz="6" w:space="0" w:color="auto"/>
        <w:right w:val="double" w:sz="6" w:space="0" w:color="auto"/>
      </w:pBdr>
      <w:spacing w:before="100" w:beforeAutospacing="1" w:after="100" w:afterAutospacing="1"/>
      <w:jc w:val="center"/>
    </w:pPr>
    <w:rPr>
      <w:rFonts w:ascii="CG Times" w:hAnsi="CG Times"/>
      <w:b/>
      <w:bCs/>
      <w:sz w:val="14"/>
      <w:szCs w:val="14"/>
    </w:rPr>
  </w:style>
  <w:style w:type="paragraph" w:customStyle="1" w:styleId="xl114">
    <w:name w:val="xl114"/>
    <w:basedOn w:val="Normal"/>
    <w:rsid w:val="00D74EF3"/>
    <w:pPr>
      <w:pBdr>
        <w:top w:val="single" w:sz="4" w:space="0" w:color="auto"/>
        <w:left w:val="double" w:sz="6" w:space="0" w:color="auto"/>
        <w:right w:val="double" w:sz="6" w:space="0" w:color="auto"/>
      </w:pBdr>
      <w:spacing w:before="100" w:beforeAutospacing="1" w:after="100" w:afterAutospacing="1"/>
    </w:pPr>
    <w:rPr>
      <w:rFonts w:ascii="CG Times" w:hAnsi="CG Times"/>
      <w:sz w:val="14"/>
      <w:szCs w:val="14"/>
    </w:rPr>
  </w:style>
  <w:style w:type="paragraph" w:customStyle="1" w:styleId="xl115">
    <w:name w:val="xl115"/>
    <w:basedOn w:val="Normal"/>
    <w:rsid w:val="00D74EF3"/>
    <w:pPr>
      <w:pBdr>
        <w:top w:val="single" w:sz="4" w:space="0" w:color="auto"/>
      </w:pBdr>
      <w:spacing w:before="100" w:beforeAutospacing="1" w:after="100" w:afterAutospacing="1"/>
    </w:pPr>
    <w:rPr>
      <w:rFonts w:ascii="CG Times" w:hAnsi="CG Times"/>
      <w:sz w:val="14"/>
      <w:szCs w:val="14"/>
    </w:rPr>
  </w:style>
  <w:style w:type="paragraph" w:customStyle="1" w:styleId="xl116">
    <w:name w:val="xl116"/>
    <w:basedOn w:val="Normal"/>
    <w:rsid w:val="00D74EF3"/>
    <w:pPr>
      <w:pBdr>
        <w:top w:val="single" w:sz="4" w:space="0" w:color="auto"/>
      </w:pBdr>
      <w:spacing w:before="100" w:beforeAutospacing="1" w:after="100" w:afterAutospacing="1"/>
      <w:jc w:val="center"/>
    </w:pPr>
    <w:rPr>
      <w:rFonts w:ascii="CG Times" w:hAnsi="CG Times"/>
      <w:sz w:val="14"/>
      <w:szCs w:val="14"/>
    </w:rPr>
  </w:style>
  <w:style w:type="paragraph" w:customStyle="1" w:styleId="xl117">
    <w:name w:val="xl117"/>
    <w:basedOn w:val="Normal"/>
    <w:rsid w:val="00D74EF3"/>
    <w:pPr>
      <w:pBdr>
        <w:top w:val="single" w:sz="4" w:space="0" w:color="auto"/>
        <w:left w:val="double" w:sz="6" w:space="0" w:color="auto"/>
        <w:right w:val="double" w:sz="6" w:space="0" w:color="auto"/>
      </w:pBdr>
      <w:spacing w:before="100" w:beforeAutospacing="1" w:after="100" w:afterAutospacing="1"/>
      <w:jc w:val="center"/>
    </w:pPr>
    <w:rPr>
      <w:rFonts w:ascii="CG Times" w:hAnsi="CG Times"/>
      <w:sz w:val="14"/>
      <w:szCs w:val="14"/>
    </w:rPr>
  </w:style>
  <w:style w:type="paragraph" w:customStyle="1" w:styleId="xl118">
    <w:name w:val="xl118"/>
    <w:basedOn w:val="Normal"/>
    <w:rsid w:val="00D74EF3"/>
    <w:pPr>
      <w:pBdr>
        <w:top w:val="single" w:sz="4" w:space="0" w:color="auto"/>
      </w:pBdr>
      <w:spacing w:before="100" w:beforeAutospacing="1" w:after="100" w:afterAutospacing="1"/>
      <w:jc w:val="right"/>
    </w:pPr>
    <w:rPr>
      <w:rFonts w:ascii="CG Times" w:hAnsi="CG Times"/>
      <w:sz w:val="14"/>
      <w:szCs w:val="14"/>
    </w:rPr>
  </w:style>
  <w:style w:type="paragraph" w:customStyle="1" w:styleId="xl119">
    <w:name w:val="xl119"/>
    <w:basedOn w:val="Normal"/>
    <w:rsid w:val="00D74EF3"/>
    <w:pPr>
      <w:pBdr>
        <w:top w:val="single" w:sz="4" w:space="0" w:color="auto"/>
        <w:left w:val="double" w:sz="6" w:space="0" w:color="auto"/>
        <w:right w:val="double" w:sz="6" w:space="0" w:color="auto"/>
      </w:pBdr>
      <w:spacing w:before="100" w:beforeAutospacing="1" w:after="100" w:afterAutospacing="1"/>
      <w:jc w:val="right"/>
    </w:pPr>
    <w:rPr>
      <w:rFonts w:ascii="CG Times" w:hAnsi="CG Times"/>
      <w:sz w:val="14"/>
      <w:szCs w:val="14"/>
    </w:rPr>
  </w:style>
  <w:style w:type="paragraph" w:customStyle="1" w:styleId="xl120">
    <w:name w:val="xl120"/>
    <w:basedOn w:val="Normal"/>
    <w:rsid w:val="00D74EF3"/>
    <w:pPr>
      <w:pBdr>
        <w:top w:val="single" w:sz="4" w:space="0" w:color="auto"/>
        <w:left w:val="double" w:sz="6" w:space="0" w:color="auto"/>
      </w:pBdr>
      <w:spacing w:before="100" w:beforeAutospacing="1" w:after="100" w:afterAutospacing="1"/>
      <w:jc w:val="center"/>
    </w:pPr>
    <w:rPr>
      <w:rFonts w:ascii="CG Times" w:hAnsi="CG Times"/>
      <w:sz w:val="14"/>
      <w:szCs w:val="14"/>
    </w:rPr>
  </w:style>
  <w:style w:type="paragraph" w:customStyle="1" w:styleId="xl121">
    <w:name w:val="xl121"/>
    <w:basedOn w:val="Normal"/>
    <w:rsid w:val="00D74EF3"/>
    <w:pPr>
      <w:pBdr>
        <w:left w:val="double" w:sz="6" w:space="0" w:color="auto"/>
        <w:bottom w:val="double" w:sz="6" w:space="0" w:color="auto"/>
        <w:right w:val="double" w:sz="6" w:space="0" w:color="auto"/>
      </w:pBdr>
      <w:spacing w:before="100" w:beforeAutospacing="1" w:after="100" w:afterAutospacing="1"/>
      <w:jc w:val="center"/>
    </w:pPr>
    <w:rPr>
      <w:rFonts w:ascii="CG Times" w:hAnsi="CG Times"/>
      <w:sz w:val="14"/>
      <w:szCs w:val="14"/>
    </w:rPr>
  </w:style>
  <w:style w:type="paragraph" w:customStyle="1" w:styleId="xl122">
    <w:name w:val="xl122"/>
    <w:basedOn w:val="Normal"/>
    <w:rsid w:val="00D74EF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hAnsi="CG Times"/>
      <w:b/>
      <w:bCs/>
      <w:sz w:val="14"/>
      <w:szCs w:val="14"/>
    </w:rPr>
  </w:style>
  <w:style w:type="paragraph" w:customStyle="1" w:styleId="xl123">
    <w:name w:val="xl123"/>
    <w:basedOn w:val="Normal"/>
    <w:rsid w:val="00D74EF3"/>
    <w:pPr>
      <w:pBdr>
        <w:top w:val="double" w:sz="6" w:space="0" w:color="auto"/>
        <w:bottom w:val="double" w:sz="6" w:space="0" w:color="auto"/>
      </w:pBdr>
      <w:spacing w:before="100" w:beforeAutospacing="1" w:after="100" w:afterAutospacing="1"/>
      <w:jc w:val="center"/>
    </w:pPr>
    <w:rPr>
      <w:rFonts w:ascii="CG Times" w:hAnsi="CG Times"/>
      <w:sz w:val="14"/>
      <w:szCs w:val="14"/>
    </w:rPr>
  </w:style>
  <w:style w:type="paragraph" w:customStyle="1" w:styleId="xl124">
    <w:name w:val="xl124"/>
    <w:basedOn w:val="Normal"/>
    <w:rsid w:val="00D74EF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hAnsi="CG Times"/>
      <w:sz w:val="14"/>
      <w:szCs w:val="14"/>
    </w:rPr>
  </w:style>
  <w:style w:type="paragraph" w:customStyle="1" w:styleId="xl125">
    <w:name w:val="xl125"/>
    <w:basedOn w:val="Normal"/>
    <w:rsid w:val="00D74EF3"/>
    <w:pPr>
      <w:pBdr>
        <w:top w:val="double" w:sz="6" w:space="0" w:color="auto"/>
        <w:bottom w:val="double" w:sz="6" w:space="0" w:color="auto"/>
      </w:pBdr>
      <w:spacing w:before="100" w:beforeAutospacing="1" w:after="100" w:afterAutospacing="1"/>
      <w:jc w:val="center"/>
    </w:pPr>
    <w:rPr>
      <w:rFonts w:ascii="CG Times" w:hAnsi="CG Times"/>
      <w:b/>
      <w:bCs/>
      <w:sz w:val="14"/>
      <w:szCs w:val="14"/>
    </w:rPr>
  </w:style>
  <w:style w:type="paragraph" w:customStyle="1" w:styleId="xl126">
    <w:name w:val="xl126"/>
    <w:basedOn w:val="Normal"/>
    <w:rsid w:val="00D74EF3"/>
    <w:pPr>
      <w:pBdr>
        <w:top w:val="double" w:sz="6" w:space="0" w:color="auto"/>
        <w:bottom w:val="double" w:sz="6" w:space="0" w:color="auto"/>
      </w:pBdr>
      <w:spacing w:before="100" w:beforeAutospacing="1" w:after="100" w:afterAutospacing="1"/>
      <w:jc w:val="right"/>
    </w:pPr>
    <w:rPr>
      <w:rFonts w:ascii="CG Times" w:hAnsi="CG Times"/>
      <w:b/>
      <w:bCs/>
      <w:sz w:val="14"/>
      <w:szCs w:val="14"/>
    </w:rPr>
  </w:style>
  <w:style w:type="paragraph" w:customStyle="1" w:styleId="xl127">
    <w:name w:val="xl127"/>
    <w:basedOn w:val="Normal"/>
    <w:rsid w:val="00D74EF3"/>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hAnsi="CG Times"/>
      <w:b/>
      <w:bCs/>
      <w:sz w:val="14"/>
      <w:szCs w:val="14"/>
    </w:rPr>
  </w:style>
  <w:style w:type="character" w:customStyle="1" w:styleId="FootnoteCharacters">
    <w:name w:val="Footnote Characters"/>
    <w:rsid w:val="00D74E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53</Pages>
  <Words>18766</Words>
  <Characters>106967</Characters>
  <Application>Microsoft Office Word</Application>
  <DocSecurity>0</DocSecurity>
  <Lines>891</Lines>
  <Paragraphs>250</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125483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test qbz</cp:lastModifiedBy>
  <cp:revision>2</cp:revision>
  <dcterms:created xsi:type="dcterms:W3CDTF">2025-10-29T10:35:00Z</dcterms:created>
  <dcterms:modified xsi:type="dcterms:W3CDTF">2025-10-29T10:35:00Z</dcterms:modified>
</cp:coreProperties>
</file>