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44C" w:rsidRPr="00E31EBC" w:rsidRDefault="0061744C" w:rsidP="0061744C">
      <w:pPr>
        <w:pStyle w:val="Akti"/>
        <w:rPr>
          <w:sz w:val="21"/>
          <w:szCs w:val="21"/>
          <w:lang w:val="sq-AL"/>
        </w:rPr>
      </w:pPr>
      <w:bookmarkStart w:id="0" w:name="_GoBack"/>
      <w:bookmarkEnd w:id="0"/>
      <w:r w:rsidRPr="00E31EBC">
        <w:rPr>
          <w:sz w:val="21"/>
          <w:szCs w:val="21"/>
          <w:lang w:val="sq-AL"/>
        </w:rPr>
        <w:t>VENDIM</w:t>
      </w:r>
    </w:p>
    <w:p w:rsidR="0061744C" w:rsidRPr="00E31EBC" w:rsidRDefault="0061744C" w:rsidP="0061744C">
      <w:pPr>
        <w:pStyle w:val="NumriData"/>
        <w:rPr>
          <w:sz w:val="21"/>
          <w:szCs w:val="21"/>
          <w:lang w:val="sq-AL"/>
        </w:rPr>
      </w:pPr>
      <w:r w:rsidRPr="00E31EBC">
        <w:rPr>
          <w:sz w:val="21"/>
          <w:szCs w:val="21"/>
          <w:lang w:val="sq-AL"/>
        </w:rPr>
        <w:t>Nr.669, datë 28.9.2011</w:t>
      </w:r>
    </w:p>
    <w:p w:rsidR="0061744C" w:rsidRPr="00063B75" w:rsidRDefault="0061744C" w:rsidP="0061744C">
      <w:pPr>
        <w:pStyle w:val="Paragrafi"/>
        <w:rPr>
          <w:sz w:val="18"/>
          <w:lang w:val="sq-AL"/>
        </w:rPr>
      </w:pPr>
    </w:p>
    <w:p w:rsidR="0061744C" w:rsidRPr="00E31EBC" w:rsidRDefault="0061744C" w:rsidP="0061744C">
      <w:pPr>
        <w:pStyle w:val="Titulli"/>
        <w:rPr>
          <w:sz w:val="21"/>
          <w:szCs w:val="21"/>
          <w:lang w:val="sq-AL"/>
        </w:rPr>
      </w:pPr>
      <w:r w:rsidRPr="00E31EBC">
        <w:rPr>
          <w:sz w:val="21"/>
          <w:szCs w:val="21"/>
          <w:lang w:val="sq-AL"/>
        </w:rPr>
        <w:t>PËR ETIKETIMIN DHE TË DHËNAT E PËRBËRËSVE PËR DETERGJENTeT</w:t>
      </w:r>
      <w:r w:rsidRPr="00E31EBC">
        <w:rPr>
          <w:rStyle w:val="FootnoteReference"/>
          <w:sz w:val="21"/>
          <w:szCs w:val="21"/>
          <w:lang w:val="sq-AL"/>
        </w:rPr>
        <w:footnoteReference w:id="1"/>
      </w:r>
    </w:p>
    <w:p w:rsidR="0061744C" w:rsidRPr="00063B75" w:rsidRDefault="0061744C" w:rsidP="0061744C">
      <w:pPr>
        <w:pStyle w:val="Paragrafi"/>
        <w:rPr>
          <w:sz w:val="16"/>
          <w:lang w:val="sq-AL"/>
        </w:rPr>
      </w:pPr>
    </w:p>
    <w:p w:rsidR="0061744C" w:rsidRPr="00E31EBC" w:rsidRDefault="0061744C" w:rsidP="0061744C">
      <w:pPr>
        <w:pStyle w:val="Paragrafi"/>
        <w:rPr>
          <w:sz w:val="21"/>
          <w:szCs w:val="21"/>
          <w:lang w:val="sq-AL"/>
        </w:rPr>
      </w:pPr>
      <w:r w:rsidRPr="00E31EBC">
        <w:rPr>
          <w:sz w:val="21"/>
          <w:szCs w:val="21"/>
          <w:lang w:val="sq-AL"/>
        </w:rPr>
        <w:t>Në mbështetje të nenit 100 të Kushtetutës dhe të nenit 10 të ligjit nr.10 216, datë 21.1.2010 “Për detergjentet”, me propozimin e Ministrit të Ekonomisë, Tregtisë dhe Energjetikës, Këshilli i Ministrave</w:t>
      </w:r>
    </w:p>
    <w:p w:rsidR="0061744C" w:rsidRPr="00063B75" w:rsidRDefault="0061744C" w:rsidP="0061744C">
      <w:pPr>
        <w:pStyle w:val="Paragrafi"/>
        <w:rPr>
          <w:sz w:val="14"/>
          <w:szCs w:val="21"/>
          <w:lang w:val="sq-AL"/>
        </w:rPr>
      </w:pPr>
    </w:p>
    <w:p w:rsidR="0061744C" w:rsidRPr="00E31EBC" w:rsidRDefault="0061744C" w:rsidP="0061744C">
      <w:pPr>
        <w:pStyle w:val="VENDOSI"/>
        <w:rPr>
          <w:sz w:val="21"/>
          <w:szCs w:val="21"/>
          <w:lang w:val="sq-AL"/>
        </w:rPr>
      </w:pPr>
      <w:r w:rsidRPr="00E31EBC">
        <w:rPr>
          <w:sz w:val="21"/>
          <w:szCs w:val="21"/>
          <w:lang w:val="sq-AL"/>
        </w:rPr>
        <w:t>VENDOSI:</w:t>
      </w:r>
    </w:p>
    <w:p w:rsidR="0061744C" w:rsidRPr="00063B75" w:rsidRDefault="0061744C" w:rsidP="0061744C">
      <w:pPr>
        <w:pStyle w:val="Paragrafi"/>
        <w:rPr>
          <w:sz w:val="14"/>
          <w:szCs w:val="18"/>
          <w:lang w:val="sq-AL"/>
        </w:rPr>
      </w:pPr>
    </w:p>
    <w:p w:rsidR="0061744C" w:rsidRPr="00E31EBC" w:rsidRDefault="0061744C" w:rsidP="0061744C">
      <w:pPr>
        <w:pStyle w:val="Paragrafi"/>
        <w:rPr>
          <w:sz w:val="21"/>
          <w:szCs w:val="21"/>
          <w:lang w:val="sq-AL"/>
        </w:rPr>
      </w:pPr>
      <w:r w:rsidRPr="00E31EBC">
        <w:rPr>
          <w:sz w:val="21"/>
          <w:szCs w:val="21"/>
          <w:lang w:val="sq-AL"/>
        </w:rPr>
        <w:t>1. Përcaktimin e të dhënave që jepen në etiketën e vendosur në paketimin për detergjentin, që bëhet i disponueshëm për konsumatorin, dhe informacionin që jepet për të dhënat e përbërësve në detergjente.</w:t>
      </w:r>
    </w:p>
    <w:p w:rsidR="0061744C" w:rsidRPr="00E31EBC" w:rsidRDefault="0061744C" w:rsidP="0061744C">
      <w:pPr>
        <w:pStyle w:val="Paragrafi"/>
        <w:rPr>
          <w:sz w:val="21"/>
          <w:szCs w:val="21"/>
          <w:lang w:val="sq-AL"/>
        </w:rPr>
      </w:pPr>
      <w:r w:rsidRPr="00E31EBC">
        <w:rPr>
          <w:sz w:val="21"/>
          <w:szCs w:val="21"/>
          <w:lang w:val="sq-AL"/>
        </w:rPr>
        <w:t>2. Në etiketën e vendosur në paketimin e detergjentit, që bëhet i disponueshëm për konsumatorin, jepen:</w:t>
      </w:r>
    </w:p>
    <w:p w:rsidR="0061744C" w:rsidRPr="00E31EBC" w:rsidRDefault="0061744C" w:rsidP="0061744C">
      <w:pPr>
        <w:pStyle w:val="Paragrafi"/>
        <w:rPr>
          <w:sz w:val="21"/>
          <w:szCs w:val="21"/>
          <w:lang w:val="sq-AL"/>
        </w:rPr>
      </w:pPr>
      <w:r w:rsidRPr="00E31EBC">
        <w:rPr>
          <w:sz w:val="21"/>
          <w:szCs w:val="21"/>
          <w:lang w:val="sq-AL"/>
        </w:rPr>
        <w:t>2.1 Intervalet e peshës në përqindje:</w:t>
      </w:r>
    </w:p>
    <w:p w:rsidR="0061744C" w:rsidRPr="00E31EBC" w:rsidRDefault="0061744C" w:rsidP="0061744C">
      <w:pPr>
        <w:pStyle w:val="Paragrafi"/>
        <w:rPr>
          <w:sz w:val="21"/>
          <w:szCs w:val="21"/>
          <w:lang w:val="sq-AL"/>
        </w:rPr>
      </w:pPr>
      <w:r w:rsidRPr="00E31EBC">
        <w:rPr>
          <w:sz w:val="21"/>
          <w:szCs w:val="21"/>
          <w:lang w:val="sq-AL"/>
        </w:rPr>
        <w:t>- më pak se 5%;</w:t>
      </w:r>
    </w:p>
    <w:p w:rsidR="0061744C" w:rsidRPr="00E31EBC" w:rsidRDefault="0061744C" w:rsidP="0061744C">
      <w:pPr>
        <w:pStyle w:val="Paragrafi"/>
        <w:rPr>
          <w:sz w:val="21"/>
          <w:szCs w:val="21"/>
          <w:lang w:val="sq-AL"/>
        </w:rPr>
      </w:pPr>
      <w:r w:rsidRPr="00E31EBC">
        <w:rPr>
          <w:sz w:val="21"/>
          <w:szCs w:val="21"/>
          <w:lang w:val="sq-AL"/>
        </w:rPr>
        <w:t>- 5% deri në 15%;</w:t>
      </w:r>
    </w:p>
    <w:p w:rsidR="0061744C" w:rsidRPr="00E31EBC" w:rsidRDefault="0061744C" w:rsidP="0061744C">
      <w:pPr>
        <w:pStyle w:val="Paragrafi"/>
        <w:rPr>
          <w:sz w:val="21"/>
          <w:szCs w:val="21"/>
          <w:lang w:val="sq-AL"/>
        </w:rPr>
      </w:pPr>
      <w:r w:rsidRPr="00E31EBC">
        <w:rPr>
          <w:sz w:val="21"/>
          <w:szCs w:val="21"/>
          <w:lang w:val="sq-AL"/>
        </w:rPr>
        <w:t>- 15% deri në 30%;</w:t>
      </w:r>
    </w:p>
    <w:p w:rsidR="0061744C" w:rsidRPr="00E31EBC" w:rsidRDefault="0061744C" w:rsidP="0061744C">
      <w:pPr>
        <w:pStyle w:val="Paragrafi"/>
        <w:rPr>
          <w:sz w:val="21"/>
          <w:szCs w:val="21"/>
          <w:lang w:val="sq-AL"/>
        </w:rPr>
      </w:pPr>
      <w:r w:rsidRPr="00E31EBC">
        <w:rPr>
          <w:sz w:val="21"/>
          <w:szCs w:val="21"/>
          <w:lang w:val="sq-AL"/>
        </w:rPr>
        <w:t>- 30% dhe më shumë,</w:t>
      </w:r>
    </w:p>
    <w:p w:rsidR="0061744C" w:rsidRPr="00E31EBC" w:rsidRDefault="0061744C" w:rsidP="0061744C">
      <w:pPr>
        <w:pStyle w:val="Paragrafi"/>
        <w:rPr>
          <w:sz w:val="21"/>
          <w:szCs w:val="21"/>
          <w:lang w:val="sq-AL"/>
        </w:rPr>
      </w:pPr>
      <w:r w:rsidRPr="00E31EBC">
        <w:rPr>
          <w:sz w:val="21"/>
          <w:szCs w:val="21"/>
          <w:lang w:val="sq-AL"/>
        </w:rPr>
        <w:t>që përdoren për të treguar përmbajtjen e substancave përbërëse, të renditura më poshtë, në qoftë se përqendrimi i tyre në detergjente është mbi 0.2% të peshës:</w:t>
      </w:r>
    </w:p>
    <w:p w:rsidR="0061744C" w:rsidRPr="00E31EBC" w:rsidRDefault="0061744C" w:rsidP="0061744C">
      <w:pPr>
        <w:pStyle w:val="Paragrafi"/>
        <w:rPr>
          <w:sz w:val="21"/>
          <w:szCs w:val="21"/>
          <w:lang w:val="sq-AL"/>
        </w:rPr>
      </w:pPr>
      <w:r w:rsidRPr="00E31EBC">
        <w:rPr>
          <w:sz w:val="21"/>
          <w:szCs w:val="21"/>
          <w:lang w:val="sq-AL"/>
        </w:rPr>
        <w:t>a) fosfatet;</w:t>
      </w:r>
    </w:p>
    <w:p w:rsidR="0061744C" w:rsidRPr="00E31EBC" w:rsidRDefault="0061744C" w:rsidP="0061744C">
      <w:pPr>
        <w:pStyle w:val="Paragrafi"/>
        <w:rPr>
          <w:sz w:val="21"/>
          <w:szCs w:val="21"/>
          <w:lang w:val="sq-AL"/>
        </w:rPr>
      </w:pPr>
      <w:r w:rsidRPr="00E31EBC">
        <w:rPr>
          <w:sz w:val="21"/>
          <w:szCs w:val="21"/>
          <w:lang w:val="sq-AL"/>
        </w:rPr>
        <w:t>b) fosfonatet;</w:t>
      </w:r>
    </w:p>
    <w:p w:rsidR="0061744C" w:rsidRPr="00E31EBC" w:rsidRDefault="0061744C" w:rsidP="0061744C">
      <w:pPr>
        <w:pStyle w:val="Paragrafi"/>
        <w:rPr>
          <w:sz w:val="21"/>
          <w:szCs w:val="21"/>
          <w:lang w:val="sq-AL"/>
        </w:rPr>
      </w:pPr>
      <w:r w:rsidRPr="00E31EBC">
        <w:rPr>
          <w:sz w:val="21"/>
          <w:szCs w:val="21"/>
          <w:lang w:val="sq-AL"/>
        </w:rPr>
        <w:t>c) lëndët tensioaktive anionike;</w:t>
      </w:r>
    </w:p>
    <w:p w:rsidR="0061744C" w:rsidRPr="00E31EBC" w:rsidRDefault="0061744C" w:rsidP="0061744C">
      <w:pPr>
        <w:pStyle w:val="Paragrafi"/>
        <w:rPr>
          <w:sz w:val="21"/>
          <w:szCs w:val="21"/>
          <w:lang w:val="sq-AL"/>
        </w:rPr>
      </w:pPr>
      <w:r w:rsidRPr="00E31EBC">
        <w:rPr>
          <w:sz w:val="21"/>
          <w:szCs w:val="21"/>
          <w:lang w:val="sq-AL"/>
        </w:rPr>
        <w:t>ç) lëndët tensioaktive kationike;</w:t>
      </w:r>
    </w:p>
    <w:p w:rsidR="0061744C" w:rsidRPr="00E31EBC" w:rsidRDefault="0061744C" w:rsidP="0061744C">
      <w:pPr>
        <w:pStyle w:val="Paragrafi"/>
        <w:rPr>
          <w:sz w:val="21"/>
          <w:szCs w:val="21"/>
          <w:lang w:val="sq-AL"/>
        </w:rPr>
      </w:pPr>
      <w:r w:rsidRPr="00E31EBC">
        <w:rPr>
          <w:sz w:val="21"/>
          <w:szCs w:val="21"/>
          <w:lang w:val="sq-AL"/>
        </w:rPr>
        <w:t>d) lëndët tensioaktive amfotere;</w:t>
      </w:r>
    </w:p>
    <w:p w:rsidR="0061744C" w:rsidRPr="00E31EBC" w:rsidRDefault="0061744C" w:rsidP="0061744C">
      <w:pPr>
        <w:pStyle w:val="Paragrafi"/>
        <w:rPr>
          <w:sz w:val="21"/>
          <w:szCs w:val="21"/>
          <w:lang w:val="sq-AL"/>
        </w:rPr>
      </w:pPr>
      <w:r w:rsidRPr="00E31EBC">
        <w:rPr>
          <w:sz w:val="21"/>
          <w:szCs w:val="21"/>
          <w:lang w:val="sq-AL"/>
        </w:rPr>
        <w:t>dh) lëndët tensioaktive jojonike;</w:t>
      </w:r>
    </w:p>
    <w:p w:rsidR="0061744C" w:rsidRPr="00E31EBC" w:rsidRDefault="0061744C" w:rsidP="0061744C">
      <w:pPr>
        <w:pStyle w:val="Paragrafi"/>
        <w:rPr>
          <w:sz w:val="21"/>
          <w:szCs w:val="21"/>
          <w:lang w:val="sq-AL"/>
        </w:rPr>
      </w:pPr>
      <w:r w:rsidRPr="00E31EBC">
        <w:rPr>
          <w:sz w:val="21"/>
          <w:szCs w:val="21"/>
          <w:lang w:val="sq-AL"/>
        </w:rPr>
        <w:t>e) agjentët zbardhues me bazë oksigjeni;</w:t>
      </w:r>
    </w:p>
    <w:p w:rsidR="0061744C" w:rsidRPr="00E31EBC" w:rsidRDefault="0061744C" w:rsidP="0061744C">
      <w:pPr>
        <w:pStyle w:val="Paragrafi"/>
        <w:rPr>
          <w:sz w:val="21"/>
          <w:szCs w:val="21"/>
          <w:lang w:val="sq-AL"/>
        </w:rPr>
      </w:pPr>
      <w:r w:rsidRPr="00E31EBC">
        <w:rPr>
          <w:sz w:val="21"/>
          <w:szCs w:val="21"/>
          <w:lang w:val="sq-AL"/>
        </w:rPr>
        <w:t>ë) agjentët zbardhues me bazë klori;</w:t>
      </w:r>
    </w:p>
    <w:p w:rsidR="0061744C" w:rsidRPr="00E31EBC" w:rsidRDefault="0061744C" w:rsidP="0061744C">
      <w:pPr>
        <w:pStyle w:val="Paragrafi"/>
        <w:rPr>
          <w:sz w:val="21"/>
          <w:szCs w:val="21"/>
          <w:lang w:val="sq-AL"/>
        </w:rPr>
      </w:pPr>
      <w:r w:rsidRPr="00E31EBC">
        <w:rPr>
          <w:sz w:val="21"/>
          <w:szCs w:val="21"/>
          <w:lang w:val="sq-AL"/>
        </w:rPr>
        <w:t>f) EDTA dhe kripërat e saj;</w:t>
      </w:r>
    </w:p>
    <w:p w:rsidR="0061744C" w:rsidRPr="00E31EBC" w:rsidRDefault="0061744C" w:rsidP="0061744C">
      <w:pPr>
        <w:pStyle w:val="Paragrafi"/>
        <w:rPr>
          <w:sz w:val="21"/>
          <w:szCs w:val="21"/>
          <w:lang w:val="sq-AL"/>
        </w:rPr>
      </w:pPr>
      <w:r w:rsidRPr="00E31EBC">
        <w:rPr>
          <w:sz w:val="21"/>
          <w:szCs w:val="21"/>
          <w:lang w:val="sq-AL"/>
        </w:rPr>
        <w:t>g) NTA (acidi nitrilotriacetik) dhe kripërat e tij;</w:t>
      </w:r>
    </w:p>
    <w:p w:rsidR="0061744C" w:rsidRPr="00E31EBC" w:rsidRDefault="0061744C" w:rsidP="0061744C">
      <w:pPr>
        <w:pStyle w:val="Paragrafi"/>
        <w:rPr>
          <w:sz w:val="21"/>
          <w:szCs w:val="21"/>
          <w:lang w:val="sq-AL"/>
        </w:rPr>
      </w:pPr>
      <w:r w:rsidRPr="00E31EBC">
        <w:rPr>
          <w:sz w:val="21"/>
          <w:szCs w:val="21"/>
          <w:lang w:val="sq-AL"/>
        </w:rPr>
        <w:t>gj) fenolet dhe fenolet e halogjenuar;</w:t>
      </w:r>
    </w:p>
    <w:p w:rsidR="0061744C" w:rsidRPr="00E31EBC" w:rsidRDefault="0061744C" w:rsidP="0061744C">
      <w:pPr>
        <w:pStyle w:val="Paragrafi"/>
        <w:rPr>
          <w:sz w:val="21"/>
          <w:szCs w:val="21"/>
          <w:lang w:val="sq-AL"/>
        </w:rPr>
      </w:pPr>
      <w:r w:rsidRPr="00E31EBC">
        <w:rPr>
          <w:sz w:val="21"/>
          <w:szCs w:val="21"/>
          <w:lang w:val="sq-AL"/>
        </w:rPr>
        <w:t>h) paradiklorbenzeni;</w:t>
      </w:r>
    </w:p>
    <w:p w:rsidR="0061744C" w:rsidRPr="00E31EBC" w:rsidRDefault="0061744C" w:rsidP="0061744C">
      <w:pPr>
        <w:pStyle w:val="Paragrafi"/>
        <w:rPr>
          <w:sz w:val="21"/>
          <w:szCs w:val="21"/>
          <w:lang w:val="sq-AL"/>
        </w:rPr>
      </w:pPr>
      <w:r w:rsidRPr="00E31EBC">
        <w:rPr>
          <w:sz w:val="21"/>
          <w:szCs w:val="21"/>
          <w:lang w:val="sq-AL"/>
        </w:rPr>
        <w:t>i) hidrokarburet aromatike;</w:t>
      </w:r>
    </w:p>
    <w:p w:rsidR="0061744C" w:rsidRPr="00E31EBC" w:rsidRDefault="0061744C" w:rsidP="0061744C">
      <w:pPr>
        <w:pStyle w:val="Paragrafi"/>
        <w:rPr>
          <w:sz w:val="21"/>
          <w:szCs w:val="21"/>
          <w:lang w:val="sq-AL"/>
        </w:rPr>
      </w:pPr>
      <w:r w:rsidRPr="00E31EBC">
        <w:rPr>
          <w:sz w:val="21"/>
          <w:szCs w:val="21"/>
          <w:lang w:val="sq-AL"/>
        </w:rPr>
        <w:t>j) hidrokarburet alifatike;</w:t>
      </w:r>
    </w:p>
    <w:p w:rsidR="0061744C" w:rsidRPr="00E31EBC" w:rsidRDefault="0061744C" w:rsidP="0061744C">
      <w:pPr>
        <w:pStyle w:val="Paragrafi"/>
        <w:rPr>
          <w:sz w:val="21"/>
          <w:szCs w:val="21"/>
          <w:lang w:val="sq-AL"/>
        </w:rPr>
      </w:pPr>
      <w:r w:rsidRPr="00E31EBC">
        <w:rPr>
          <w:sz w:val="21"/>
          <w:szCs w:val="21"/>
          <w:lang w:val="sq-AL"/>
        </w:rPr>
        <w:t>k) hidrokarburet e halogjenuar;</w:t>
      </w:r>
    </w:p>
    <w:p w:rsidR="0061744C" w:rsidRPr="00E31EBC" w:rsidRDefault="0061744C" w:rsidP="0061744C">
      <w:pPr>
        <w:pStyle w:val="Paragrafi"/>
        <w:rPr>
          <w:sz w:val="21"/>
          <w:szCs w:val="21"/>
          <w:lang w:val="sq-AL"/>
        </w:rPr>
      </w:pPr>
      <w:r w:rsidRPr="00E31EBC">
        <w:rPr>
          <w:sz w:val="21"/>
          <w:szCs w:val="21"/>
          <w:lang w:val="sq-AL"/>
        </w:rPr>
        <w:t>l) sapuni;</w:t>
      </w:r>
    </w:p>
    <w:p w:rsidR="0061744C" w:rsidRPr="00E31EBC" w:rsidRDefault="0061744C" w:rsidP="0061744C">
      <w:pPr>
        <w:pStyle w:val="Paragrafi"/>
        <w:rPr>
          <w:sz w:val="21"/>
          <w:szCs w:val="21"/>
          <w:lang w:val="sq-AL"/>
        </w:rPr>
      </w:pPr>
      <w:r w:rsidRPr="00E31EBC">
        <w:rPr>
          <w:sz w:val="21"/>
          <w:szCs w:val="21"/>
          <w:lang w:val="sq-AL"/>
        </w:rPr>
        <w:t>ll) zeolitet;</w:t>
      </w:r>
    </w:p>
    <w:p w:rsidR="0061744C" w:rsidRPr="00E31EBC" w:rsidRDefault="0061744C" w:rsidP="0061744C">
      <w:pPr>
        <w:pStyle w:val="Paragrafi"/>
        <w:rPr>
          <w:sz w:val="21"/>
          <w:szCs w:val="21"/>
          <w:lang w:val="sq-AL"/>
        </w:rPr>
      </w:pPr>
      <w:r w:rsidRPr="00E31EBC">
        <w:rPr>
          <w:sz w:val="21"/>
          <w:szCs w:val="21"/>
          <w:lang w:val="sq-AL"/>
        </w:rPr>
        <w:t>m) polikarboksilatet.</w:t>
      </w:r>
    </w:p>
    <w:p w:rsidR="0061744C" w:rsidRPr="00E31EBC" w:rsidRDefault="0061744C" w:rsidP="0061744C">
      <w:pPr>
        <w:pStyle w:val="Paragrafi"/>
        <w:rPr>
          <w:sz w:val="21"/>
          <w:szCs w:val="21"/>
          <w:lang w:val="sq-AL"/>
        </w:rPr>
      </w:pPr>
      <w:r w:rsidRPr="00E31EBC">
        <w:rPr>
          <w:sz w:val="21"/>
          <w:szCs w:val="21"/>
          <w:lang w:val="sq-AL"/>
        </w:rPr>
        <w:t>2.2 Kategoritë e substancave përbërëse të mëposhtme, nëse janë të pranishme, pavarësisht nga përqendrimi i tyre:</w:t>
      </w:r>
    </w:p>
    <w:p w:rsidR="0061744C" w:rsidRPr="00E31EBC" w:rsidRDefault="0061744C" w:rsidP="0061744C">
      <w:pPr>
        <w:pStyle w:val="Paragrafi"/>
        <w:rPr>
          <w:sz w:val="21"/>
          <w:szCs w:val="21"/>
          <w:lang w:val="sq-AL"/>
        </w:rPr>
      </w:pPr>
      <w:r w:rsidRPr="00E31EBC">
        <w:rPr>
          <w:sz w:val="21"/>
          <w:szCs w:val="21"/>
          <w:lang w:val="sq-AL"/>
        </w:rPr>
        <w:t>a) enzimat;</w:t>
      </w:r>
    </w:p>
    <w:p w:rsidR="0061744C" w:rsidRPr="00E31EBC" w:rsidRDefault="0061744C" w:rsidP="0061744C">
      <w:pPr>
        <w:pStyle w:val="Paragrafi"/>
        <w:rPr>
          <w:sz w:val="21"/>
          <w:szCs w:val="21"/>
          <w:lang w:val="sq-AL"/>
        </w:rPr>
      </w:pPr>
      <w:r w:rsidRPr="00E31EBC">
        <w:rPr>
          <w:sz w:val="21"/>
          <w:szCs w:val="21"/>
          <w:lang w:val="sq-AL"/>
        </w:rPr>
        <w:t>b) dezinfektuesit;</w:t>
      </w:r>
    </w:p>
    <w:p w:rsidR="0061744C" w:rsidRPr="00E31EBC" w:rsidRDefault="0061744C" w:rsidP="0061744C">
      <w:pPr>
        <w:pStyle w:val="Paragrafi"/>
        <w:rPr>
          <w:sz w:val="21"/>
          <w:szCs w:val="21"/>
          <w:lang w:val="sq-AL"/>
        </w:rPr>
      </w:pPr>
      <w:r w:rsidRPr="00E31EBC">
        <w:rPr>
          <w:sz w:val="21"/>
          <w:szCs w:val="21"/>
          <w:lang w:val="sq-AL"/>
        </w:rPr>
        <w:t>c) zbardhuesit optikë;</w:t>
      </w:r>
    </w:p>
    <w:p w:rsidR="0061744C" w:rsidRPr="00E31EBC" w:rsidRDefault="0061744C" w:rsidP="0061744C">
      <w:pPr>
        <w:pStyle w:val="Paragrafi"/>
        <w:rPr>
          <w:sz w:val="21"/>
          <w:szCs w:val="21"/>
          <w:lang w:val="sq-AL"/>
        </w:rPr>
      </w:pPr>
      <w:r w:rsidRPr="00E31EBC">
        <w:rPr>
          <w:sz w:val="21"/>
          <w:szCs w:val="21"/>
          <w:lang w:val="sq-AL"/>
        </w:rPr>
        <w:t>ç) parfumet.</w:t>
      </w:r>
    </w:p>
    <w:p w:rsidR="0061744C" w:rsidRPr="00E31EBC" w:rsidRDefault="0061744C" w:rsidP="0061744C">
      <w:pPr>
        <w:pStyle w:val="Paragrafi"/>
        <w:rPr>
          <w:sz w:val="21"/>
          <w:szCs w:val="21"/>
          <w:lang w:val="sq-AL"/>
        </w:rPr>
      </w:pPr>
      <w:r w:rsidRPr="00E31EBC">
        <w:rPr>
          <w:sz w:val="21"/>
          <w:szCs w:val="21"/>
          <w:lang w:val="sq-AL"/>
        </w:rPr>
        <w:t>2.3 Lëndët konservuese, nëse janë të pranishme, pavarësisht nga përqendrimi i tyre.</w:t>
      </w:r>
    </w:p>
    <w:p w:rsidR="0061744C" w:rsidRPr="00E31EBC" w:rsidRDefault="0061744C" w:rsidP="0061744C">
      <w:pPr>
        <w:pStyle w:val="Paragrafi"/>
        <w:rPr>
          <w:sz w:val="21"/>
          <w:szCs w:val="21"/>
          <w:lang w:val="sq-AL"/>
        </w:rPr>
      </w:pPr>
      <w:r w:rsidRPr="00E31EBC">
        <w:rPr>
          <w:sz w:val="21"/>
          <w:szCs w:val="21"/>
          <w:lang w:val="sq-AL"/>
        </w:rPr>
        <w:t>2.4 Substancat aromatike alergjene të listuar</w:t>
      </w:r>
      <w:r>
        <w:rPr>
          <w:sz w:val="21"/>
          <w:szCs w:val="21"/>
          <w:lang w:val="sq-AL"/>
        </w:rPr>
        <w:t>a në pikën 11</w:t>
      </w:r>
      <w:r w:rsidRPr="00E31EBC">
        <w:rPr>
          <w:sz w:val="21"/>
          <w:szCs w:val="21"/>
          <w:lang w:val="sq-AL"/>
        </w:rPr>
        <w:t xml:space="preserve"> të këtij vendimi, nëse shtohen në përqendrime mbi 0,01% të peshës.</w:t>
      </w:r>
    </w:p>
    <w:p w:rsidR="0061744C" w:rsidRPr="00E31EBC" w:rsidRDefault="0061744C" w:rsidP="0061744C">
      <w:pPr>
        <w:pStyle w:val="Paragrafi"/>
        <w:rPr>
          <w:sz w:val="21"/>
          <w:szCs w:val="21"/>
          <w:lang w:val="sq-AL"/>
        </w:rPr>
      </w:pPr>
      <w:r w:rsidRPr="00E31EBC">
        <w:rPr>
          <w:sz w:val="21"/>
          <w:szCs w:val="21"/>
          <w:lang w:val="sq-AL"/>
        </w:rPr>
        <w:t>2.5 Adresa e internetit, nga e cila mund të merret lista e përbërësve në detergjent.</w:t>
      </w:r>
    </w:p>
    <w:p w:rsidR="0061744C" w:rsidRPr="00E31EBC" w:rsidRDefault="0061744C" w:rsidP="0061744C">
      <w:pPr>
        <w:pStyle w:val="Paragrafi"/>
        <w:rPr>
          <w:sz w:val="21"/>
          <w:szCs w:val="21"/>
          <w:lang w:val="sq-AL"/>
        </w:rPr>
      </w:pPr>
      <w:r w:rsidRPr="00E31EBC">
        <w:rPr>
          <w:sz w:val="21"/>
          <w:szCs w:val="21"/>
          <w:lang w:val="sq-AL"/>
        </w:rPr>
        <w:lastRenderedPageBreak/>
        <w:t>3. Për detergjentet industriale, të cilat nuk bëhen të disponueshme për konsumatorin, nuk është i nevojshëm plotësimi i kërkesave të parashikuara në pikën 2 të këtij vendimi, në qoftë se informacioni i njëvlershëm me to është dhënë në pasqyrën e të dhënave teknike, të dhënave të sigurisë apo në një mënyrë tjetër të përshtatshme.</w:t>
      </w:r>
    </w:p>
    <w:p w:rsidR="0061744C" w:rsidRPr="00E31EBC" w:rsidRDefault="0061744C" w:rsidP="0061744C">
      <w:pPr>
        <w:pStyle w:val="Paragrafi"/>
        <w:rPr>
          <w:sz w:val="21"/>
          <w:szCs w:val="21"/>
          <w:lang w:val="sq-AL"/>
        </w:rPr>
      </w:pPr>
      <w:r w:rsidRPr="00E31EBC">
        <w:rPr>
          <w:sz w:val="21"/>
          <w:szCs w:val="21"/>
          <w:lang w:val="sq-AL"/>
        </w:rPr>
        <w:t>4. Në etikën e vendosur në paketimin e detergjentit, që bëhet i disponueshëm për konsumatorin, jepet edhe infromacioni udhëzues për dozën. Paketimi i detergjentit, i destinuar për t’u përdorur si detergjent larës,</w:t>
      </w:r>
      <w:r>
        <w:rPr>
          <w:sz w:val="21"/>
          <w:szCs w:val="21"/>
          <w:lang w:val="sq-AL"/>
        </w:rPr>
        <w:t xml:space="preserve"> përmban informacionin e m</w:t>
      </w:r>
      <w:r w:rsidRPr="00FA4A00">
        <w:rPr>
          <w:sz w:val="21"/>
          <w:szCs w:val="21"/>
          <w:lang w:val="sq-AL"/>
        </w:rPr>
        <w:t>ë</w:t>
      </w:r>
      <w:r>
        <w:rPr>
          <w:sz w:val="21"/>
          <w:szCs w:val="21"/>
          <w:lang w:val="sq-AL"/>
        </w:rPr>
        <w:t>posht</w:t>
      </w:r>
      <w:r w:rsidRPr="00E31EBC">
        <w:rPr>
          <w:sz w:val="21"/>
          <w:szCs w:val="21"/>
          <w:lang w:val="sq-AL"/>
        </w:rPr>
        <w:t>ëm:</w:t>
      </w:r>
    </w:p>
    <w:p w:rsidR="0061744C" w:rsidRPr="00E31EBC" w:rsidRDefault="0061744C" w:rsidP="0061744C">
      <w:pPr>
        <w:pStyle w:val="Paragrafi"/>
        <w:rPr>
          <w:sz w:val="21"/>
          <w:szCs w:val="21"/>
          <w:lang w:val="sq-AL"/>
        </w:rPr>
      </w:pPr>
      <w:r w:rsidRPr="00E31EBC">
        <w:rPr>
          <w:sz w:val="21"/>
          <w:szCs w:val="21"/>
          <w:lang w:val="sq-AL"/>
        </w:rPr>
        <w:t>a) Sasitë e rekomanduara dhe/ose udhëzimet e dozimit, të shprehura në mililitra ose gramë, të përshtatshme për një ngarkesë standarde rrobash në një makinë larëse, për kategoritë e ujit të butë, të mesëm dhe të fortë dhe për programe larjeje me ose pa paralarje.</w:t>
      </w:r>
    </w:p>
    <w:p w:rsidR="0061744C" w:rsidRPr="00E31EBC" w:rsidRDefault="0061744C" w:rsidP="0061744C">
      <w:pPr>
        <w:pStyle w:val="Paragrafi"/>
        <w:rPr>
          <w:sz w:val="21"/>
          <w:szCs w:val="21"/>
          <w:lang w:val="sq-AL"/>
        </w:rPr>
      </w:pPr>
      <w:r w:rsidRPr="00E31EBC">
        <w:rPr>
          <w:sz w:val="21"/>
          <w:szCs w:val="21"/>
          <w:lang w:val="sq-AL"/>
        </w:rPr>
        <w:t>b) Numrin e ngarkesave standarde në një makinë larëse me tekstile “normalisht të ndotura”, për detergjentin që përdoret për çdo lloj tekstili, në çdo temperaturë. Numrin e ngarkesave standarde me tekstile “pak të ndotura” për detergjentet për tekstile delikate. Në të dyja rastet tekstilet mund të lahen me përmbajtjen e dhënë në paketim, duke përdorur ujë me fortësi të mesme, që i korrespondon sasisë prej 2.5 milimol CaCO</w:t>
      </w:r>
      <w:r w:rsidRPr="00E31EBC">
        <w:rPr>
          <w:sz w:val="21"/>
          <w:szCs w:val="21"/>
          <w:vertAlign w:val="subscript"/>
          <w:lang w:val="sq-AL"/>
        </w:rPr>
        <w:t>3</w:t>
      </w:r>
      <w:r w:rsidRPr="00E31EBC">
        <w:rPr>
          <w:sz w:val="21"/>
          <w:szCs w:val="21"/>
          <w:lang w:val="sq-AL"/>
        </w:rPr>
        <w:t xml:space="preserve"> për litër.</w:t>
      </w:r>
    </w:p>
    <w:p w:rsidR="0061744C" w:rsidRPr="00E31EBC" w:rsidRDefault="0061744C" w:rsidP="0061744C">
      <w:pPr>
        <w:pStyle w:val="Paragrafi"/>
        <w:rPr>
          <w:sz w:val="21"/>
          <w:szCs w:val="21"/>
          <w:lang w:val="sq-AL"/>
        </w:rPr>
      </w:pPr>
      <w:r w:rsidRPr="00E31EBC">
        <w:rPr>
          <w:sz w:val="21"/>
          <w:szCs w:val="21"/>
          <w:lang w:val="sq-AL"/>
        </w:rPr>
        <w:t>c) Kapacitetin e çdo gote dozimi, nëse shoqëron produktin, të përcaktuar me mililitra ose gramë dhe shenjat që tregojnë dozën e përshtatshme të detergjentit për një ngarkesë standarde në një makinë larëse për kategoritë e ujit të butë, të mesëm dhe të fortë.</w:t>
      </w:r>
    </w:p>
    <w:p w:rsidR="0061744C" w:rsidRPr="00E31EBC" w:rsidRDefault="0061744C" w:rsidP="0061744C">
      <w:pPr>
        <w:pStyle w:val="Paragrafi"/>
        <w:rPr>
          <w:sz w:val="21"/>
          <w:szCs w:val="21"/>
          <w:lang w:val="sq-AL"/>
        </w:rPr>
      </w:pPr>
      <w:r w:rsidRPr="00E31EBC">
        <w:rPr>
          <w:sz w:val="21"/>
          <w:szCs w:val="21"/>
          <w:lang w:val="sq-AL"/>
        </w:rPr>
        <w:t>Ngarkesa standarde për makinën larëse është 4.5 kg tekstile të thata për detergjentet që përdoren për çdo lloj tekstili, në çdo temperaturë, dhe 2.5 kg tekstile të thata për detergjentet për larje në temperatura të ulëta. Në qoftë se fabrikuesi nuk jep udhëzimet për kujdesin për tekstilet, temperaturën e larjes, fibrat dhe ngjyrat delikate, detergjenti do të konsiderohet i vlefshëm për çdo lloj tekstili dhe temperature.</w:t>
      </w:r>
    </w:p>
    <w:p w:rsidR="0061744C" w:rsidRPr="00E31EBC" w:rsidRDefault="0061744C" w:rsidP="0061744C">
      <w:pPr>
        <w:pStyle w:val="Paragrafi"/>
        <w:rPr>
          <w:sz w:val="21"/>
          <w:szCs w:val="21"/>
          <w:lang w:val="sq-AL"/>
        </w:rPr>
      </w:pPr>
      <w:r w:rsidRPr="00E31EBC">
        <w:rPr>
          <w:sz w:val="21"/>
          <w:szCs w:val="21"/>
          <w:lang w:val="sq-AL"/>
        </w:rPr>
        <w:t>5. Fabrikuesi dhe shpërndarësi është përgjegjës për sigurimin e informacionit në etiketë në gjuhën shqipe.</w:t>
      </w:r>
    </w:p>
    <w:p w:rsidR="0061744C" w:rsidRPr="00E31EBC" w:rsidRDefault="0061744C" w:rsidP="0061744C">
      <w:pPr>
        <w:pStyle w:val="Paragrafi"/>
        <w:rPr>
          <w:sz w:val="21"/>
          <w:szCs w:val="21"/>
          <w:lang w:val="sq-AL"/>
        </w:rPr>
      </w:pPr>
      <w:r w:rsidRPr="00E31EBC">
        <w:rPr>
          <w:sz w:val="21"/>
          <w:szCs w:val="21"/>
          <w:lang w:val="sq-AL"/>
        </w:rPr>
        <w:t>6. Ndalohet paraqitja vizatimore e frutave në paketimin e detergjenteve në formë të lëngët, që bëhen të disponueshme për konsumatorin, të cilat mund ta çorientojnë atë.</w:t>
      </w:r>
    </w:p>
    <w:p w:rsidR="0061744C" w:rsidRPr="00E31EBC" w:rsidRDefault="0061744C" w:rsidP="0061744C">
      <w:pPr>
        <w:pStyle w:val="Paragrafi"/>
        <w:rPr>
          <w:sz w:val="21"/>
          <w:szCs w:val="21"/>
          <w:lang w:val="sq-AL"/>
        </w:rPr>
      </w:pPr>
      <w:r w:rsidRPr="00E31EBC">
        <w:rPr>
          <w:sz w:val="21"/>
          <w:szCs w:val="21"/>
          <w:lang w:val="sq-AL"/>
        </w:rPr>
        <w:t>7. Për det</w:t>
      </w:r>
      <w:r>
        <w:rPr>
          <w:sz w:val="21"/>
          <w:szCs w:val="21"/>
          <w:lang w:val="sq-AL"/>
        </w:rPr>
        <w:t>ergjentet, në zbatim të pikës 4 të nenit 9</w:t>
      </w:r>
      <w:r w:rsidRPr="00E31EBC">
        <w:rPr>
          <w:sz w:val="21"/>
          <w:szCs w:val="21"/>
          <w:lang w:val="sq-AL"/>
        </w:rPr>
        <w:t xml:space="preserve"> të ligjit nr.10 216, datë 21.1.2010 “Për detergjentet”, jepen këto të dhëna të përbërësve:</w:t>
      </w:r>
    </w:p>
    <w:p w:rsidR="0061744C" w:rsidRPr="00E31EBC" w:rsidRDefault="0061744C" w:rsidP="0061744C">
      <w:pPr>
        <w:pStyle w:val="Paragrafi"/>
        <w:rPr>
          <w:sz w:val="21"/>
          <w:szCs w:val="21"/>
          <w:lang w:val="sq-AL"/>
        </w:rPr>
      </w:pPr>
      <w:r w:rsidRPr="00E31EBC">
        <w:rPr>
          <w:sz w:val="21"/>
          <w:szCs w:val="21"/>
          <w:lang w:val="sq-AL"/>
        </w:rPr>
        <w:t>a) emri i detergjentit dhe i fabrikuesit;</w:t>
      </w:r>
    </w:p>
    <w:p w:rsidR="0061744C" w:rsidRPr="00E31EBC" w:rsidRDefault="0061744C" w:rsidP="0061744C">
      <w:pPr>
        <w:pStyle w:val="Paragrafi"/>
        <w:rPr>
          <w:sz w:val="21"/>
          <w:szCs w:val="21"/>
          <w:lang w:val="sq-AL"/>
        </w:rPr>
      </w:pPr>
      <w:r w:rsidRPr="00E31EBC">
        <w:rPr>
          <w:sz w:val="21"/>
          <w:szCs w:val="21"/>
          <w:lang w:val="sq-AL"/>
        </w:rPr>
        <w:t>b) renditja e përbërësve në rend zvogëlues, sipas peshës në përqindje, si më poshtë vijon:</w:t>
      </w:r>
    </w:p>
    <w:p w:rsidR="0061744C" w:rsidRPr="00E31EBC" w:rsidRDefault="0061744C" w:rsidP="0061744C">
      <w:pPr>
        <w:pStyle w:val="Paragrafi"/>
        <w:rPr>
          <w:sz w:val="21"/>
          <w:szCs w:val="21"/>
          <w:lang w:val="sq-AL"/>
        </w:rPr>
      </w:pPr>
      <w:r w:rsidRPr="00E31EBC">
        <w:rPr>
          <w:sz w:val="21"/>
          <w:szCs w:val="21"/>
          <w:lang w:val="sq-AL"/>
        </w:rPr>
        <w:t>- 10% ose më shumë;</w:t>
      </w:r>
    </w:p>
    <w:p w:rsidR="0061744C" w:rsidRPr="00E31EBC" w:rsidRDefault="0061744C" w:rsidP="0061744C">
      <w:pPr>
        <w:pStyle w:val="Paragrafi"/>
        <w:rPr>
          <w:sz w:val="21"/>
          <w:szCs w:val="21"/>
          <w:lang w:val="sq-AL"/>
        </w:rPr>
      </w:pPr>
      <w:r w:rsidRPr="00E31EBC">
        <w:rPr>
          <w:sz w:val="21"/>
          <w:szCs w:val="21"/>
          <w:lang w:val="sq-AL"/>
        </w:rPr>
        <w:t>- 1% deri në 10%;</w:t>
      </w:r>
    </w:p>
    <w:p w:rsidR="0061744C" w:rsidRPr="00E31EBC" w:rsidRDefault="0061744C" w:rsidP="0061744C">
      <w:pPr>
        <w:pStyle w:val="Paragrafi"/>
        <w:rPr>
          <w:sz w:val="21"/>
          <w:szCs w:val="21"/>
          <w:lang w:val="sq-AL"/>
        </w:rPr>
      </w:pPr>
      <w:r w:rsidRPr="00E31EBC">
        <w:rPr>
          <w:sz w:val="21"/>
          <w:szCs w:val="21"/>
          <w:lang w:val="sq-AL"/>
        </w:rPr>
        <w:t>- 0.1% deri në 1%;</w:t>
      </w:r>
    </w:p>
    <w:p w:rsidR="0061744C" w:rsidRPr="00E31EBC" w:rsidRDefault="0061744C" w:rsidP="0061744C">
      <w:pPr>
        <w:pStyle w:val="Paragrafi"/>
        <w:rPr>
          <w:sz w:val="21"/>
          <w:szCs w:val="21"/>
          <w:lang w:val="sq-AL"/>
        </w:rPr>
      </w:pPr>
      <w:r w:rsidRPr="00E31EBC">
        <w:rPr>
          <w:sz w:val="21"/>
          <w:szCs w:val="21"/>
          <w:lang w:val="sq-AL"/>
        </w:rPr>
        <w:t>- më pak se 0.1%.</w:t>
      </w:r>
    </w:p>
    <w:p w:rsidR="0061744C" w:rsidRPr="00E31EBC" w:rsidRDefault="0061744C" w:rsidP="0061744C">
      <w:pPr>
        <w:pStyle w:val="Paragrafi"/>
        <w:rPr>
          <w:sz w:val="21"/>
          <w:szCs w:val="21"/>
          <w:lang w:val="sq-AL"/>
        </w:rPr>
      </w:pPr>
      <w:r w:rsidRPr="00E31EBC">
        <w:rPr>
          <w:sz w:val="21"/>
          <w:szCs w:val="21"/>
          <w:lang w:val="sq-AL"/>
        </w:rPr>
        <w:t>c) Emri i përgjithshëm kimik (IUPAC) dhe, kur janë të disponueshëm, emërtimi sipas INCI (nomeklatura ndërkombëtare për përbërësit kozmetikë), emërtimi trivial (sipas European Pharmacopoeia) dhe numri CAS (kod ndërkombëtar, me të cilin identifikohet substanca).</w:t>
      </w:r>
    </w:p>
    <w:p w:rsidR="0061744C" w:rsidRPr="00E31EBC" w:rsidRDefault="0061744C" w:rsidP="0061744C">
      <w:pPr>
        <w:pStyle w:val="Paragrafi"/>
        <w:rPr>
          <w:sz w:val="21"/>
          <w:szCs w:val="21"/>
          <w:lang w:val="sq-AL"/>
        </w:rPr>
      </w:pPr>
      <w:r w:rsidRPr="00E31EBC">
        <w:rPr>
          <w:sz w:val="21"/>
          <w:szCs w:val="21"/>
          <w:lang w:val="sq-AL"/>
        </w:rPr>
        <w:t>Përbërës konsiderohet çdo substancë kimike, me prejardhje sintetike ose natyrore, qëllimisht e përfshirë në përbërjen e një detergjenti. Papastërtitë nuk do të konsiderohen përbërës.</w:t>
      </w:r>
    </w:p>
    <w:p w:rsidR="0061744C" w:rsidRPr="00E31EBC" w:rsidRDefault="0061744C" w:rsidP="0061744C">
      <w:pPr>
        <w:pStyle w:val="Paragrafi"/>
        <w:rPr>
          <w:sz w:val="21"/>
          <w:szCs w:val="21"/>
          <w:lang w:val="sq-AL"/>
        </w:rPr>
      </w:pPr>
      <w:r w:rsidRPr="00E31EBC">
        <w:rPr>
          <w:sz w:val="21"/>
          <w:szCs w:val="21"/>
          <w:lang w:val="sq-AL"/>
        </w:rPr>
        <w:t>8. Për qëllime të këtij vendimi, një parfum, një esencë vajore ose një agjent ngjyrues do të konsiderohet si një përbërës i vetëm dhe asnjë nga substancat që ata përmbajnë nuk renditet, me përjashtim të substancave aromatike alergjene që gjenden në listën e substancave, të dhëna në pikën 11, nëse përqendrimi total i substancës aromatike alergjen</w:t>
      </w:r>
      <w:r>
        <w:rPr>
          <w:sz w:val="21"/>
          <w:szCs w:val="21"/>
          <w:lang w:val="sq-AL"/>
        </w:rPr>
        <w:t>e</w:t>
      </w:r>
      <w:r w:rsidRPr="00E31EBC">
        <w:rPr>
          <w:sz w:val="21"/>
          <w:szCs w:val="21"/>
          <w:lang w:val="sq-AL"/>
        </w:rPr>
        <w:t xml:space="preserve"> në detergjente e kalon kufirin e përcaktuar në pikën 2.4 të këtij vendimi.</w:t>
      </w:r>
    </w:p>
    <w:p w:rsidR="0061744C" w:rsidRPr="00E31EBC" w:rsidRDefault="0061744C" w:rsidP="0061744C">
      <w:pPr>
        <w:pStyle w:val="Paragrafi"/>
        <w:rPr>
          <w:sz w:val="21"/>
          <w:szCs w:val="21"/>
          <w:lang w:val="sq-AL"/>
        </w:rPr>
      </w:pPr>
      <w:r w:rsidRPr="00E31EBC">
        <w:rPr>
          <w:sz w:val="21"/>
          <w:szCs w:val="21"/>
          <w:lang w:val="sq-AL"/>
        </w:rPr>
        <w:t>9. Fabrikuesit publikojnë në faqen e tyre zyrtare të internetit pasqyrën e të dhënave të përbërësve. Emrat e përbërësve jepen sipas INCI-së, emërtimit trivial ose, kur këto emërtime nuk janë të disponueshme, përdoret emri sipas IUPAC-së. Për një parfum përdoret fjala “parfum” dhe për një agjent ngjyrues, fjala “ngjyrues”. Nuk publikohen në faqen zyrtare të internetit këto të dhëna të përbërësve:</w:t>
      </w:r>
    </w:p>
    <w:p w:rsidR="0061744C" w:rsidRPr="00E31EBC" w:rsidRDefault="0061744C" w:rsidP="0061744C">
      <w:pPr>
        <w:pStyle w:val="Paragrafi"/>
        <w:rPr>
          <w:sz w:val="21"/>
          <w:szCs w:val="21"/>
          <w:lang w:val="sq-AL"/>
        </w:rPr>
      </w:pPr>
      <w:r w:rsidRPr="00E31EBC">
        <w:rPr>
          <w:sz w:val="21"/>
          <w:szCs w:val="21"/>
          <w:lang w:val="sq-AL"/>
        </w:rPr>
        <w:t>a) informacioni për kufijtë e peshës në përqindje;</w:t>
      </w:r>
    </w:p>
    <w:p w:rsidR="0061744C" w:rsidRPr="00E31EBC" w:rsidRDefault="0061744C" w:rsidP="0061744C">
      <w:pPr>
        <w:pStyle w:val="Paragrafi"/>
        <w:rPr>
          <w:sz w:val="21"/>
          <w:szCs w:val="21"/>
          <w:lang w:val="sq-AL"/>
        </w:rPr>
      </w:pPr>
      <w:r w:rsidRPr="00E31EBC">
        <w:rPr>
          <w:sz w:val="21"/>
          <w:szCs w:val="21"/>
          <w:lang w:val="sq-AL"/>
        </w:rPr>
        <w:t>b) numrat CAS.</w:t>
      </w:r>
    </w:p>
    <w:p w:rsidR="0061744C" w:rsidRPr="00E31EBC" w:rsidRDefault="0061744C" w:rsidP="0061744C">
      <w:pPr>
        <w:pStyle w:val="Paragrafi"/>
        <w:rPr>
          <w:sz w:val="21"/>
          <w:szCs w:val="21"/>
          <w:lang w:val="sq-AL"/>
        </w:rPr>
      </w:pPr>
      <w:r w:rsidRPr="00E31EBC">
        <w:rPr>
          <w:sz w:val="21"/>
          <w:szCs w:val="21"/>
          <w:lang w:val="sq-AL"/>
        </w:rPr>
        <w:t>Hyrja në faqen e internetit duhet të jetë e lirë dhe përmbajtja e saj duhet të përditësohet.</w:t>
      </w:r>
    </w:p>
    <w:p w:rsidR="0061744C" w:rsidRPr="00E31EBC" w:rsidRDefault="0061744C" w:rsidP="0061744C">
      <w:pPr>
        <w:pStyle w:val="Paragrafi"/>
        <w:rPr>
          <w:sz w:val="21"/>
          <w:szCs w:val="21"/>
          <w:lang w:val="sq-AL"/>
        </w:rPr>
      </w:pPr>
      <w:r w:rsidRPr="00E31EBC">
        <w:rPr>
          <w:sz w:val="21"/>
          <w:szCs w:val="21"/>
          <w:lang w:val="sq-AL"/>
        </w:rPr>
        <w:lastRenderedPageBreak/>
        <w:t>10. Kër</w:t>
      </w:r>
      <w:r>
        <w:rPr>
          <w:sz w:val="21"/>
          <w:szCs w:val="21"/>
          <w:lang w:val="sq-AL"/>
        </w:rPr>
        <w:t>kesat e parashikuara në pikën 9</w:t>
      </w:r>
      <w:r w:rsidRPr="00E31EBC">
        <w:rPr>
          <w:sz w:val="21"/>
          <w:szCs w:val="21"/>
          <w:lang w:val="sq-AL"/>
        </w:rPr>
        <w:t xml:space="preserve"> të këtij vendimi, nuk zbatohen për detergjentet industriale që përmbajnë lëndë tensioaktive ose për lëndët tensioaktive për detergjentet industrial</w:t>
      </w:r>
      <w:r>
        <w:rPr>
          <w:sz w:val="21"/>
          <w:szCs w:val="21"/>
          <w:lang w:val="sq-AL"/>
        </w:rPr>
        <w:t>e</w:t>
      </w:r>
      <w:r w:rsidRPr="00E31EBC">
        <w:rPr>
          <w:sz w:val="21"/>
          <w:szCs w:val="21"/>
          <w:lang w:val="sq-AL"/>
        </w:rPr>
        <w:t>, për të cilat ekziston një pasqyrë e të dhënave teknike ose një pasqyrë e të dhënave të sigurisë.</w:t>
      </w:r>
    </w:p>
    <w:p w:rsidR="0061744C" w:rsidRPr="00E31EBC" w:rsidRDefault="0061744C" w:rsidP="0061744C">
      <w:pPr>
        <w:pStyle w:val="Paragrafi"/>
        <w:rPr>
          <w:sz w:val="21"/>
          <w:szCs w:val="21"/>
          <w:lang w:val="sq-AL"/>
        </w:rPr>
      </w:pPr>
      <w:r w:rsidRPr="00E31EBC">
        <w:rPr>
          <w:sz w:val="21"/>
          <w:szCs w:val="21"/>
          <w:lang w:val="sq-AL"/>
        </w:rPr>
        <w:t>11. Lista e alergjenëve aromatikë përfshin këto substanca:</w:t>
      </w:r>
    </w:p>
    <w:p w:rsidR="0061744C" w:rsidRPr="00E31EBC" w:rsidRDefault="0061744C" w:rsidP="0061744C">
      <w:pPr>
        <w:pStyle w:val="Paragrafi"/>
        <w:rPr>
          <w:sz w:val="21"/>
          <w:szCs w:val="21"/>
          <w:lang w:val="sq-AL"/>
        </w:rPr>
      </w:pPr>
      <w:r w:rsidRPr="00E31EBC">
        <w:rPr>
          <w:sz w:val="21"/>
          <w:szCs w:val="21"/>
          <w:lang w:val="sq-AL"/>
        </w:rPr>
        <w:t>Amil cinamal (CAS No 122-40-7);</w:t>
      </w:r>
    </w:p>
    <w:p w:rsidR="0061744C" w:rsidRPr="00E31EBC" w:rsidRDefault="0061744C" w:rsidP="0061744C">
      <w:pPr>
        <w:pStyle w:val="Paragrafi"/>
        <w:rPr>
          <w:sz w:val="21"/>
          <w:szCs w:val="21"/>
          <w:lang w:val="sq-AL"/>
        </w:rPr>
      </w:pPr>
      <w:r w:rsidRPr="00E31EBC">
        <w:rPr>
          <w:sz w:val="21"/>
          <w:szCs w:val="21"/>
          <w:lang w:val="sq-AL"/>
        </w:rPr>
        <w:t>Alkool benzilik (CAS No 100-51-6);</w:t>
      </w:r>
    </w:p>
    <w:p w:rsidR="0061744C" w:rsidRPr="00E31EBC" w:rsidRDefault="0061744C" w:rsidP="0061744C">
      <w:pPr>
        <w:pStyle w:val="Paragrafi"/>
        <w:rPr>
          <w:sz w:val="21"/>
          <w:szCs w:val="21"/>
          <w:lang w:val="sq-AL"/>
        </w:rPr>
      </w:pPr>
      <w:r w:rsidRPr="00E31EBC">
        <w:rPr>
          <w:sz w:val="21"/>
          <w:szCs w:val="21"/>
          <w:lang w:val="sq-AL"/>
        </w:rPr>
        <w:t>Alkool cinamilik (CAS No 104-54-1);</w:t>
      </w:r>
    </w:p>
    <w:p w:rsidR="0061744C" w:rsidRPr="00E31EBC" w:rsidRDefault="0061744C" w:rsidP="0061744C">
      <w:pPr>
        <w:pStyle w:val="Paragrafi"/>
        <w:rPr>
          <w:sz w:val="21"/>
          <w:szCs w:val="21"/>
          <w:lang w:val="sq-AL"/>
        </w:rPr>
      </w:pPr>
      <w:r w:rsidRPr="00E31EBC">
        <w:rPr>
          <w:sz w:val="21"/>
          <w:szCs w:val="21"/>
          <w:lang w:val="sq-AL"/>
        </w:rPr>
        <w:t>Citral (CAS No 5392-40-5);</w:t>
      </w:r>
    </w:p>
    <w:p w:rsidR="0061744C" w:rsidRPr="00E31EBC" w:rsidRDefault="0061744C" w:rsidP="0061744C">
      <w:pPr>
        <w:pStyle w:val="Paragrafi"/>
        <w:rPr>
          <w:sz w:val="21"/>
          <w:szCs w:val="21"/>
          <w:lang w:val="sq-AL"/>
        </w:rPr>
      </w:pPr>
      <w:r w:rsidRPr="00E31EBC">
        <w:rPr>
          <w:sz w:val="21"/>
          <w:szCs w:val="21"/>
          <w:lang w:val="sq-AL"/>
        </w:rPr>
        <w:t>Eugenol (CAS No 97-53-0);</w:t>
      </w:r>
    </w:p>
    <w:p w:rsidR="0061744C" w:rsidRPr="00E31EBC" w:rsidRDefault="0061744C" w:rsidP="0061744C">
      <w:pPr>
        <w:pStyle w:val="Paragrafi"/>
        <w:rPr>
          <w:sz w:val="21"/>
          <w:szCs w:val="21"/>
          <w:lang w:val="sq-AL"/>
        </w:rPr>
      </w:pPr>
      <w:r w:rsidRPr="00E31EBC">
        <w:rPr>
          <w:sz w:val="21"/>
          <w:szCs w:val="21"/>
          <w:lang w:val="sq-AL"/>
        </w:rPr>
        <w:t>Hidroksi-citronelal (CAS No 107-75-5);</w:t>
      </w:r>
    </w:p>
    <w:p w:rsidR="0061744C" w:rsidRPr="00E31EBC" w:rsidRDefault="0061744C" w:rsidP="0061744C">
      <w:pPr>
        <w:pStyle w:val="Paragrafi"/>
        <w:rPr>
          <w:sz w:val="21"/>
          <w:szCs w:val="21"/>
          <w:lang w:val="sq-AL"/>
        </w:rPr>
      </w:pPr>
      <w:r w:rsidRPr="00E31EBC">
        <w:rPr>
          <w:sz w:val="21"/>
          <w:szCs w:val="21"/>
          <w:lang w:val="sq-AL"/>
        </w:rPr>
        <w:t>Izoeugenol (CAS No 97-54-1);</w:t>
      </w:r>
    </w:p>
    <w:p w:rsidR="0061744C" w:rsidRPr="00E31EBC" w:rsidRDefault="0061744C" w:rsidP="0061744C">
      <w:pPr>
        <w:pStyle w:val="Paragrafi"/>
        <w:rPr>
          <w:sz w:val="21"/>
          <w:szCs w:val="21"/>
          <w:lang w:val="sq-AL"/>
        </w:rPr>
      </w:pPr>
      <w:r w:rsidRPr="00E31EBC">
        <w:rPr>
          <w:sz w:val="21"/>
          <w:szCs w:val="21"/>
          <w:lang w:val="sq-AL"/>
        </w:rPr>
        <w:t>Alkool amilcin-namil (CAS No 101-85-9);</w:t>
      </w:r>
    </w:p>
    <w:p w:rsidR="0061744C" w:rsidRPr="00E31EBC" w:rsidRDefault="0061744C" w:rsidP="0061744C">
      <w:pPr>
        <w:pStyle w:val="Paragrafi"/>
        <w:rPr>
          <w:sz w:val="21"/>
          <w:szCs w:val="21"/>
          <w:lang w:val="sq-AL"/>
        </w:rPr>
      </w:pPr>
      <w:r w:rsidRPr="00E31EBC">
        <w:rPr>
          <w:sz w:val="21"/>
          <w:szCs w:val="21"/>
          <w:lang w:val="sq-AL"/>
        </w:rPr>
        <w:t>Salicilat benzili (CAS No 118-58-1);</w:t>
      </w:r>
    </w:p>
    <w:p w:rsidR="0061744C" w:rsidRPr="00E31EBC" w:rsidRDefault="0061744C" w:rsidP="0061744C">
      <w:pPr>
        <w:pStyle w:val="Paragrafi"/>
        <w:rPr>
          <w:sz w:val="21"/>
          <w:szCs w:val="21"/>
          <w:lang w:val="sq-AL"/>
        </w:rPr>
      </w:pPr>
      <w:r w:rsidRPr="00E31EBC">
        <w:rPr>
          <w:sz w:val="21"/>
          <w:szCs w:val="21"/>
          <w:lang w:val="sq-AL"/>
        </w:rPr>
        <w:t>Cinamal (CAS No 104-55-2);</w:t>
      </w:r>
    </w:p>
    <w:p w:rsidR="0061744C" w:rsidRPr="00E31EBC" w:rsidRDefault="0061744C" w:rsidP="0061744C">
      <w:pPr>
        <w:pStyle w:val="Paragrafi"/>
        <w:rPr>
          <w:sz w:val="21"/>
          <w:szCs w:val="21"/>
          <w:lang w:val="sq-AL"/>
        </w:rPr>
      </w:pPr>
      <w:r w:rsidRPr="00E31EBC">
        <w:rPr>
          <w:sz w:val="21"/>
          <w:szCs w:val="21"/>
          <w:lang w:val="sq-AL"/>
        </w:rPr>
        <w:t>Kumarin (CAS No 91- 64-5);</w:t>
      </w:r>
    </w:p>
    <w:p w:rsidR="0061744C" w:rsidRPr="00E31EBC" w:rsidRDefault="0061744C" w:rsidP="0061744C">
      <w:pPr>
        <w:pStyle w:val="Paragrafi"/>
        <w:rPr>
          <w:sz w:val="21"/>
          <w:szCs w:val="21"/>
          <w:lang w:val="sq-AL"/>
        </w:rPr>
      </w:pPr>
      <w:r w:rsidRPr="00E31EBC">
        <w:rPr>
          <w:sz w:val="21"/>
          <w:szCs w:val="21"/>
          <w:lang w:val="sq-AL"/>
        </w:rPr>
        <w:t>Geraniol (CAS No 106-24-1);</w:t>
      </w:r>
    </w:p>
    <w:p w:rsidR="0061744C" w:rsidRPr="00E31EBC" w:rsidRDefault="0061744C" w:rsidP="0061744C">
      <w:pPr>
        <w:pStyle w:val="Paragrafi"/>
        <w:rPr>
          <w:sz w:val="21"/>
          <w:szCs w:val="21"/>
          <w:lang w:val="sq-AL"/>
        </w:rPr>
      </w:pPr>
      <w:r w:rsidRPr="00E31EBC">
        <w:rPr>
          <w:sz w:val="21"/>
          <w:szCs w:val="21"/>
          <w:lang w:val="sq-AL"/>
        </w:rPr>
        <w:t>Hidroksi-metilpentilciklohekzenkarboksialdehid (CAS No 31906-04-4);</w:t>
      </w:r>
    </w:p>
    <w:p w:rsidR="0061744C" w:rsidRPr="00E31EBC" w:rsidRDefault="0061744C" w:rsidP="0061744C">
      <w:pPr>
        <w:pStyle w:val="Paragrafi"/>
        <w:rPr>
          <w:sz w:val="21"/>
          <w:szCs w:val="21"/>
          <w:lang w:val="sq-AL"/>
        </w:rPr>
      </w:pPr>
      <w:r w:rsidRPr="00E31EBC">
        <w:rPr>
          <w:sz w:val="21"/>
          <w:szCs w:val="21"/>
          <w:lang w:val="sq-AL"/>
        </w:rPr>
        <w:t>Alkool anizilik (CAS No 105-13-5);</w:t>
      </w:r>
    </w:p>
    <w:p w:rsidR="0061744C" w:rsidRPr="00E31EBC" w:rsidRDefault="0061744C" w:rsidP="0061744C">
      <w:pPr>
        <w:pStyle w:val="Paragrafi"/>
        <w:rPr>
          <w:sz w:val="21"/>
          <w:szCs w:val="21"/>
          <w:lang w:val="sq-AL"/>
        </w:rPr>
      </w:pPr>
      <w:r w:rsidRPr="00E31EBC">
        <w:rPr>
          <w:sz w:val="21"/>
          <w:szCs w:val="21"/>
          <w:lang w:val="sq-AL"/>
        </w:rPr>
        <w:t>Cinamat benzili (CAS No 103-41-3);</w:t>
      </w:r>
    </w:p>
    <w:p w:rsidR="0061744C" w:rsidRPr="00E31EBC" w:rsidRDefault="0061744C" w:rsidP="0061744C">
      <w:pPr>
        <w:pStyle w:val="Paragrafi"/>
        <w:rPr>
          <w:sz w:val="21"/>
          <w:szCs w:val="21"/>
          <w:lang w:val="sq-AL"/>
        </w:rPr>
      </w:pPr>
      <w:r w:rsidRPr="00E31EBC">
        <w:rPr>
          <w:sz w:val="21"/>
          <w:szCs w:val="21"/>
          <w:lang w:val="sq-AL"/>
        </w:rPr>
        <w:t>Farnesol (CAS No 4602-84-0);</w:t>
      </w:r>
    </w:p>
    <w:p w:rsidR="0061744C" w:rsidRPr="00E31EBC" w:rsidRDefault="0061744C" w:rsidP="0061744C">
      <w:pPr>
        <w:pStyle w:val="Paragrafi"/>
        <w:rPr>
          <w:sz w:val="21"/>
          <w:szCs w:val="21"/>
          <w:lang w:val="sq-AL"/>
        </w:rPr>
      </w:pPr>
      <w:r w:rsidRPr="00E31EBC">
        <w:rPr>
          <w:sz w:val="21"/>
          <w:szCs w:val="21"/>
          <w:lang w:val="sq-AL"/>
        </w:rPr>
        <w:t>2-(4-terc-butilbenzen) propioaldehid (CAS No 80-54-6);</w:t>
      </w:r>
    </w:p>
    <w:p w:rsidR="0061744C" w:rsidRPr="00E31EBC" w:rsidRDefault="0061744C" w:rsidP="0061744C">
      <w:pPr>
        <w:pStyle w:val="Paragrafi"/>
        <w:rPr>
          <w:sz w:val="21"/>
          <w:szCs w:val="21"/>
          <w:lang w:val="sq-AL"/>
        </w:rPr>
      </w:pPr>
      <w:r w:rsidRPr="00E31EBC">
        <w:rPr>
          <w:sz w:val="21"/>
          <w:szCs w:val="21"/>
          <w:lang w:val="sq-AL"/>
        </w:rPr>
        <w:t>Linalol (CAS No 78-70-6);</w:t>
      </w:r>
    </w:p>
    <w:p w:rsidR="0061744C" w:rsidRPr="00E31EBC" w:rsidRDefault="0061744C" w:rsidP="0061744C">
      <w:pPr>
        <w:pStyle w:val="Paragrafi"/>
        <w:rPr>
          <w:sz w:val="21"/>
          <w:szCs w:val="21"/>
          <w:lang w:val="sq-AL"/>
        </w:rPr>
      </w:pPr>
      <w:r w:rsidRPr="00E31EBC">
        <w:rPr>
          <w:sz w:val="21"/>
          <w:szCs w:val="21"/>
          <w:lang w:val="sq-AL"/>
        </w:rPr>
        <w:t>Benzoat benzili (CAS No 120-51-4);</w:t>
      </w:r>
    </w:p>
    <w:p w:rsidR="0061744C" w:rsidRPr="00E31EBC" w:rsidRDefault="0061744C" w:rsidP="0061744C">
      <w:pPr>
        <w:pStyle w:val="Paragrafi"/>
        <w:rPr>
          <w:sz w:val="21"/>
          <w:szCs w:val="21"/>
          <w:lang w:val="sq-AL"/>
        </w:rPr>
      </w:pPr>
      <w:r w:rsidRPr="00E31EBC">
        <w:rPr>
          <w:sz w:val="21"/>
          <w:szCs w:val="21"/>
          <w:lang w:val="sq-AL"/>
        </w:rPr>
        <w:t>Citronelol (CAS No 106-22-9);</w:t>
      </w:r>
    </w:p>
    <w:p w:rsidR="0061744C" w:rsidRPr="00E31EBC" w:rsidRDefault="0061744C" w:rsidP="0061744C">
      <w:pPr>
        <w:pStyle w:val="Paragrafi"/>
        <w:rPr>
          <w:sz w:val="21"/>
          <w:szCs w:val="21"/>
          <w:lang w:val="sq-AL"/>
        </w:rPr>
      </w:pPr>
      <w:r w:rsidRPr="00E31EBC">
        <w:rPr>
          <w:sz w:val="21"/>
          <w:szCs w:val="21"/>
          <w:lang w:val="sq-AL"/>
        </w:rPr>
        <w:t>Hekzil cinam-aldehid (CAS No 101-86-0);</w:t>
      </w:r>
    </w:p>
    <w:p w:rsidR="0061744C" w:rsidRPr="00E31EBC" w:rsidRDefault="0061744C" w:rsidP="0061744C">
      <w:pPr>
        <w:pStyle w:val="Paragrafi"/>
        <w:rPr>
          <w:sz w:val="21"/>
          <w:szCs w:val="21"/>
          <w:lang w:val="sq-AL"/>
        </w:rPr>
      </w:pPr>
      <w:r w:rsidRPr="00E31EBC">
        <w:rPr>
          <w:sz w:val="21"/>
          <w:szCs w:val="21"/>
          <w:lang w:val="sq-AL"/>
        </w:rPr>
        <w:t>d-Limonen (CAS No 5989-27-5);</w:t>
      </w:r>
    </w:p>
    <w:p w:rsidR="0061744C" w:rsidRPr="00E31EBC" w:rsidRDefault="0061744C" w:rsidP="0061744C">
      <w:pPr>
        <w:pStyle w:val="Paragrafi"/>
        <w:rPr>
          <w:sz w:val="21"/>
          <w:szCs w:val="21"/>
          <w:lang w:val="sq-AL"/>
        </w:rPr>
      </w:pPr>
      <w:r w:rsidRPr="00E31EBC">
        <w:rPr>
          <w:sz w:val="21"/>
          <w:szCs w:val="21"/>
          <w:lang w:val="sq-AL"/>
        </w:rPr>
        <w:t>Metil heptin karbonat (CAS No 111-12-6);</w:t>
      </w:r>
    </w:p>
    <w:p w:rsidR="0061744C" w:rsidRPr="00E31EBC" w:rsidRDefault="0061744C" w:rsidP="0061744C">
      <w:pPr>
        <w:pStyle w:val="Paragrafi"/>
        <w:rPr>
          <w:sz w:val="21"/>
          <w:szCs w:val="21"/>
          <w:lang w:val="sq-AL"/>
        </w:rPr>
      </w:pPr>
      <w:r w:rsidRPr="00E31EBC">
        <w:rPr>
          <w:sz w:val="21"/>
          <w:szCs w:val="21"/>
          <w:lang w:val="sq-AL"/>
        </w:rPr>
        <w:t>3-metil-4-(2,6,6-tri-metil-2-ciklohekzen-1-il)-3-buten-2-one (CAS No 127-51-5);</w:t>
      </w:r>
    </w:p>
    <w:p w:rsidR="0061744C" w:rsidRPr="00E31EBC" w:rsidRDefault="0061744C" w:rsidP="0061744C">
      <w:pPr>
        <w:pStyle w:val="Paragrafi"/>
        <w:rPr>
          <w:sz w:val="21"/>
          <w:szCs w:val="21"/>
          <w:lang w:val="sq-AL"/>
        </w:rPr>
      </w:pPr>
      <w:r w:rsidRPr="00E31EBC">
        <w:rPr>
          <w:sz w:val="21"/>
          <w:szCs w:val="21"/>
          <w:lang w:val="sq-AL"/>
        </w:rPr>
        <w:t>Myshk lisi dhe ekstrat myshqesh peme (CAS No 90028-68-55);</w:t>
      </w:r>
    </w:p>
    <w:p w:rsidR="0061744C" w:rsidRPr="00E31EBC" w:rsidRDefault="0061744C" w:rsidP="0061744C">
      <w:pPr>
        <w:pStyle w:val="Paragrafi"/>
        <w:rPr>
          <w:sz w:val="21"/>
          <w:szCs w:val="21"/>
          <w:lang w:val="sq-AL"/>
        </w:rPr>
      </w:pPr>
      <w:r w:rsidRPr="00E31EBC">
        <w:rPr>
          <w:sz w:val="21"/>
          <w:szCs w:val="21"/>
          <w:lang w:val="sq-AL"/>
        </w:rPr>
        <w:t>Ekstrakte të myshqeve të pemëve (CAS No 90028-67-4).</w:t>
      </w:r>
    </w:p>
    <w:p w:rsidR="0061744C" w:rsidRPr="00E31EBC" w:rsidRDefault="0061744C" w:rsidP="0061744C">
      <w:pPr>
        <w:pStyle w:val="Paragrafi"/>
        <w:rPr>
          <w:sz w:val="21"/>
          <w:szCs w:val="21"/>
          <w:lang w:val="sq-AL"/>
        </w:rPr>
      </w:pPr>
      <w:r w:rsidRPr="00E31EBC">
        <w:rPr>
          <w:sz w:val="21"/>
          <w:szCs w:val="21"/>
          <w:lang w:val="sq-AL"/>
        </w:rPr>
        <w:t>Ky vendim hyn në fuqi pas botimit në Fletoren Zyrtare.</w:t>
      </w:r>
    </w:p>
    <w:p w:rsidR="0061744C" w:rsidRPr="007057C8" w:rsidRDefault="0061744C" w:rsidP="0061744C">
      <w:pPr>
        <w:pStyle w:val="Paragrafi"/>
        <w:rPr>
          <w:sz w:val="14"/>
          <w:szCs w:val="21"/>
          <w:lang w:val="sq-AL"/>
        </w:rPr>
      </w:pPr>
    </w:p>
    <w:p w:rsidR="0061744C" w:rsidRPr="00E31EBC" w:rsidRDefault="0061744C" w:rsidP="0061744C">
      <w:pPr>
        <w:pStyle w:val="Autoriteti"/>
        <w:rPr>
          <w:sz w:val="21"/>
          <w:szCs w:val="21"/>
          <w:lang w:val="sq-AL"/>
        </w:rPr>
      </w:pPr>
      <w:r w:rsidRPr="00E31EBC">
        <w:rPr>
          <w:sz w:val="21"/>
          <w:szCs w:val="21"/>
          <w:lang w:val="sq-AL"/>
        </w:rPr>
        <w:t>KRYEMINISTRI</w:t>
      </w:r>
    </w:p>
    <w:p w:rsidR="0061744C" w:rsidRPr="00E31EBC" w:rsidRDefault="0061744C" w:rsidP="0061744C">
      <w:pPr>
        <w:pStyle w:val="AutoritetiEmer"/>
        <w:rPr>
          <w:sz w:val="21"/>
          <w:szCs w:val="21"/>
          <w:lang w:val="sq-AL"/>
        </w:rPr>
      </w:pPr>
      <w:r w:rsidRPr="00E31EBC">
        <w:rPr>
          <w:sz w:val="21"/>
          <w:szCs w:val="21"/>
          <w:lang w:val="sq-AL"/>
        </w:rPr>
        <w:t>Sali Berisha</w:t>
      </w:r>
    </w:p>
    <w:sectPr w:rsidR="0061744C" w:rsidRPr="00E31EB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66A" w:rsidRDefault="00FF766A">
      <w:r>
        <w:separator/>
      </w:r>
    </w:p>
  </w:endnote>
  <w:endnote w:type="continuationSeparator" w:id="0">
    <w:p w:rsidR="00FF766A" w:rsidRDefault="00FF7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66A" w:rsidRDefault="00FF766A">
      <w:r>
        <w:separator/>
      </w:r>
    </w:p>
  </w:footnote>
  <w:footnote w:type="continuationSeparator" w:id="0">
    <w:p w:rsidR="00FF766A" w:rsidRDefault="00FF766A">
      <w:r>
        <w:continuationSeparator/>
      </w:r>
    </w:p>
  </w:footnote>
  <w:footnote w:id="1">
    <w:p w:rsidR="0061744C" w:rsidRPr="0061744C" w:rsidRDefault="0061744C" w:rsidP="0061744C">
      <w:pPr>
        <w:pStyle w:val="Paragrafi"/>
        <w:rPr>
          <w:sz w:val="18"/>
          <w:szCs w:val="18"/>
        </w:rPr>
      </w:pPr>
      <w:r w:rsidRPr="0061744C">
        <w:rPr>
          <w:rStyle w:val="FootnoteReference"/>
          <w:sz w:val="18"/>
          <w:szCs w:val="18"/>
        </w:rPr>
        <w:footnoteRef/>
      </w:r>
      <w:r w:rsidRPr="0061744C">
        <w:rPr>
          <w:sz w:val="18"/>
          <w:szCs w:val="18"/>
        </w:rPr>
        <w:t xml:space="preserve"> Ky vendim transpozon aneksin VII të rregullores (EC) nr.648/2004 të Këshillit dhe Parlamentit Europian, datë 31 mars 2004, për detergjentet, numri CELEX: 32004R0648, Fletorja Zyrtare e Bashkimit Europian, seria L, nr.104, datë 8.4.2004, faqe 1-35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744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C06D2"/>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1744C"/>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 w:val="00FF7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9D74404-ABBE-403B-BA21-2B64F2B2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aliases w:val="Footnote Reference S"/>
    <w:basedOn w:val="DefaultParagraphFont"/>
    <w:semiHidden/>
    <w:rsid w:val="006A303A"/>
    <w:rPr>
      <w:vertAlign w:val="superscript"/>
    </w:rPr>
  </w:style>
  <w:style w:type="paragraph" w:styleId="FootnoteText">
    <w:name w:val="footnote text"/>
    <w:aliases w:val="Footnote Text Blue"/>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61744C"/>
    <w:rPr>
      <w:rFonts w:ascii="CG Times" w:eastAsia="MS Mincho" w:hAnsi="CG Times" w:cs="CG Times"/>
      <w:sz w:val="22"/>
      <w:szCs w:val="22"/>
      <w:lang w:val="en-US" w:eastAsia="en-US" w:bidi="ar-SA"/>
    </w:rPr>
  </w:style>
  <w:style w:type="character" w:customStyle="1" w:styleId="FootnoteTextChar">
    <w:name w:val="Footnote Text Char"/>
    <w:aliases w:val="Footnote Text Blue Char"/>
    <w:basedOn w:val="DefaultParagraphFont"/>
    <w:link w:val="FootnoteText"/>
    <w:locked/>
    <w:rsid w:val="0061744C"/>
    <w:rPr>
      <w:rFonts w:eastAsia="MS Mincho"/>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