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BEF" w:rsidRPr="00E577C2" w:rsidRDefault="00C33BEF" w:rsidP="00C33BEF">
      <w:pPr>
        <w:pStyle w:val="Akti"/>
        <w:keepNext w:val="0"/>
        <w:rPr>
          <w:lang w:val="sq-AL"/>
        </w:rPr>
      </w:pPr>
      <w:bookmarkStart w:id="0" w:name="_GoBack"/>
      <w:bookmarkEnd w:id="0"/>
      <w:r w:rsidRPr="00E577C2">
        <w:rPr>
          <w:lang w:val="sq-AL"/>
        </w:rPr>
        <w:t> VENDIM </w:t>
      </w:r>
    </w:p>
    <w:p w:rsidR="00C33BEF" w:rsidRPr="00E577C2" w:rsidRDefault="00C33BEF" w:rsidP="00C33BEF">
      <w:pPr>
        <w:pStyle w:val="NumriData"/>
        <w:keepNext w:val="0"/>
        <w:rPr>
          <w:lang w:val="sq-AL"/>
        </w:rPr>
      </w:pPr>
      <w:r w:rsidRPr="00E577C2">
        <w:rPr>
          <w:lang w:val="sq-AL"/>
        </w:rPr>
        <w:t>Nr.815, datë 23.11.2011</w:t>
      </w:r>
    </w:p>
    <w:p w:rsidR="00C33BEF" w:rsidRPr="00E577C2" w:rsidRDefault="00C33BEF" w:rsidP="00C33BEF">
      <w:pPr>
        <w:pStyle w:val="Paragrafi"/>
        <w:rPr>
          <w:lang w:val="sq-AL"/>
        </w:rPr>
      </w:pPr>
    </w:p>
    <w:p w:rsidR="00C33BEF" w:rsidRPr="00E577C2" w:rsidRDefault="00C33BEF" w:rsidP="00C33BEF">
      <w:pPr>
        <w:pStyle w:val="Titulli"/>
        <w:keepNext w:val="0"/>
        <w:rPr>
          <w:lang w:val="sq-AL"/>
        </w:rPr>
      </w:pPr>
      <w:r w:rsidRPr="00E577C2">
        <w:rPr>
          <w:lang w:val="sq-AL"/>
        </w:rPr>
        <w:t>PËR NJË NDRYSHIM NË VENDIMIN NR.153, DATË 7.4.2000 TË KËSHILLIT TË MINISTRAVE “PËR MIRATIMIN E RREGULLORES SË ZBATIMIT TË KODIT RRUGOR  TË REPUBLIKËS SË SHQIPËRISË”, TË NDRYSHUAR</w:t>
      </w:r>
    </w:p>
    <w:p w:rsidR="00C33BEF" w:rsidRPr="00E577C2" w:rsidRDefault="00C33BEF" w:rsidP="00C33BEF">
      <w:pPr>
        <w:pStyle w:val="Paragrafi"/>
        <w:rPr>
          <w:lang w:val="sq-AL"/>
        </w:rPr>
      </w:pPr>
    </w:p>
    <w:p w:rsidR="00C33BEF" w:rsidRPr="00E577C2" w:rsidRDefault="00C33BEF" w:rsidP="00C33BEF">
      <w:pPr>
        <w:pStyle w:val="Paragrafi"/>
        <w:rPr>
          <w:lang w:val="sq-AL"/>
        </w:rPr>
      </w:pPr>
      <w:r w:rsidRPr="00E577C2">
        <w:rPr>
          <w:lang w:val="sq-AL"/>
        </w:rPr>
        <w:t>Në mbështetje të nenit 100 të Kushtetutës dhe të ligjit nr.8378, datë 22.7.1998 “Kodi Rrugor i Republikës së Shqipërisë”, të ndryshuar, me propozimin e Ministrit të Punëve Publike dhe Transportit, Këshilli i Ministrave</w:t>
      </w:r>
    </w:p>
    <w:p w:rsidR="00C33BEF" w:rsidRPr="00E577C2" w:rsidRDefault="00C33BEF" w:rsidP="00C33BEF">
      <w:pPr>
        <w:pStyle w:val="Paragrafi"/>
        <w:rPr>
          <w:lang w:val="sq-AL"/>
        </w:rPr>
      </w:pPr>
    </w:p>
    <w:p w:rsidR="00C33BEF" w:rsidRPr="00E577C2" w:rsidRDefault="00C33BEF" w:rsidP="00C33BEF">
      <w:pPr>
        <w:pStyle w:val="VENDOSI"/>
        <w:keepNext w:val="0"/>
        <w:rPr>
          <w:lang w:val="sq-AL"/>
        </w:rPr>
      </w:pPr>
      <w:r w:rsidRPr="00E577C2">
        <w:rPr>
          <w:lang w:val="sq-AL"/>
        </w:rPr>
        <w:t>VENDOSI:</w:t>
      </w:r>
    </w:p>
    <w:p w:rsidR="00C33BEF" w:rsidRPr="00E577C2" w:rsidRDefault="00C33BEF" w:rsidP="00C33BEF">
      <w:pPr>
        <w:pStyle w:val="Paragrafi"/>
        <w:rPr>
          <w:lang w:val="sq-AL"/>
        </w:rPr>
      </w:pPr>
    </w:p>
    <w:p w:rsidR="00C33BEF" w:rsidRPr="00E577C2" w:rsidRDefault="00C33BEF" w:rsidP="00C33BEF">
      <w:pPr>
        <w:pStyle w:val="Paragrafi"/>
        <w:rPr>
          <w:lang w:val="sq-AL"/>
        </w:rPr>
      </w:pPr>
      <w:r w:rsidRPr="00E577C2">
        <w:rPr>
          <w:lang w:val="sq-AL"/>
        </w:rPr>
        <w:t>1. Neni 71/1, “Auditimi i sigurisë rrugore”, i rregullores së zbatimit të Kodit Rrugor të Republikës së Shqipërisë, miratuar me vendimin nr.153, datë 7.4.2000 të Këshillit të Ministrave, ndryshohet, si më poshtë vijon:</w:t>
      </w:r>
    </w:p>
    <w:p w:rsidR="00C33BEF" w:rsidRPr="00E577C2" w:rsidRDefault="00C33BEF" w:rsidP="00C33BEF">
      <w:pPr>
        <w:pStyle w:val="Paragrafi"/>
        <w:rPr>
          <w:lang w:val="sq-AL"/>
        </w:rPr>
      </w:pPr>
    </w:p>
    <w:p w:rsidR="00C33BEF" w:rsidRPr="00E577C2" w:rsidRDefault="00C33BEF" w:rsidP="00C33BEF">
      <w:pPr>
        <w:pStyle w:val="NeniNr"/>
        <w:keepNext w:val="0"/>
        <w:rPr>
          <w:lang w:val="sq-AL"/>
        </w:rPr>
      </w:pPr>
      <w:r w:rsidRPr="00E577C2">
        <w:rPr>
          <w:lang w:val="sq-AL"/>
        </w:rPr>
        <w:t>“Neni 71/1</w:t>
      </w:r>
    </w:p>
    <w:p w:rsidR="00C33BEF" w:rsidRPr="00E577C2" w:rsidRDefault="00C33BEF" w:rsidP="00C33BEF">
      <w:pPr>
        <w:pStyle w:val="NeniTitull"/>
        <w:keepNext w:val="0"/>
        <w:rPr>
          <w:lang w:val="sq-AL"/>
        </w:rPr>
      </w:pPr>
      <w:r w:rsidRPr="00E577C2">
        <w:rPr>
          <w:lang w:val="sq-AL"/>
        </w:rPr>
        <w:t>Auditimi i sigurisë rrugore (Neni 35 i Kodit Rrugor)</w:t>
      </w:r>
    </w:p>
    <w:p w:rsidR="00C33BEF" w:rsidRPr="00E577C2" w:rsidRDefault="00C33BEF" w:rsidP="00C33BEF">
      <w:pPr>
        <w:pStyle w:val="Paragrafi"/>
        <w:rPr>
          <w:lang w:val="sq-AL"/>
        </w:rPr>
      </w:pPr>
    </w:p>
    <w:p w:rsidR="00C33BEF" w:rsidRPr="00E577C2" w:rsidRDefault="00C33BEF" w:rsidP="00C33BEF">
      <w:pPr>
        <w:pStyle w:val="Paragrafi"/>
        <w:rPr>
          <w:lang w:val="sq-AL"/>
        </w:rPr>
      </w:pPr>
      <w:r w:rsidRPr="00E577C2">
        <w:rPr>
          <w:lang w:val="sq-AL"/>
        </w:rPr>
        <w:t xml:space="preserve">1. Auditimi i sigurisë rrugore nënkupton kontrollin e pavarur dhe sistematik të projektit për ndërtimin dhe rehabilitimin e rrugëve, si dhe të projekteve të sinjalizimit rrugor apo instalimeve të tjera të trafikut, për të zbuluar e parandaluar gabimet në projektim ose zbatim, të cilat përbëjnë rrezik për ndodhjen e aksidenteve rrugore. Auditimi është mbështetje për entin pronar të rrugës, personin përgjegjës të projektit, si dhe atë zbatues të punimeve. Auditimi është i detyrueshëm për çdo projekt për ndërtimin dhe rehabilitimin e rrugëve apo instalimeve të tjera të trafikut nga pikëpamja e sigurisë rrugore dhe kryhet sipas metodave standarde, të përcaktuara me udhëzim të përbashkët të ministrit që mbulon veprimtarinë e transportit dhe të ministrit që mbulon veprimtarinë e pushtetit vendor. </w:t>
      </w:r>
    </w:p>
    <w:p w:rsidR="00C33BEF" w:rsidRPr="00E577C2" w:rsidRDefault="00C33BEF" w:rsidP="00C33BEF">
      <w:pPr>
        <w:pStyle w:val="Paragrafi"/>
        <w:rPr>
          <w:lang w:val="sq-AL"/>
        </w:rPr>
      </w:pPr>
      <w:r w:rsidRPr="00E577C2">
        <w:rPr>
          <w:lang w:val="sq-AL"/>
        </w:rPr>
        <w:t>2. Auditimi i sigurisë rrugore kryhet nga subjekte juridike. Personat e certifikuar si auditues, përfaqësues të këtyre subjekteve, duhet të kenë përvojë pune mbi 5 (pesë) vjet në fushën e sigurisë rrugore. Auditimi i sigurisë rrugore kryhet, së paku, nga dy auditues.</w:t>
      </w:r>
    </w:p>
    <w:p w:rsidR="00C33BEF" w:rsidRPr="00E577C2" w:rsidRDefault="00C33BEF" w:rsidP="00C33BEF">
      <w:pPr>
        <w:pStyle w:val="Paragrafi"/>
        <w:rPr>
          <w:lang w:val="sq-AL"/>
        </w:rPr>
      </w:pPr>
      <w:r w:rsidRPr="00E577C2">
        <w:rPr>
          <w:lang w:val="sq-AL"/>
        </w:rPr>
        <w:t xml:space="preserve">3. Subjekti, që kryen auditimin e sigurisë rrugore, caktohet në përputhje me legjislacionin e  prokurimit të fondeve publike. </w:t>
      </w:r>
    </w:p>
    <w:p w:rsidR="00C33BEF" w:rsidRPr="00E577C2" w:rsidRDefault="00C33BEF" w:rsidP="00C33BEF">
      <w:pPr>
        <w:pStyle w:val="Paragrafi"/>
        <w:rPr>
          <w:lang w:val="sq-AL"/>
        </w:rPr>
      </w:pPr>
      <w:r w:rsidRPr="00E577C2">
        <w:rPr>
          <w:lang w:val="sq-AL"/>
        </w:rPr>
        <w:t>4. Rregullat, kriteret, procedurat dhe dokumentacioni për përzgjedhjen e personave, të cilët do të kryejnë auditimin/inspektimin e sigurisë rrugore, si dhe veprimtaria e tyre përcaktohen me udhëzim të përbashkët të ministrit që mbulon veprimtarinë e transportit dhe të ministrit që mbulon veprimtarinë e pushtetit vendor.</w:t>
      </w:r>
    </w:p>
    <w:p w:rsidR="00C33BEF" w:rsidRPr="00E577C2" w:rsidRDefault="00C33BEF" w:rsidP="00C33BEF">
      <w:pPr>
        <w:pStyle w:val="Paragrafi"/>
        <w:rPr>
          <w:lang w:val="sq-AL"/>
        </w:rPr>
      </w:pPr>
      <w:r w:rsidRPr="00E577C2">
        <w:rPr>
          <w:lang w:val="sq-AL"/>
        </w:rPr>
        <w:t xml:space="preserve">5. Auditimi i sigurisë rrugore duhet të jetë pjesë përbërëse e procesit të hartimit të projekteve të infrastrukturës dhe kryhet në fazat e projektidesë, të projektit të zbatimit dhe gjatë të gjithë periudhës së ndërtimit dhe asaj të kolaudimit. Në rrugët  ekzistuese, kryhet inspektimi i sigurisë rrugore. </w:t>
      </w:r>
    </w:p>
    <w:p w:rsidR="00C33BEF" w:rsidRPr="00E577C2" w:rsidRDefault="00C33BEF" w:rsidP="00C33BEF">
      <w:pPr>
        <w:pStyle w:val="Paragrafi"/>
        <w:rPr>
          <w:lang w:val="sq-AL"/>
        </w:rPr>
      </w:pPr>
      <w:r w:rsidRPr="00E577C2">
        <w:rPr>
          <w:lang w:val="sq-AL"/>
        </w:rPr>
        <w:t>6. Subjekti juridik i auditimit të sigurisë rrugore paraqet një raport me shkrim për çdo fazë të projektit të infrastrukturës, ku trajton edhe ndryshimet në projekt/ose në rrugë, që ai rekomandon, si dhe arsyet. Ky raport u dërgohet subjektit projektues, entit pronar të rrugës dhe njësisë së monitorimit e kontrollit të procesit të auditimit në ministrinë që mbulon veprimtarinë e transportit.</w:t>
      </w:r>
    </w:p>
    <w:p w:rsidR="00C33BEF" w:rsidRPr="00E577C2" w:rsidRDefault="00C33BEF" w:rsidP="00C33BEF">
      <w:pPr>
        <w:pStyle w:val="Paragrafi"/>
        <w:rPr>
          <w:lang w:val="sq-AL"/>
        </w:rPr>
      </w:pPr>
      <w:r w:rsidRPr="00E577C2">
        <w:rPr>
          <w:lang w:val="sq-AL"/>
        </w:rPr>
        <w:t>7. Subjekti projektues është i detyruar të marrë në konsideratë raportin e auditimit të sigurisë rrugore dhe të reflektojë për përmbajtjen e tij duke përpiluar me shkrim arsyet e pranimit ose jo të raportit apo duke dhënë një zgjidhje tjetër nga ajo e propozuar dhe u dorëzon nga një kopje entit pronar të rrugës, njësisë së monitorimit e kontrollit të procesit të auditimit në ministrinë që mbulon veprimtarinë e transportit dhe vetë subjektit juridik që ka kryer auditimin.</w:t>
      </w:r>
    </w:p>
    <w:p w:rsidR="00C33BEF" w:rsidRPr="00E577C2" w:rsidRDefault="00C33BEF" w:rsidP="00C33BEF">
      <w:pPr>
        <w:pStyle w:val="Paragrafi"/>
        <w:rPr>
          <w:lang w:val="sq-AL"/>
        </w:rPr>
      </w:pPr>
      <w:r w:rsidRPr="00E577C2">
        <w:rPr>
          <w:lang w:val="sq-AL"/>
        </w:rPr>
        <w:t xml:space="preserve">8. Në rastin e inspektimit të sigurisë rrugore në rrugët ekzistuese, grupi i inspektimit i dorëzon entit pronar të rrugës, së cilës i bëhet ky inspektim, një raport, me shkrim, ku parashtron të gjitha </w:t>
      </w:r>
      <w:r w:rsidRPr="00E577C2">
        <w:rPr>
          <w:lang w:val="sq-AL"/>
        </w:rPr>
        <w:lastRenderedPageBreak/>
        <w:t>problemet e vëna re dhe propozimet për zgjidhjen e tyre.</w:t>
      </w:r>
    </w:p>
    <w:p w:rsidR="00C33BEF" w:rsidRPr="00E577C2" w:rsidRDefault="00C33BEF" w:rsidP="00C33BEF">
      <w:pPr>
        <w:pStyle w:val="Paragrafi"/>
        <w:rPr>
          <w:lang w:val="sq-AL"/>
        </w:rPr>
      </w:pPr>
      <w:r w:rsidRPr="00E577C2">
        <w:rPr>
          <w:lang w:val="sq-AL"/>
        </w:rPr>
        <w:t xml:space="preserve">9. Raportet e audituesve/inspektuesve dhe deklaratat, e përmendura në pikën 7 të këtij vendimi, i bashkëlidhen dokumentacionit të projektit. </w:t>
      </w:r>
    </w:p>
    <w:p w:rsidR="00C33BEF" w:rsidRPr="00E577C2" w:rsidRDefault="00C33BEF" w:rsidP="00C33BEF">
      <w:pPr>
        <w:pStyle w:val="Paragrafi"/>
        <w:rPr>
          <w:lang w:val="sq-AL"/>
        </w:rPr>
      </w:pPr>
      <w:r w:rsidRPr="00E577C2">
        <w:rPr>
          <w:lang w:val="sq-AL"/>
        </w:rPr>
        <w:t>10. Për kryerjen e auditimit/inspektimit të sigurisë rrugore, për t’u orientuar gjatë lidhjes së kontratave, tarifat do të jenë, si më poshtë vijon:</w:t>
      </w:r>
    </w:p>
    <w:p w:rsidR="00C33BEF" w:rsidRPr="00E577C2" w:rsidRDefault="00C33BEF" w:rsidP="00C33BEF">
      <w:pPr>
        <w:pStyle w:val="Paragrafi"/>
        <w:rPr>
          <w:lang w:val="sq-AL"/>
        </w:rPr>
      </w:pPr>
      <w:r w:rsidRPr="00E577C2">
        <w:rPr>
          <w:lang w:val="sq-AL"/>
        </w:rPr>
        <w:t xml:space="preserve">a) Tarifa për kryerjen e auditimit të sigurisë rrugore për projektet për ndërtimin, për rehabilitimin dhe/ose modernizimin e rrugëve, do të ketë  një vlerë deri 0,3 %  nga vlera e përgjithshme e investimit. </w:t>
      </w:r>
    </w:p>
    <w:p w:rsidR="00C33BEF" w:rsidRDefault="00C33BEF" w:rsidP="00C33BEF">
      <w:pPr>
        <w:pStyle w:val="Paragrafi"/>
        <w:rPr>
          <w:lang w:val="sq-AL"/>
        </w:rPr>
      </w:pPr>
      <w:r w:rsidRPr="00E577C2">
        <w:rPr>
          <w:lang w:val="sq-AL"/>
        </w:rPr>
        <w:t>b) Për inspektimin e sigurisë rrugore në rrugët ekzistuese të hapura për trafikun, tarifa do të jetë një çështje e marrëveshjes kontraktuale, ndërmjet enteve pronare të rrugëve e inspektorëve dhe do të ketë një vlerë deri në 1% të vlerës së  përgjithshme të investimit.”.</w:t>
      </w:r>
    </w:p>
    <w:p w:rsidR="00C33BEF" w:rsidRPr="00E577C2" w:rsidRDefault="00C33BEF" w:rsidP="00C33BEF">
      <w:pPr>
        <w:pStyle w:val="Paragrafi"/>
        <w:rPr>
          <w:lang w:val="sq-AL"/>
        </w:rPr>
      </w:pPr>
      <w:r w:rsidRPr="00E577C2">
        <w:rPr>
          <w:lang w:val="sq-AL"/>
        </w:rPr>
        <w:t>2. Ngarkohen entet pronare të rrugëve dhe institucionet përgjegjëse për ndjekjen e zbatimin e këtij vendimi, si dhe për planifikimin e fondeve të nevojshme, mbështetur në buxhetin e tyre.</w:t>
      </w:r>
    </w:p>
    <w:p w:rsidR="00C33BEF" w:rsidRPr="00E577C2" w:rsidRDefault="00C33BEF" w:rsidP="00C33BEF">
      <w:pPr>
        <w:pStyle w:val="Paragrafi"/>
        <w:rPr>
          <w:lang w:val="sq-AL"/>
        </w:rPr>
      </w:pPr>
      <w:r w:rsidRPr="00E577C2">
        <w:rPr>
          <w:lang w:val="sq-AL"/>
        </w:rPr>
        <w:t>Ky vendim hyn në fuqi pas botimit në Fletoren Zyrtare.</w:t>
      </w:r>
    </w:p>
    <w:p w:rsidR="00C33BEF" w:rsidRPr="009E3FA6" w:rsidRDefault="00C33BEF" w:rsidP="00C33BEF">
      <w:pPr>
        <w:pStyle w:val="Paragrafi"/>
        <w:rPr>
          <w:sz w:val="16"/>
          <w:lang w:val="sq-AL"/>
        </w:rPr>
      </w:pPr>
    </w:p>
    <w:p w:rsidR="00477590" w:rsidRPr="00C33BEF" w:rsidRDefault="00C33BEF" w:rsidP="00C33BEF">
      <w:pPr>
        <w:pStyle w:val="Autoriteti"/>
        <w:rPr>
          <w:b/>
        </w:rPr>
      </w:pPr>
      <w:r w:rsidRPr="00C33BEF">
        <w:rPr>
          <w:rFonts w:eastAsia="MS Mincho"/>
        </w:rPr>
        <w:t>KRYEMINISTRI</w:t>
      </w:r>
      <w:r w:rsidRPr="00C33BEF">
        <w:rPr>
          <w:rFonts w:eastAsia="MS Mincho"/>
        </w:rPr>
        <w:br/>
      </w:r>
      <w:r w:rsidRPr="00C33BEF">
        <w:rPr>
          <w:b/>
          <w:caps w:val="0"/>
        </w:rPr>
        <w:t>Sali Berisha</w:t>
      </w:r>
    </w:p>
    <w:sectPr w:rsidR="00477590" w:rsidRPr="00C33BEF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33BEF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C33BEF"/>
    <w:rsid w:val="00CE1FC0"/>
    <w:rsid w:val="00D5435B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31D9CAC-0D55-475A-9BF9-BBF1BADC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BEF"/>
    <w:rPr>
      <w:rFonts w:ascii="Times New Roman" w:eastAsia="MS Mincho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uiPriority w:val="99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C33BEF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C33BEF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C33BEF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C33BEF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2019-03-19T14:58:00Z</dcterms:created>
  <dcterms:modified xsi:type="dcterms:W3CDTF">2019-03-19T14:58:00Z</dcterms:modified>
</cp:coreProperties>
</file>