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C5E" w:rsidRPr="00C47834" w:rsidRDefault="008F5C5E" w:rsidP="008F5C5E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C47834">
        <w:rPr>
          <w:sz w:val="21"/>
          <w:szCs w:val="21"/>
          <w:lang w:val="sq-AL"/>
        </w:rPr>
        <w:t>VENDIM</w:t>
      </w:r>
    </w:p>
    <w:p w:rsidR="008F5C5E" w:rsidRPr="00C47834" w:rsidRDefault="008F5C5E" w:rsidP="008F5C5E">
      <w:pPr>
        <w:pStyle w:val="NumriData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Nr.850, datë 14.12.2011</w:t>
      </w:r>
    </w:p>
    <w:p w:rsidR="008F5C5E" w:rsidRPr="00C47834" w:rsidRDefault="008F5C5E" w:rsidP="003E24F5">
      <w:pPr>
        <w:pStyle w:val="Paragrafi"/>
        <w:rPr>
          <w:lang w:val="sq-AL"/>
        </w:rPr>
      </w:pPr>
    </w:p>
    <w:p w:rsidR="008F5C5E" w:rsidRPr="00C47834" w:rsidRDefault="008F5C5E" w:rsidP="008F5C5E">
      <w:pPr>
        <w:pStyle w:val="Titull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PËR DISA SHTESA DHE NDRYSHIME NË VENDIMIN NR.23, DATË 12.1.2011 TË KËSHILLIT TË MINISTRAVE “PËR PËRCAKTIMIN E FUNKSIONEVE, TË PËRGJEGJËSIVE DHE TË MARRËDHËNIEVE NDËRMJET AUTORITETEVE TË STRUKTURAVE TË MENAXHIMIT TË DECENTRALIZUAR TË ASISTENCËS SË BASHKIMIT EUROPIAN, NË KUADËR TË INSTRUMENTIT TË PARAZGJERIMIT (IPA), KOMPONENTI I, ASISTENCA E TRANZICIONIT DHE FORCIMI INSTITUCIONAL”</w:t>
      </w:r>
      <w:r w:rsidRPr="00C47834">
        <w:rPr>
          <w:rStyle w:val="FootnoteReference"/>
          <w:sz w:val="21"/>
          <w:szCs w:val="21"/>
          <w:lang w:val="sq-AL"/>
        </w:rPr>
        <w:footnoteReference w:id="1"/>
      </w:r>
      <w:r w:rsidRPr="00C47834">
        <w:rPr>
          <w:sz w:val="21"/>
          <w:szCs w:val="21"/>
          <w:lang w:val="sq-AL"/>
        </w:rPr>
        <w:t xml:space="preserve"> </w:t>
      </w:r>
    </w:p>
    <w:p w:rsidR="008F5C5E" w:rsidRPr="00C47834" w:rsidRDefault="008F5C5E" w:rsidP="008F5C5E">
      <w:pPr>
        <w:pStyle w:val="Titulli"/>
        <w:rPr>
          <w:sz w:val="21"/>
          <w:szCs w:val="21"/>
          <w:lang w:val="sq-AL"/>
        </w:rPr>
      </w:pPr>
    </w:p>
    <w:p w:rsidR="008F5C5E" w:rsidRPr="00C47834" w:rsidRDefault="008F5C5E" w:rsidP="008F5C5E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Në mbështetje të nenit 100 të Kushtetutës, të neneve 6 e 8 të ligjit nr.9840, datë 10.12.2007 “Për ratifikimin e marrëveshjes kuadër, ndërmjet Këshillit të Ministrave të Republikës së Shqipërisë dhe Komisionit të Komuniteteve Europiane, për rregullat e bashkëpunimit financiar për asistencën për Shqipërinë, në kuadër të zbatimit të instrumentit të parazgjerimit (IPA)”, me propozimin e Ministrit të Financave, Këshilli i Ministrave</w:t>
      </w:r>
    </w:p>
    <w:p w:rsidR="008F5C5E" w:rsidRPr="00C47834" w:rsidRDefault="008F5C5E" w:rsidP="008F5C5E">
      <w:pPr>
        <w:pStyle w:val="Paragrafi"/>
        <w:rPr>
          <w:sz w:val="21"/>
          <w:szCs w:val="21"/>
          <w:lang w:val="sq-AL"/>
        </w:rPr>
      </w:pPr>
    </w:p>
    <w:p w:rsidR="008F5C5E" w:rsidRPr="00C47834" w:rsidRDefault="008F5C5E" w:rsidP="008F5C5E">
      <w:pPr>
        <w:pStyle w:val="VENDOS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VENDOSI:</w:t>
      </w:r>
    </w:p>
    <w:p w:rsidR="008F5C5E" w:rsidRPr="00C47834" w:rsidRDefault="008F5C5E" w:rsidP="008F5C5E">
      <w:pPr>
        <w:pStyle w:val="Paragrafi"/>
        <w:rPr>
          <w:sz w:val="21"/>
          <w:szCs w:val="21"/>
          <w:lang w:val="sq-AL"/>
        </w:rPr>
      </w:pPr>
    </w:p>
    <w:p w:rsidR="008F5C5E" w:rsidRPr="00C47834" w:rsidRDefault="008F5C5E" w:rsidP="008F5C5E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Në</w:t>
      </w:r>
      <w:r>
        <w:rPr>
          <w:sz w:val="21"/>
          <w:szCs w:val="21"/>
          <w:lang w:val="sq-AL"/>
        </w:rPr>
        <w:t xml:space="preserve"> vendimin nr.23, datë 12.1.2011</w:t>
      </w:r>
      <w:r w:rsidRPr="00C47834">
        <w:rPr>
          <w:sz w:val="21"/>
          <w:szCs w:val="21"/>
          <w:lang w:val="sq-AL"/>
        </w:rPr>
        <w:t xml:space="preserve"> të Këshillit të Ministrave, bëhen këto shtesa dhe ndryshime:</w:t>
      </w: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380"/>
        <w:gridCol w:w="7659"/>
      </w:tblGrid>
      <w:tr w:rsidR="008F5C5E" w:rsidRPr="00C47834">
        <w:tc>
          <w:tcPr>
            <w:tcW w:w="284" w:type="dxa"/>
          </w:tcPr>
          <w:p w:rsidR="008F5C5E" w:rsidRPr="00C47834" w:rsidRDefault="008F5C5E" w:rsidP="00F9158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a)</w:t>
            </w:r>
          </w:p>
        </w:tc>
        <w:tc>
          <w:tcPr>
            <w:tcW w:w="8186" w:type="dxa"/>
          </w:tcPr>
          <w:p w:rsidR="008F5C5E" w:rsidRPr="00C47834" w:rsidRDefault="008F5C5E" w:rsidP="00F9158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Nënndarja “iv” e shkronjës “ç” të pikës 3</w:t>
            </w:r>
            <w:r w:rsidRPr="00C47834">
              <w:rPr>
                <w:sz w:val="21"/>
                <w:szCs w:val="21"/>
                <w:lang w:val="sq-AL"/>
              </w:rPr>
              <w:t xml:space="preserve"> ndryshohet, si më poshtë vijon:</w:t>
            </w:r>
          </w:p>
        </w:tc>
      </w:tr>
    </w:tbl>
    <w:p w:rsidR="008F5C5E" w:rsidRPr="00C47834" w:rsidRDefault="008F5C5E" w:rsidP="008F5C5E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“iv) Zyra e KKIPA-së/NIPAC-së, në ministrinë përgjegjëse për integrimin europian përgatit dhe zbaton manualin e brendshëm të procedurave, i cili miratohet nga KKIPA-ja/NIPAC-ja dhe konfirmohet nga ZKA-ja/NAO-ja;”.</w:t>
      </w: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391"/>
        <w:gridCol w:w="7648"/>
      </w:tblGrid>
      <w:tr w:rsidR="008F5C5E" w:rsidRPr="00C47834">
        <w:tc>
          <w:tcPr>
            <w:tcW w:w="284" w:type="dxa"/>
          </w:tcPr>
          <w:p w:rsidR="008F5C5E" w:rsidRPr="00C47834" w:rsidRDefault="008F5C5E" w:rsidP="00F91582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b)</w:t>
            </w:r>
          </w:p>
        </w:tc>
        <w:tc>
          <w:tcPr>
            <w:tcW w:w="8186" w:type="dxa"/>
          </w:tcPr>
          <w:p w:rsidR="008F5C5E" w:rsidRPr="00C47834" w:rsidRDefault="008F5C5E" w:rsidP="00F9158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 Nënndarja “v”</w:t>
            </w:r>
            <w:r w:rsidRPr="00C47834">
              <w:rPr>
                <w:sz w:val="21"/>
                <w:szCs w:val="21"/>
                <w:lang w:val="sq-AL"/>
              </w:rPr>
              <w:t xml:space="preserve"> e shkron</w:t>
            </w:r>
            <w:r>
              <w:rPr>
                <w:sz w:val="21"/>
                <w:szCs w:val="21"/>
                <w:lang w:val="sq-AL"/>
              </w:rPr>
              <w:t>jës “c”</w:t>
            </w:r>
            <w:r w:rsidRPr="00C47834">
              <w:rPr>
                <w:sz w:val="21"/>
                <w:szCs w:val="21"/>
                <w:lang w:val="sq-AL"/>
              </w:rPr>
              <w:t xml:space="preserve"> të pikës 4, ndryshohet, si më poshtë vijon:</w:t>
            </w:r>
          </w:p>
        </w:tc>
      </w:tr>
    </w:tbl>
    <w:p w:rsidR="008F5C5E" w:rsidRPr="00C47834" w:rsidRDefault="008F5C5E" w:rsidP="008F5C5E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 xml:space="preserve"> “v) Miraton manualin e brendshëm të procedurave për ZKA-në/NAO-në, për Fondin Kombëtar, për Zyrën e NAO-s, dhe për ZAP-në/PAO-në, përgatitur nga këta të fundit.”.</w:t>
      </w: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380"/>
        <w:gridCol w:w="7659"/>
      </w:tblGrid>
      <w:tr w:rsidR="008F5C5E" w:rsidRPr="00C47834">
        <w:tc>
          <w:tcPr>
            <w:tcW w:w="284" w:type="dxa"/>
          </w:tcPr>
          <w:p w:rsidR="008F5C5E" w:rsidRPr="00C47834" w:rsidRDefault="008F5C5E" w:rsidP="00F91582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c)</w:t>
            </w:r>
          </w:p>
        </w:tc>
        <w:tc>
          <w:tcPr>
            <w:tcW w:w="8186" w:type="dxa"/>
          </w:tcPr>
          <w:p w:rsidR="008F5C5E" w:rsidRPr="00C47834" w:rsidRDefault="008F5C5E" w:rsidP="00F9158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 Shkronja “b” e pikës 5</w:t>
            </w:r>
            <w:r w:rsidRPr="00C47834">
              <w:rPr>
                <w:sz w:val="21"/>
                <w:szCs w:val="21"/>
                <w:lang w:val="sq-AL"/>
              </w:rPr>
              <w:t xml:space="preserve"> ndryshohet, si më poshtë vijon:</w:t>
            </w:r>
          </w:p>
        </w:tc>
      </w:tr>
    </w:tbl>
    <w:p w:rsidR="008F5C5E" w:rsidRPr="00C47834" w:rsidRDefault="008F5C5E" w:rsidP="008F5C5E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“b) ZKA-ja/NAO-ja është autoritet i menaxhimit të decentralizuar, që menaxhon veprimtarinë e Fondit Kombëtar, të cilit i është ngarkuar përgjegjësia për menaxhimin financiar të fondeve të Bashkimit Europian dhe Zyrës së NAO-s, së cilës i është ngarkuar përgjegjësia për funksionimin efektiv të  sistemeve të menaxhimit dhe të kontrollit.”.</w:t>
      </w: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432"/>
        <w:gridCol w:w="7607"/>
      </w:tblGrid>
      <w:tr w:rsidR="008F5C5E" w:rsidRPr="00C47834">
        <w:tc>
          <w:tcPr>
            <w:tcW w:w="310" w:type="dxa"/>
          </w:tcPr>
          <w:p w:rsidR="008F5C5E" w:rsidRPr="00C47834" w:rsidRDefault="008F5C5E" w:rsidP="00F91582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ç) </w:t>
            </w:r>
          </w:p>
        </w:tc>
        <w:tc>
          <w:tcPr>
            <w:tcW w:w="8160" w:type="dxa"/>
          </w:tcPr>
          <w:p w:rsidR="008F5C5E" w:rsidRPr="00C47834" w:rsidRDefault="008F5C5E" w:rsidP="00F9158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Nënndarja “xvi” e shkronjës “c”</w:t>
            </w:r>
            <w:r w:rsidRPr="00C47834">
              <w:rPr>
                <w:sz w:val="21"/>
                <w:szCs w:val="21"/>
                <w:lang w:val="sq-AL"/>
              </w:rPr>
              <w:t xml:space="preserve"> të pikës 5, ndryshohet, si më poshtë vijon:</w:t>
            </w:r>
          </w:p>
        </w:tc>
      </w:tr>
    </w:tbl>
    <w:p w:rsidR="008F5C5E" w:rsidRPr="00C47834" w:rsidRDefault="008F5C5E" w:rsidP="008F5C5E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“xvi) Miraton manualet e brendshme të procedurave për Fondin Kombëtar, Zyrën e NAO-s, ZAP-në/PAO-në dhe Agjencinë Implementuese, si dhe konfirmon manualet e brendshme të procedurave të zyrës së KKIPA-së/NIPAC”.</w:t>
      </w: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444"/>
        <w:gridCol w:w="7595"/>
      </w:tblGrid>
      <w:tr w:rsidR="008F5C5E" w:rsidRPr="00C47834">
        <w:tc>
          <w:tcPr>
            <w:tcW w:w="322" w:type="dxa"/>
          </w:tcPr>
          <w:p w:rsidR="008F5C5E" w:rsidRPr="00C47834" w:rsidRDefault="008F5C5E" w:rsidP="00F91582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d) </w:t>
            </w:r>
          </w:p>
        </w:tc>
        <w:tc>
          <w:tcPr>
            <w:tcW w:w="8148" w:type="dxa"/>
          </w:tcPr>
          <w:p w:rsidR="008F5C5E" w:rsidRPr="00C47834" w:rsidRDefault="008F5C5E" w:rsidP="00F9158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Në fund të shkronjës “c”</w:t>
            </w:r>
            <w:r w:rsidRPr="00C47834">
              <w:rPr>
                <w:sz w:val="21"/>
                <w:szCs w:val="21"/>
                <w:lang w:val="sq-AL"/>
              </w:rPr>
              <w:t xml:space="preserve"> të pikës 5, shtohet një paragraf  me këtë përmbajtje:</w:t>
            </w:r>
          </w:p>
        </w:tc>
      </w:tr>
    </w:tbl>
    <w:p w:rsidR="008F5C5E" w:rsidRPr="00C47834" w:rsidRDefault="008F5C5E" w:rsidP="008F5C5E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 xml:space="preserve"> “ZKA-ja/NAO-ja ushtron të gjitha të drejtat si nëpunës i parë autorizues në lidhje me fondet e Bashkimit </w:t>
      </w:r>
      <w:r>
        <w:rPr>
          <w:sz w:val="21"/>
          <w:szCs w:val="21"/>
          <w:lang w:val="sq-AL"/>
        </w:rPr>
        <w:t>Europian,  në zbatim të nenit 7</w:t>
      </w:r>
      <w:r w:rsidRPr="00C47834">
        <w:rPr>
          <w:sz w:val="21"/>
          <w:szCs w:val="21"/>
          <w:lang w:val="sq-AL"/>
        </w:rPr>
        <w:t xml:space="preserve"> të ligjit nr.10 294, datë 1.7.2010 “Për inspektimin financiar publik”, dhe në përputhje të plotë me nën</w:t>
      </w:r>
      <w:r>
        <w:rPr>
          <w:sz w:val="21"/>
          <w:szCs w:val="21"/>
          <w:lang w:val="sq-AL"/>
        </w:rPr>
        <w:t>ndarjet 4 e 5 të shkronjës “a”</w:t>
      </w:r>
      <w:r w:rsidRPr="00C47834">
        <w:rPr>
          <w:sz w:val="21"/>
          <w:szCs w:val="21"/>
          <w:lang w:val="sq-AL"/>
        </w:rPr>
        <w:t xml:space="preserve"> të ane</w:t>
      </w:r>
      <w:r>
        <w:rPr>
          <w:sz w:val="21"/>
          <w:szCs w:val="21"/>
          <w:lang w:val="sq-AL"/>
        </w:rPr>
        <w:t>ksit A</w:t>
      </w:r>
      <w:r w:rsidRPr="00C47834">
        <w:rPr>
          <w:sz w:val="21"/>
          <w:szCs w:val="21"/>
          <w:lang w:val="sq-AL"/>
        </w:rPr>
        <w:t xml:space="preserve"> të Marrëveshjes Kuadër, ndërmjet Këshillit të Ministrave të Republikës së Shqipërisë dhe Komisionit të Komuniteteve Europiane, për rregullat e bashkëpunimit financiar për asistencën për Shqipërinë, në kuadër të zbatimit të instrumentit të paraaderimit (IPA).”.</w:t>
      </w: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549"/>
        <w:gridCol w:w="7490"/>
      </w:tblGrid>
      <w:tr w:rsidR="008F5C5E" w:rsidRPr="00C47834">
        <w:tc>
          <w:tcPr>
            <w:tcW w:w="432" w:type="dxa"/>
          </w:tcPr>
          <w:p w:rsidR="008F5C5E" w:rsidRPr="00C47834" w:rsidRDefault="008F5C5E" w:rsidP="00F91582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dh) </w:t>
            </w:r>
          </w:p>
        </w:tc>
        <w:tc>
          <w:tcPr>
            <w:tcW w:w="8038" w:type="dxa"/>
          </w:tcPr>
          <w:p w:rsidR="008F5C5E" w:rsidRPr="00C47834" w:rsidRDefault="008F5C5E" w:rsidP="00F9158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Në fund të pikës 6 shtohet një paragraf, me këtë përmbajtje:</w:t>
            </w:r>
          </w:p>
        </w:tc>
      </w:tr>
    </w:tbl>
    <w:p w:rsidR="008F5C5E" w:rsidRPr="00C47834" w:rsidRDefault="008F5C5E" w:rsidP="008F5C5E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“Me kërkesë të ZKA-së/NAO-së, Zyra e ZKA-së/NAO-së kryen kontrolle në vend në Drejtorinë e Përgjithshme të Financimeve dhe Kontraktimeve, agjencitë implementuese, si dhe strukturat e</w:t>
      </w:r>
      <w:r>
        <w:rPr>
          <w:sz w:val="21"/>
          <w:szCs w:val="21"/>
          <w:lang w:val="sq-AL"/>
        </w:rPr>
        <w:t xml:space="preserve"> IPA-s, në ministritë e linjës/i</w:t>
      </w:r>
      <w:r w:rsidRPr="00C47834">
        <w:rPr>
          <w:sz w:val="21"/>
          <w:szCs w:val="21"/>
          <w:lang w:val="sq-AL"/>
        </w:rPr>
        <w:t xml:space="preserve">nstitucionet përfituese, për kontrollin dhe monitorimin më të frytshëm të projekteve të financuara nën IPA-në, si dhe për të siguruar ligjshmërinë dhe rregullsinë e transaksioneve lidhur me to, bazuar në shkronjën “a” </w:t>
      </w:r>
      <w:r>
        <w:rPr>
          <w:sz w:val="21"/>
          <w:szCs w:val="21"/>
          <w:lang w:val="sq-AL"/>
        </w:rPr>
        <w:t>të  pikës 4 dhe pikën 5 të aneksit A</w:t>
      </w:r>
      <w:r w:rsidRPr="00C47834">
        <w:rPr>
          <w:sz w:val="21"/>
          <w:szCs w:val="21"/>
          <w:lang w:val="sq-AL"/>
        </w:rPr>
        <w:t xml:space="preserve"> të </w:t>
      </w:r>
      <w:r w:rsidRPr="00C47834">
        <w:rPr>
          <w:sz w:val="21"/>
          <w:szCs w:val="21"/>
          <w:lang w:val="sq-AL"/>
        </w:rPr>
        <w:lastRenderedPageBreak/>
        <w:t>Marrëveshjes k</w:t>
      </w:r>
      <w:r>
        <w:rPr>
          <w:sz w:val="21"/>
          <w:szCs w:val="21"/>
          <w:lang w:val="sq-AL"/>
        </w:rPr>
        <w:t>uadër, në përputhje me pikën 3 të nenit 25</w:t>
      </w:r>
      <w:r w:rsidRPr="00C47834">
        <w:rPr>
          <w:sz w:val="21"/>
          <w:szCs w:val="21"/>
          <w:lang w:val="sq-AL"/>
        </w:rPr>
        <w:t xml:space="preserve"> të rregullores IPA 718/2007”.</w:t>
      </w:r>
    </w:p>
    <w:p w:rsidR="008F5C5E" w:rsidRPr="00C47834" w:rsidRDefault="008F5C5E" w:rsidP="008F5C5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e) Shkronja “d” e pikës 7</w:t>
      </w:r>
      <w:r w:rsidRPr="00C47834">
        <w:rPr>
          <w:sz w:val="21"/>
          <w:szCs w:val="21"/>
          <w:lang w:val="sq-AL"/>
        </w:rPr>
        <w:t xml:space="preserve"> shfuqizohet.</w:t>
      </w:r>
    </w:p>
    <w:p w:rsidR="008F5C5E" w:rsidRPr="00C47834" w:rsidRDefault="008F5C5E" w:rsidP="008F5C5E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 xml:space="preserve">ë) Nënndarjet </w:t>
      </w:r>
      <w:r>
        <w:rPr>
          <w:sz w:val="21"/>
          <w:szCs w:val="21"/>
          <w:lang w:val="sq-AL"/>
        </w:rPr>
        <w:t>“</w:t>
      </w:r>
      <w:r w:rsidRPr="00C47834">
        <w:rPr>
          <w:sz w:val="21"/>
          <w:szCs w:val="21"/>
          <w:lang w:val="sq-AL"/>
        </w:rPr>
        <w:t>i</w:t>
      </w:r>
      <w:r>
        <w:rPr>
          <w:sz w:val="21"/>
          <w:szCs w:val="21"/>
          <w:lang w:val="sq-AL"/>
        </w:rPr>
        <w:t>”</w:t>
      </w:r>
      <w:r w:rsidRPr="00C47834">
        <w:rPr>
          <w:sz w:val="21"/>
          <w:szCs w:val="21"/>
          <w:lang w:val="sq-AL"/>
        </w:rPr>
        <w:t xml:space="preserve">, </w:t>
      </w:r>
      <w:r>
        <w:rPr>
          <w:sz w:val="21"/>
          <w:szCs w:val="21"/>
          <w:lang w:val="sq-AL"/>
        </w:rPr>
        <w:t>“</w:t>
      </w:r>
      <w:r w:rsidRPr="00C47834">
        <w:rPr>
          <w:sz w:val="21"/>
          <w:szCs w:val="21"/>
          <w:lang w:val="sq-AL"/>
        </w:rPr>
        <w:t>ii</w:t>
      </w:r>
      <w:r>
        <w:rPr>
          <w:sz w:val="21"/>
          <w:szCs w:val="21"/>
          <w:lang w:val="sq-AL"/>
        </w:rPr>
        <w:t>”</w:t>
      </w:r>
      <w:r w:rsidRPr="00C47834">
        <w:rPr>
          <w:sz w:val="21"/>
          <w:szCs w:val="21"/>
          <w:lang w:val="sq-AL"/>
        </w:rPr>
        <w:t xml:space="preserve"> dhe </w:t>
      </w:r>
      <w:r>
        <w:rPr>
          <w:sz w:val="21"/>
          <w:szCs w:val="21"/>
          <w:lang w:val="sq-AL"/>
        </w:rPr>
        <w:t>“</w:t>
      </w:r>
      <w:r w:rsidRPr="00C47834">
        <w:rPr>
          <w:sz w:val="21"/>
          <w:szCs w:val="21"/>
          <w:lang w:val="sq-AL"/>
        </w:rPr>
        <w:t>iii</w:t>
      </w:r>
      <w:r>
        <w:rPr>
          <w:sz w:val="21"/>
          <w:szCs w:val="21"/>
          <w:lang w:val="sq-AL"/>
        </w:rPr>
        <w:t>”, të shkronjës “ç”</w:t>
      </w:r>
      <w:r w:rsidRPr="00C47834">
        <w:rPr>
          <w:sz w:val="21"/>
          <w:szCs w:val="21"/>
          <w:lang w:val="sq-AL"/>
        </w:rPr>
        <w:t xml:space="preserve"> të pikës  11,  ndryshojnë, si më poshtë vijon:</w:t>
      </w:r>
    </w:p>
    <w:p w:rsidR="008F5C5E" w:rsidRDefault="008F5C5E" w:rsidP="008F5C5E">
      <w:pPr>
        <w:pStyle w:val="Paragrafi"/>
        <w:rPr>
          <w:sz w:val="21"/>
          <w:szCs w:val="21"/>
          <w:lang w:val="sq-AL"/>
        </w:rPr>
      </w:pPr>
      <w:r w:rsidRPr="00324C43">
        <w:rPr>
          <w:sz w:val="21"/>
          <w:szCs w:val="21"/>
          <w:lang w:val="sq-AL"/>
        </w:rPr>
        <w:t>“i)</w:t>
      </w:r>
      <w:r w:rsidRPr="00C03D79">
        <w:rPr>
          <w:sz w:val="21"/>
          <w:szCs w:val="21"/>
          <w:lang w:val="sq-AL"/>
        </w:rPr>
        <w:t xml:space="preserve"> </w:t>
      </w:r>
      <w:r w:rsidRPr="00324C43">
        <w:rPr>
          <w:sz w:val="21"/>
          <w:szCs w:val="21"/>
          <w:lang w:val="sq-AL"/>
        </w:rPr>
        <w:t>Organizon procesin e programimit në përputhje me manualin përkatës të programimit;</w:t>
      </w:r>
    </w:p>
    <w:p w:rsidR="008F5C5E" w:rsidRDefault="008F5C5E" w:rsidP="008F5C5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324C43">
        <w:rPr>
          <w:sz w:val="21"/>
          <w:szCs w:val="21"/>
          <w:lang w:val="sq-AL"/>
        </w:rPr>
        <w:t>ii)</w:t>
      </w:r>
      <w:r>
        <w:rPr>
          <w:sz w:val="21"/>
          <w:szCs w:val="21"/>
          <w:lang w:val="sq-AL"/>
        </w:rPr>
        <w:t xml:space="preserve"> </w:t>
      </w:r>
      <w:r w:rsidRPr="00324C43">
        <w:rPr>
          <w:sz w:val="21"/>
          <w:szCs w:val="21"/>
          <w:lang w:val="sq-AL"/>
        </w:rPr>
        <w:t>Është përgjegjëse për përgatitjen e raporteve vjetore/përfundimtare për zbatimin, organizimin e takimeve të Komitetit të Monitorimit  IPA dhe për ndjekjen e zbatimit të rekomandimeve të dala nga këto takime, si dhe  për monitorimin në nivel projekti dhe programi, bazuar në manualin e monitorimit dhe të vlerësimit;</w:t>
      </w:r>
    </w:p>
    <w:p w:rsidR="008F5C5E" w:rsidRDefault="008F5C5E" w:rsidP="008F5C5E">
      <w:pPr>
        <w:pStyle w:val="Paragrafi"/>
        <w:rPr>
          <w:sz w:val="21"/>
          <w:szCs w:val="21"/>
          <w:lang w:val="sq-AL"/>
        </w:rPr>
      </w:pPr>
      <w:r w:rsidRPr="00324C43">
        <w:rPr>
          <w:sz w:val="21"/>
          <w:szCs w:val="21"/>
          <w:lang w:val="sq-AL"/>
        </w:rPr>
        <w:t>iii)</w:t>
      </w:r>
      <w:r w:rsidRPr="005E5189">
        <w:rPr>
          <w:sz w:val="21"/>
          <w:szCs w:val="21"/>
          <w:lang w:val="sq-AL"/>
        </w:rPr>
        <w:t xml:space="preserve"> </w:t>
      </w:r>
      <w:r w:rsidRPr="00324C43">
        <w:rPr>
          <w:sz w:val="21"/>
          <w:szCs w:val="21"/>
          <w:lang w:val="sq-AL"/>
        </w:rPr>
        <w:t>Është përgjegjëse për përgatitjen e planit interim të vlerësimit për programet e komponentit I të IPA-së, si dhe dorëzimin e vlerësimeve interim pranë KKIPA-së/NIPAC-së, të cilin ky i fundit e paraqet në Komitetin e Monitorimit, IPA. Zyra e KKIPA-së /NIPAC-së përgatit termat e referencës për marrjen e vlerësuesve interim dhe shërben si pikë kontakti gjatë vlerësimeve interim.”.</w:t>
      </w:r>
    </w:p>
    <w:p w:rsidR="008F5C5E" w:rsidRPr="00C47834" w:rsidRDefault="008F5C5E" w:rsidP="008F5C5E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 xml:space="preserve">f) Shkronja “d” e pikës </w:t>
      </w:r>
      <w:r>
        <w:rPr>
          <w:sz w:val="21"/>
          <w:szCs w:val="21"/>
          <w:lang w:val="sq-AL"/>
        </w:rPr>
        <w:t>11</w:t>
      </w:r>
      <w:r w:rsidRPr="00C47834">
        <w:rPr>
          <w:sz w:val="21"/>
          <w:szCs w:val="21"/>
          <w:lang w:val="sq-AL"/>
        </w:rPr>
        <w:t xml:space="preserve"> shfuqizohet.</w:t>
      </w:r>
    </w:p>
    <w:p w:rsidR="008F5C5E" w:rsidRPr="00C47834" w:rsidRDefault="008F5C5E" w:rsidP="008F5C5E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Ky vendim hyn në fuqi menjëherë dhe botohet në Fletoren Zyrtare.</w:t>
      </w:r>
    </w:p>
    <w:p w:rsidR="008F5C5E" w:rsidRPr="00C47834" w:rsidRDefault="008F5C5E" w:rsidP="008F5C5E">
      <w:pPr>
        <w:pStyle w:val="Autoriteti"/>
        <w:rPr>
          <w:sz w:val="21"/>
          <w:szCs w:val="21"/>
          <w:lang w:val="sq-AL"/>
        </w:rPr>
      </w:pPr>
    </w:p>
    <w:p w:rsidR="008F5C5E" w:rsidRPr="00C47834" w:rsidRDefault="008F5C5E" w:rsidP="008F5C5E">
      <w:pPr>
        <w:pStyle w:val="Autoritet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KRYEMINISTRI</w:t>
      </w:r>
    </w:p>
    <w:p w:rsidR="008F5C5E" w:rsidRPr="00C47834" w:rsidRDefault="008F5C5E" w:rsidP="008F5C5E">
      <w:pPr>
        <w:pStyle w:val="AutoritetiEmer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 xml:space="preserve"> Sali Berisha</w:t>
      </w:r>
    </w:p>
    <w:sectPr w:rsidR="008F5C5E" w:rsidRPr="00C478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692" w:rsidRDefault="007D0692">
      <w:r>
        <w:separator/>
      </w:r>
    </w:p>
  </w:endnote>
  <w:endnote w:type="continuationSeparator" w:id="0">
    <w:p w:rsidR="007D0692" w:rsidRDefault="007D0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692" w:rsidRDefault="007D0692">
      <w:r>
        <w:separator/>
      </w:r>
    </w:p>
  </w:footnote>
  <w:footnote w:type="continuationSeparator" w:id="0">
    <w:p w:rsidR="007D0692" w:rsidRDefault="007D0692">
      <w:r>
        <w:continuationSeparator/>
      </w:r>
    </w:p>
  </w:footnote>
  <w:footnote w:id="1">
    <w:p w:rsidR="008F5C5E" w:rsidRPr="00BC63B1" w:rsidRDefault="008F5C5E" w:rsidP="008F5C5E">
      <w:pPr>
        <w:pStyle w:val="FootnoteText"/>
        <w:jc w:val="both"/>
        <w:rPr>
          <w:rFonts w:ascii="CG Times" w:hAnsi="CG Times"/>
          <w:sz w:val="18"/>
          <w:szCs w:val="18"/>
          <w:lang w:val="en-US"/>
        </w:rPr>
      </w:pPr>
      <w:r w:rsidRPr="00BC63B1">
        <w:rPr>
          <w:rStyle w:val="FootnoteReference"/>
          <w:sz w:val="18"/>
          <w:szCs w:val="18"/>
        </w:rPr>
        <w:footnoteRef/>
      </w:r>
      <w:r w:rsidRPr="00BC63B1">
        <w:rPr>
          <w:sz w:val="18"/>
          <w:szCs w:val="18"/>
        </w:rPr>
        <w:t xml:space="preserve"> </w:t>
      </w:r>
      <w:r>
        <w:rPr>
          <w:rFonts w:ascii="CG Times" w:hAnsi="CG Times"/>
          <w:sz w:val="18"/>
          <w:szCs w:val="18"/>
          <w:lang w:val="en-US"/>
        </w:rPr>
        <w:t>Shënim.</w:t>
      </w:r>
      <w:r w:rsidRPr="00BC63B1">
        <w:rPr>
          <w:rFonts w:ascii="CG Times" w:hAnsi="CG Times"/>
          <w:sz w:val="18"/>
          <w:szCs w:val="18"/>
          <w:lang w:val="en-US"/>
        </w:rPr>
        <w:t xml:space="preserve"> Në përputhje me EU acquis, ID celex-32007R0718, Commission Regulation (EC) No 718/2007 of 12 June 2007 implementing Council Regulation (EC) No 1085/2006 establishing an instrument for pre-accession assistance (IPA)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5C5E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24F5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D0692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8F5C5E"/>
    <w:rsid w:val="009010E6"/>
    <w:rsid w:val="00907285"/>
    <w:rsid w:val="00934964"/>
    <w:rsid w:val="009438E2"/>
    <w:rsid w:val="009474C3"/>
    <w:rsid w:val="00973507"/>
    <w:rsid w:val="009A651E"/>
    <w:rsid w:val="009B02F1"/>
    <w:rsid w:val="009B0352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582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D1B830-3DF5-46BA-953B-9A5846146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5C5E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8F5C5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8F5C5E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8F5C5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FootnoteTextChar">
    <w:name w:val="Footnote Text Char"/>
    <w:basedOn w:val="DefaultParagraphFont"/>
    <w:link w:val="FootnoteText"/>
    <w:rsid w:val="008F5C5E"/>
    <w:rPr>
      <w:rFonts w:eastAsia="MS Mincho"/>
      <w:lang w:val="sq-AL" w:eastAsia="en-US" w:bidi="ar-SA"/>
    </w:rPr>
  </w:style>
  <w:style w:type="character" w:customStyle="1" w:styleId="AutoritetiChar">
    <w:name w:val="Autoriteti Char"/>
    <w:basedOn w:val="DefaultParagraphFont"/>
    <w:link w:val="Autoriteti"/>
    <w:rsid w:val="008F5C5E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2019-03-19T15:05:00Z</dcterms:created>
  <dcterms:modified xsi:type="dcterms:W3CDTF">2019-03-19T15:05:00Z</dcterms:modified>
</cp:coreProperties>
</file>