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9A" w:rsidRPr="000007A0" w:rsidRDefault="009C199A" w:rsidP="009C199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007A0">
        <w:rPr>
          <w:sz w:val="21"/>
          <w:szCs w:val="21"/>
          <w:lang w:val="sq-AL"/>
        </w:rPr>
        <w:t>VENDIM </w:t>
      </w:r>
    </w:p>
    <w:p w:rsidR="009C199A" w:rsidRPr="000007A0" w:rsidRDefault="009C199A" w:rsidP="009C199A">
      <w:pPr>
        <w:pStyle w:val="NumriData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Nr.876, datë 14.12.2011</w:t>
      </w:r>
    </w:p>
    <w:p w:rsidR="009C199A" w:rsidRPr="003F5406" w:rsidRDefault="009C199A" w:rsidP="009C199A">
      <w:pPr>
        <w:pStyle w:val="Paragrafi"/>
        <w:rPr>
          <w:sz w:val="14"/>
          <w:szCs w:val="21"/>
          <w:lang w:val="sq-AL"/>
        </w:rPr>
      </w:pPr>
    </w:p>
    <w:p w:rsidR="009C199A" w:rsidRPr="000007A0" w:rsidRDefault="009C199A" w:rsidP="009C199A">
      <w:pPr>
        <w:pStyle w:val="Titull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 PËR SHPRONËSIMIN, PËR INTERES PUBLIK, TË PRONARËVE  TË PASURIVE TË  PALUAJTSHME, PRONË PRIVATE, QË PREKEN NGA NDËRTIMI I SEGMENTIT RRUGOR, DALJA URA E VASHËS - BULQIZË</w:t>
      </w:r>
    </w:p>
    <w:p w:rsidR="009C199A" w:rsidRPr="003F5406" w:rsidRDefault="009C199A" w:rsidP="009C199A">
      <w:pPr>
        <w:pStyle w:val="Paragrafi"/>
        <w:rPr>
          <w:sz w:val="16"/>
          <w:szCs w:val="21"/>
          <w:lang w:val="sq-AL"/>
        </w:rPr>
      </w:pP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Në mbështetje të nenit 100 të Kushtetutës, të neneve 5, pika 1, 20 e 21  të ligjit nr.8561, datë 22.12.1999 “Për shpronësimet dhe marrjen në përdorim të përkohshëm të pasurisë, pronë private, për interes publik” dhe të ligjit nr.10 355, datë 2.12.2010 “Për buxhetin e vitit 2011”, të ndryshuar, me propozimin e Ministrit të Punëve Publike dhe Transportit, Këshilli  Ministrave</w:t>
      </w:r>
    </w:p>
    <w:p w:rsidR="009C199A" w:rsidRPr="003F5406" w:rsidRDefault="009C199A" w:rsidP="009C199A">
      <w:pPr>
        <w:pStyle w:val="VENDOSI"/>
        <w:keepNext w:val="0"/>
        <w:rPr>
          <w:sz w:val="18"/>
          <w:szCs w:val="21"/>
          <w:lang w:val="sq-AL"/>
        </w:rPr>
      </w:pPr>
    </w:p>
    <w:p w:rsidR="009C199A" w:rsidRPr="000007A0" w:rsidRDefault="009C199A" w:rsidP="009C199A">
      <w:pPr>
        <w:pStyle w:val="VENDOS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VENDOSI:</w:t>
      </w:r>
    </w:p>
    <w:p w:rsidR="009C199A" w:rsidRPr="003F5406" w:rsidRDefault="009C199A" w:rsidP="009C199A">
      <w:pPr>
        <w:pStyle w:val="Paragrafi"/>
        <w:rPr>
          <w:sz w:val="12"/>
          <w:szCs w:val="21"/>
          <w:lang w:val="sq-AL"/>
        </w:rPr>
      </w:pP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1. Shpronësimin, për interes publik, të pronarëve të pasurive të paluajtshme, pronë private, që preken nga ndërtimi i segmentit rrugor, dalja Ura e Vashës-Bulqizë.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2. Shpronësimi bëhet në favor të Drejtorisë së Përgjithshme të Rrugëve.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3. Pronarët e pasurive të paluajtshme, që shpronësohen, të kompensohen në vlerë të plotë, sipas masës përkatëse, që paraqitet në tabelën bashkëlidhur  këtij  vendimi, për sipërfaqen 100 487 (</w:t>
      </w:r>
      <w:r>
        <w:rPr>
          <w:sz w:val="21"/>
          <w:szCs w:val="21"/>
          <w:lang w:val="sq-AL"/>
        </w:rPr>
        <w:t>njëqind mijë e katërqind</w:t>
      </w:r>
      <w:r w:rsidRPr="000007A0">
        <w:rPr>
          <w:sz w:val="21"/>
          <w:szCs w:val="21"/>
          <w:lang w:val="sq-AL"/>
        </w:rPr>
        <w:t xml:space="preserve"> e tetë</w:t>
      </w:r>
      <w:r>
        <w:rPr>
          <w:sz w:val="21"/>
          <w:szCs w:val="21"/>
          <w:lang w:val="sq-AL"/>
        </w:rPr>
        <w:t>dhjet</w:t>
      </w:r>
      <w:r w:rsidRPr="008C2EF5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e shtat</w:t>
      </w:r>
      <w:r w:rsidRPr="008C2EF5">
        <w:rPr>
          <w:sz w:val="21"/>
          <w:szCs w:val="21"/>
          <w:lang w:val="sq-AL"/>
        </w:rPr>
        <w:t>ë</w:t>
      </w:r>
      <w:r w:rsidRPr="000007A0">
        <w:rPr>
          <w:sz w:val="21"/>
          <w:szCs w:val="21"/>
          <w:lang w:val="sq-AL"/>
        </w:rPr>
        <w:t>) m</w:t>
      </w:r>
      <w:r w:rsidRPr="000007A0">
        <w:rPr>
          <w:sz w:val="21"/>
          <w:szCs w:val="21"/>
          <w:vertAlign w:val="superscript"/>
          <w:lang w:val="sq-AL"/>
        </w:rPr>
        <w:t>2</w:t>
      </w:r>
      <w:r w:rsidRPr="000007A0">
        <w:rPr>
          <w:sz w:val="21"/>
          <w:szCs w:val="21"/>
          <w:lang w:val="sq-AL"/>
        </w:rPr>
        <w:t>, tokë arë, me vlerë 19 205 301 (nëntëmbëdhjetë milionë e dyqind e pesë mijë e treqind e një) lekë, për sipërfaqen 1 733 (një mijë e shtatëqind e tridhjetë e tre) m</w:t>
      </w:r>
      <w:r w:rsidRPr="000007A0">
        <w:rPr>
          <w:sz w:val="21"/>
          <w:szCs w:val="21"/>
          <w:vertAlign w:val="superscript"/>
          <w:lang w:val="sq-AL"/>
        </w:rPr>
        <w:t>2</w:t>
      </w:r>
      <w:r w:rsidRPr="000007A0">
        <w:rPr>
          <w:sz w:val="21"/>
          <w:szCs w:val="21"/>
          <w:lang w:val="sq-AL"/>
        </w:rPr>
        <w:t>, tokë truall, me vlerë 1 123 213 (një milion e njëqind e njëzet e tre mijë e dyqind e trembëdhjetë) lekë, për objekte,  me vlerë 9 501 938 (nëntë milionë e pesëqind e një mijë e  nëntëqind e tridhjetë e tetë) lekë, si dhe për kultura bujqësore, me vlerë 527 061 (pesëqind e njëzet e shtatë mijë e gjashtëdhjetë e një) lekë, me vlerë të përgjithshme shpronësimi prej 30 357 513 (tridhjetë milionë e treqind e pesëdhjetë e shtatë mijë e pesëqind e trembëdhjetë) lekësh.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4. Shpenzimet procedurale, në vlerën 1 166 000 (një milion e njëqind e gjashtëdhjetë e gjashtë mijë) lekë, të përballohen nga Drejtoria e Përgjithshme e Rrugëve.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5. Vlera e përgjithshme e shpronësimit, prej 30 357 513 (tridhjetë milionë e treqind e pesëdhjetë e shtatë mijë e pesëqind e trembëdhjetë) lekësh, të përballohet nga buxheti i vitit 2011, zëri “Investime”, miratuar për Ministrinë e Punëve Publike dhe Transportit.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6. Shpronësimi të përfundojë më 30.12.2011.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7. Pronarët e përmendur në listën, që i bashkëlidhet këtij vendimi, të kompensohen, për efekt shpronësimi, pasi të kenë paraqitur dokumentacionin e plotë të pronësisë të rifreskuar brenda afateve ligjore, pranë Drejtorisë së Përgjithshme të Rrugëve.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8. Drejtoria e Përgjithshme e Rrugëve të kryejë likui</w:t>
      </w:r>
      <w:r>
        <w:rPr>
          <w:sz w:val="21"/>
          <w:szCs w:val="21"/>
          <w:lang w:val="sq-AL"/>
        </w:rPr>
        <w:t>dimin e pronarëve sipas pikës 6</w:t>
      </w:r>
      <w:r w:rsidRPr="000007A0">
        <w:rPr>
          <w:sz w:val="21"/>
          <w:szCs w:val="21"/>
          <w:lang w:val="sq-AL"/>
        </w:rPr>
        <w:t xml:space="preserve"> të këtij vendimi, në bazë të dokumentacionit të pronësisë.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9. Brenda 30 (tridhjetë) ditëve nga data e miratimit të këtij vendimi, Zyra Vendore e  Regjistrimit të Pasurive të Paluajtshme, Mat, në bashkëpunim me Drejtorinë e Përgjithshme e Rrugëve, të fillojë procedurat për hedhjen e trupit të rrugës në hartat treguese të regjistrimit, sipas planimetrisë së shpronësimit, që do t’i vihet në dispozicion nga Drejtoria e Përgjithshme e Rrugëve, dhe të bëjë kalimin e pronësisë për pasuritë e shpronësuara në favor të shtetit.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10. Zyra Vendore e  Regjistrimit të Pasurive të Paluajtshme, Mat, të pezullojë të gjitha transaksionet me pasuritë e shpronësuara, deri në çastin kur do të realizohen procesi i hedhjes së trupit të rrugës në hartat treguese të regjistrimit, si dhe kalimi i pronësisë për pasuritë e shpronësuara.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>11. Ngarkohet Ministria e Punëve Publike dhe Transportit, Ministria e Financave, Drejtoria e Përgjithshme e Rrugëve, Zyra Qendrore e Regjistrimit të Pasurive të Paluajtshme dhe Zyra Vendore e  Regjistrimit të Pasurive të Paluajtshme, Mat, për zbatimin e këtij  vendimi.</w:t>
      </w:r>
    </w:p>
    <w:p w:rsidR="009C199A" w:rsidRPr="000007A0" w:rsidRDefault="009C199A" w:rsidP="009C199A">
      <w:pPr>
        <w:pStyle w:val="Paragrafi"/>
        <w:rPr>
          <w:sz w:val="21"/>
          <w:szCs w:val="21"/>
          <w:lang w:val="sq-AL"/>
        </w:rPr>
      </w:pPr>
      <w:r w:rsidRPr="000007A0">
        <w:rPr>
          <w:sz w:val="21"/>
          <w:szCs w:val="21"/>
          <w:lang w:val="sq-AL"/>
        </w:rPr>
        <w:t xml:space="preserve"> Ky vendim hyn në fuqi menjëherë dhe botohet në  Fletoren  Zyrtare.  </w:t>
      </w:r>
    </w:p>
    <w:p w:rsidR="003E172F" w:rsidRDefault="009C199A" w:rsidP="009C199A">
      <w:pPr>
        <w:pStyle w:val="AutoritetiEmer"/>
      </w:pPr>
      <w:r w:rsidRPr="000007A0">
        <w:rPr>
          <w:rStyle w:val="AutoritetiChar"/>
          <w:b w:val="0"/>
          <w:sz w:val="21"/>
          <w:szCs w:val="21"/>
          <w:lang w:val="sq-AL"/>
        </w:rPr>
        <w:t>KRYEMINISTRI</w:t>
      </w:r>
      <w:r w:rsidRPr="000007A0">
        <w:rPr>
          <w:rStyle w:val="AutoritetiChar"/>
          <w:sz w:val="21"/>
          <w:szCs w:val="21"/>
          <w:lang w:val="sq-AL"/>
        </w:rPr>
        <w:br/>
      </w:r>
      <w:r w:rsidRPr="000007A0">
        <w:t> </w:t>
      </w:r>
      <w:r>
        <w:t>Sali Berisha</w:t>
      </w:r>
    </w:p>
    <w:sectPr w:rsidR="003E172F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6FC7">
      <w:r>
        <w:separator/>
      </w:r>
    </w:p>
  </w:endnote>
  <w:endnote w:type="continuationSeparator" w:id="0">
    <w:p w:rsidR="00000000" w:rsidRDefault="00FA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9A" w:rsidRPr="009C2383" w:rsidRDefault="009C199A">
    <w:pPr>
      <w:pStyle w:val="Footer"/>
      <w:rPr>
        <w:rFonts w:ascii="CG Times" w:hAnsi="CG Times"/>
        <w:sz w:val="22"/>
        <w:szCs w:val="22"/>
      </w:rPr>
    </w:pPr>
    <w:r w:rsidRPr="009C2383">
      <w:rPr>
        <w:rFonts w:ascii="CG Times" w:hAnsi="CG Times"/>
        <w:sz w:val="22"/>
        <w:szCs w:val="22"/>
      </w:rPr>
      <w:fldChar w:fldCharType="begin"/>
    </w:r>
    <w:r w:rsidRPr="009C2383">
      <w:rPr>
        <w:rFonts w:ascii="CG Times" w:hAnsi="CG Times"/>
        <w:sz w:val="22"/>
        <w:szCs w:val="22"/>
      </w:rPr>
      <w:instrText xml:space="preserve"> PAGE   \* MERGEFORMAT </w:instrText>
    </w:r>
    <w:r w:rsidRPr="009C2383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9992</w:t>
    </w:r>
    <w:r w:rsidRPr="009C2383">
      <w:rPr>
        <w:rFonts w:ascii="CG Times" w:hAnsi="CG Times"/>
        <w:sz w:val="22"/>
        <w:szCs w:val="22"/>
      </w:rPr>
      <w:fldChar w:fldCharType="end"/>
    </w:r>
  </w:p>
  <w:p w:rsidR="009C199A" w:rsidRDefault="009C199A" w:rsidP="009C199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9A" w:rsidRPr="009C2383" w:rsidRDefault="009C199A">
    <w:pPr>
      <w:pStyle w:val="Footer"/>
      <w:jc w:val="right"/>
      <w:rPr>
        <w:rFonts w:ascii="CG Times" w:hAnsi="CG Times"/>
        <w:sz w:val="22"/>
        <w:szCs w:val="22"/>
      </w:rPr>
    </w:pPr>
    <w:r w:rsidRPr="009C2383">
      <w:rPr>
        <w:rFonts w:ascii="CG Times" w:hAnsi="CG Times"/>
        <w:sz w:val="22"/>
        <w:szCs w:val="22"/>
      </w:rPr>
      <w:fldChar w:fldCharType="begin"/>
    </w:r>
    <w:r w:rsidRPr="009C2383">
      <w:rPr>
        <w:rFonts w:ascii="CG Times" w:hAnsi="CG Times"/>
        <w:sz w:val="22"/>
        <w:szCs w:val="22"/>
      </w:rPr>
      <w:instrText xml:space="preserve"> PAGE   \* MERGEFORMAT </w:instrText>
    </w:r>
    <w:r w:rsidRPr="009C2383">
      <w:rPr>
        <w:rFonts w:ascii="CG Times" w:hAnsi="CG Times"/>
        <w:sz w:val="22"/>
        <w:szCs w:val="22"/>
      </w:rPr>
      <w:fldChar w:fldCharType="separate"/>
    </w:r>
    <w:r w:rsidR="00FA6FC7">
      <w:rPr>
        <w:rFonts w:ascii="CG Times" w:hAnsi="CG Times"/>
        <w:noProof/>
        <w:sz w:val="22"/>
        <w:szCs w:val="22"/>
      </w:rPr>
      <w:t>1</w:t>
    </w:r>
    <w:r w:rsidRPr="009C2383">
      <w:rPr>
        <w:rFonts w:ascii="CG Times" w:hAnsi="CG Times"/>
        <w:sz w:val="22"/>
        <w:szCs w:val="22"/>
      </w:rPr>
      <w:fldChar w:fldCharType="end"/>
    </w:r>
  </w:p>
  <w:p w:rsidR="009C199A" w:rsidRDefault="009C199A" w:rsidP="009C199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6FC7">
      <w:r>
        <w:separator/>
      </w:r>
    </w:p>
  </w:footnote>
  <w:footnote w:type="continuationSeparator" w:id="0">
    <w:p w:rsidR="00000000" w:rsidRDefault="00FA6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9A" w:rsidRDefault="00FA6FC7" w:rsidP="009C199A">
    <w:pPr>
      <w:pStyle w:val="Header"/>
    </w:pPr>
    <w:r>
      <w:rPr>
        <w:noProof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99A" w:rsidRPr="00C27745" w:rsidRDefault="009C199A" w:rsidP="009C199A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9A" w:rsidRDefault="00FA6FC7" w:rsidP="009C199A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99A" w:rsidRPr="00213FDE" w:rsidRDefault="009C199A" w:rsidP="009C199A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C199A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9C199A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A6FC7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9A305-D629-44B9-9859-2458E88B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99A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9C199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9C199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C199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locked/>
    <w:rsid w:val="009C199A"/>
    <w:rPr>
      <w:rFonts w:eastAsia="MS Mincho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locked/>
    <w:rsid w:val="009C199A"/>
    <w:rPr>
      <w:rFonts w:eastAsia="MS Mincho"/>
      <w:sz w:val="24"/>
      <w:szCs w:val="24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9C199A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2019-03-19T15:05:00Z</dcterms:created>
  <dcterms:modified xsi:type="dcterms:W3CDTF">2019-03-19T15:05:00Z</dcterms:modified>
</cp:coreProperties>
</file>