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C59" w:rsidRPr="00BC7CB3" w:rsidRDefault="00B73C59" w:rsidP="00B73C59">
      <w:pPr>
        <w:pStyle w:val="Akti"/>
        <w:rPr>
          <w:rFonts w:ascii="Garamond" w:hAnsi="Garamond"/>
          <w:color w:val="auto"/>
          <w:sz w:val="24"/>
          <w:szCs w:val="24"/>
          <w:lang w:val="sq-AL"/>
        </w:rPr>
      </w:pPr>
      <w:bookmarkStart w:id="0" w:name="_GoBack"/>
      <w:bookmarkEnd w:id="0"/>
      <w:r w:rsidRPr="00BC7CB3">
        <w:rPr>
          <w:rFonts w:ascii="Garamond" w:hAnsi="Garamond"/>
          <w:color w:val="auto"/>
          <w:sz w:val="24"/>
          <w:szCs w:val="24"/>
          <w:lang w:val="sq-AL"/>
        </w:rPr>
        <w:t>VENDIM</w:t>
      </w:r>
    </w:p>
    <w:p w:rsidR="00B73C59" w:rsidRPr="00BC7CB3" w:rsidRDefault="00B73C59" w:rsidP="00B73C59">
      <w:pPr>
        <w:pStyle w:val="NumriData"/>
        <w:rPr>
          <w:rFonts w:ascii="Garamond" w:hAnsi="Garamond"/>
          <w:sz w:val="24"/>
          <w:szCs w:val="24"/>
          <w:lang w:val="sq-AL"/>
        </w:rPr>
      </w:pPr>
      <w:r w:rsidRPr="00BC7CB3">
        <w:rPr>
          <w:rFonts w:ascii="Garamond" w:hAnsi="Garamond"/>
          <w:sz w:val="24"/>
          <w:szCs w:val="24"/>
          <w:lang w:val="sq-AL"/>
        </w:rPr>
        <w:t> Nr. 177, datë 6.3.2012</w:t>
      </w:r>
    </w:p>
    <w:p w:rsidR="00B73C59" w:rsidRPr="00BC7CB3" w:rsidRDefault="00B73C59" w:rsidP="00B73C59">
      <w:pPr>
        <w:pStyle w:val="Paragrafi"/>
        <w:rPr>
          <w:rFonts w:ascii="Garamond" w:hAnsi="Garamond"/>
          <w:sz w:val="24"/>
          <w:szCs w:val="24"/>
          <w:lang w:val="sq-AL"/>
        </w:rPr>
      </w:pPr>
    </w:p>
    <w:p w:rsidR="00B73C59" w:rsidRPr="00BC7CB3" w:rsidRDefault="00B73C59" w:rsidP="00B73C59">
      <w:pPr>
        <w:pStyle w:val="Titulli"/>
        <w:rPr>
          <w:rFonts w:ascii="Garamond" w:hAnsi="Garamond"/>
          <w:sz w:val="24"/>
          <w:szCs w:val="24"/>
          <w:lang w:val="sq-AL"/>
        </w:rPr>
      </w:pPr>
      <w:r w:rsidRPr="00BC7CB3">
        <w:rPr>
          <w:rFonts w:ascii="Garamond" w:hAnsi="Garamond"/>
          <w:sz w:val="24"/>
          <w:szCs w:val="24"/>
          <w:lang w:val="sq-AL"/>
        </w:rPr>
        <w:t>PËR AMBALAZHET DHE MBETJET E TYRE</w:t>
      </w:r>
      <w:r w:rsidRPr="00BC7CB3">
        <w:rPr>
          <w:rStyle w:val="FootnoteReference"/>
          <w:rFonts w:ascii="Garamond" w:hAnsi="Garamond"/>
          <w:sz w:val="24"/>
          <w:szCs w:val="24"/>
          <w:lang w:val="sq-AL"/>
        </w:rPr>
        <w:footnoteReference w:id="1"/>
      </w:r>
      <w:r w:rsidR="000969EF" w:rsidRPr="00BC7CB3">
        <w:rPr>
          <w:rStyle w:val="FootnoteReference"/>
          <w:rFonts w:ascii="Garamond" w:hAnsi="Garamond"/>
          <w:sz w:val="24"/>
          <w:szCs w:val="24"/>
          <w:lang w:val="sq-AL"/>
        </w:rPr>
        <w:footnoteReference w:id="2"/>
      </w:r>
    </w:p>
    <w:p w:rsidR="00B73C59" w:rsidRPr="00BC7CB3" w:rsidRDefault="000969EF" w:rsidP="000969EF">
      <w:pPr>
        <w:pStyle w:val="Paragrafi"/>
        <w:jc w:val="center"/>
        <w:rPr>
          <w:rFonts w:ascii="Garamond" w:hAnsi="Garamond"/>
          <w:i/>
          <w:sz w:val="24"/>
          <w:szCs w:val="24"/>
          <w:lang w:val="sq-AL"/>
        </w:rPr>
      </w:pPr>
      <w:r w:rsidRPr="00BC7CB3">
        <w:rPr>
          <w:rFonts w:ascii="Garamond" w:hAnsi="Garamond"/>
          <w:i/>
          <w:sz w:val="24"/>
          <w:szCs w:val="24"/>
          <w:lang w:val="sq-AL"/>
        </w:rPr>
        <w:t>(Ndryshuar me VKM nr.232, datë 26.4.2018)</w:t>
      </w:r>
    </w:p>
    <w:p w:rsidR="000969EF" w:rsidRPr="00BC7CB3" w:rsidRDefault="000969EF" w:rsidP="000969EF">
      <w:pPr>
        <w:pStyle w:val="Paragrafi"/>
        <w:jc w:val="center"/>
        <w:rPr>
          <w:rFonts w:ascii="Garamond" w:hAnsi="Garamond"/>
          <w:i/>
          <w:sz w:val="24"/>
          <w:szCs w:val="24"/>
          <w:lang w:val="sq-AL"/>
        </w:rPr>
      </w:pPr>
    </w:p>
    <w:p w:rsidR="000969EF" w:rsidRPr="00BC7CB3" w:rsidRDefault="000969EF" w:rsidP="000969EF">
      <w:pPr>
        <w:pStyle w:val="Paragrafi"/>
        <w:jc w:val="right"/>
        <w:rPr>
          <w:rFonts w:ascii="Garamond" w:hAnsi="Garamond"/>
          <w:i/>
          <w:sz w:val="24"/>
          <w:szCs w:val="24"/>
          <w:lang w:val="sq-AL"/>
        </w:rPr>
      </w:pPr>
      <w:r w:rsidRPr="00BC7CB3">
        <w:rPr>
          <w:rFonts w:ascii="Garamond" w:hAnsi="Garamond"/>
          <w:i/>
          <w:sz w:val="24"/>
          <w:szCs w:val="24"/>
          <w:lang w:val="sq-AL"/>
        </w:rPr>
        <w:t>(I përditësuar)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Në mbështetje të nenit 100 të Kushtetutës dhe të nenit 29 të ligjit nr. 10 463, datë 22.9.2011 “Për menaxhimin e integruar të mbetjeve”, me propozimin e Ministrit të Mjedisit, Pyjeve dhe Administrimit të Ujërave, Këshilli i Ministrave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w:t>
      </w:r>
    </w:p>
    <w:p w:rsidR="00B73C59" w:rsidRPr="00BC7CB3" w:rsidRDefault="00B73C59" w:rsidP="00B73C59">
      <w:pPr>
        <w:pStyle w:val="VENDOSI"/>
        <w:rPr>
          <w:rFonts w:ascii="Garamond" w:hAnsi="Garamond"/>
          <w:sz w:val="24"/>
          <w:szCs w:val="24"/>
          <w:lang w:val="sq-AL"/>
        </w:rPr>
      </w:pPr>
      <w:r w:rsidRPr="00BC7CB3">
        <w:rPr>
          <w:rFonts w:ascii="Garamond" w:hAnsi="Garamond"/>
          <w:sz w:val="24"/>
          <w:szCs w:val="24"/>
          <w:lang w:val="sq-AL"/>
        </w:rPr>
        <w:t>VENDOSI: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DISPOZITA TË PËRGJITHSHME</w:t>
      </w:r>
    </w:p>
    <w:p w:rsidR="00B73C59" w:rsidRPr="00BC7CB3" w:rsidRDefault="00B73C59" w:rsidP="00B73C59">
      <w:pPr>
        <w:pStyle w:val="Paragrafi"/>
        <w:rPr>
          <w:rFonts w:ascii="Garamond" w:hAnsi="Garamond"/>
          <w:sz w:val="24"/>
          <w:szCs w:val="24"/>
          <w:lang w:val="sq-AL"/>
        </w:rPr>
      </w:pP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I. QËLLIMI</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 xml:space="preserve">1. Qëllimi i këtij vendimi është mbrojtja, ruajtja dhe përmirësimi i cilësisë së mjedisit dhe shëndetit publik përmes: </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a) parandalimit të ndikimit negativ nga ambalazhet dhe mbetjet e tyre;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b) parandalimit të prodhimit të mbetjeve nga ambalazhet, nëpërmjet rritjes se ripërdorimit të tyre, riciklimit dhe formave të tjera të rikuperimit të mbetjeve nga ambalazhet;</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c) reduktimit të sasive të këtyre mbetjeve që asgjësohen përfundimisht.</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Vendimi përcakton rregulla për prodhimin dhe importimin e të gjitha llojeve të ambalazheve dhe menaxhimin e mbetjeve të tyre në të gjitha fazat, si dhe përcakton subjektet përgjegjëse për menaxhimin e tyre.</w:t>
      </w:r>
    </w:p>
    <w:p w:rsidR="00B73C59" w:rsidRPr="00BC7CB3" w:rsidRDefault="00B73C59" w:rsidP="000969EF">
      <w:pPr>
        <w:pStyle w:val="Paragrafi"/>
        <w:rPr>
          <w:rFonts w:ascii="Garamond" w:hAnsi="Garamond"/>
          <w:sz w:val="24"/>
          <w:szCs w:val="24"/>
          <w:lang w:val="sq-AL"/>
        </w:rPr>
      </w:pPr>
      <w:r w:rsidRPr="00BC7CB3">
        <w:rPr>
          <w:rFonts w:ascii="Garamond" w:hAnsi="Garamond"/>
          <w:sz w:val="24"/>
          <w:szCs w:val="24"/>
          <w:lang w:val="sq-AL"/>
        </w:rPr>
        <w:t xml:space="preserve">2. Vendimi synon: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a) të parandalojë mbetjet nga gjenerimi i ambalazheve;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b) të nxitë grumbullimin e diferencuar, ripërdorimin, riciklimin dhe rikuperimin e mbetjeve nga ambalazhet, duke reduktuar sasitë e tyre që asgjësohen përfundimisht;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c) të vendosë rregulla për prodhimin e ambalazheve dhe menaxhimin e mbetjeve të tyre në të gjitha fazat, si dhe të përcaktojë subjektet përgjegjëse për menaxhimin e tyre.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II. FUSHA E ZBATIMIT</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 xml:space="preserve"> 1. Ky vendim zbatohet për të gjitha llojet e ambalazheve dhe mbetjet e tyre, të hedhura në treg në territorin e Republikës së Shqipërisë, nëse janë të përdorura apo të vendosura në qarkullim në industri, tregti, institucione shtetërore, zyra, dyqane, shërbime, për përdorim familjar apo çdo fushë tjetër të veprimtarisë njerëzore, pavarësisht nga materiali i përdorur.</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2. Ky vendim zbatohet pa rënë ndesh me kërkesat e legjislacionit në fuqi mbi cilësinë për ambalazhe të tilla, si ato të përdorura për të garantuar sigurinë, mbrojtjen e shëndetit publik dhe të higjienës së produktit të paketuar apo të kërkesave ligjore mbi transportin e mbetjeve të rrezikshme.</w:t>
      </w:r>
    </w:p>
    <w:p w:rsidR="00B73C59" w:rsidRPr="00BC7CB3" w:rsidRDefault="00B73C59" w:rsidP="000969EF">
      <w:pPr>
        <w:pStyle w:val="Paragrafi"/>
        <w:rPr>
          <w:rFonts w:ascii="Garamond" w:hAnsi="Garamond"/>
          <w:sz w:val="24"/>
          <w:szCs w:val="24"/>
          <w:lang w:val="sq-AL"/>
        </w:rPr>
      </w:pPr>
      <w:r w:rsidRPr="00BC7CB3">
        <w:rPr>
          <w:rFonts w:ascii="Garamond" w:hAnsi="Garamond"/>
          <w:sz w:val="24"/>
          <w:szCs w:val="24"/>
          <w:lang w:val="sq-AL"/>
        </w:rPr>
        <w:t>III. PËRKUFIZIME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Të gjithë termat e përcaktuar në nenin 3, të ligjit nr. 10 463, datë 22.9.2011 “Për menaxhimin </w:t>
      </w:r>
      <w:r w:rsidRPr="00BC7CB3">
        <w:rPr>
          <w:rFonts w:ascii="Garamond" w:hAnsi="Garamond"/>
          <w:sz w:val="24"/>
          <w:szCs w:val="24"/>
          <w:lang w:val="sq-AL"/>
        </w:rPr>
        <w:lastRenderedPageBreak/>
        <w:t>e integruar të mbetjeve”, do të shërbejnë si përkufizime dhe do të kenë të njëjtin kuptim edhe në këtë vendim, ndërsa me termat e mëposhtëm, për qëllime të këtij vendimi, nënkuptohen:</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 “Agjencia”, autoriteti publik, siç përcaktohet në kreun X, seksioni 1 të ligjit nr. 10 431, datë 9.6.2011 “Për mbrojtjen e mjedisit”.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 “Ambalazh”, përveç përcaktimit të dhënë në ligjin nr. 10 463, datë 22.9.2011 “Për menaxhimin e integruar të mbetjeve”, nënkupton edhe të gjitha produktet, pavarësisht nga materiali përbërës, që përdoren për mbajtjen, mbrojtjen, transferimin, shpërndarjen dhe prezantimin e mallrave nga prodhuesi te përdoruesi apo konsumatori, pavarësisht nga fakti nëse malli brenda tyre është lëndë e parë apo produkt i përpunuar. Termi “ambalazh” i referohet çdo objekti apo sendi që përmbush, sipas shtojcës 1, bashkëlidhur këtij vendimi, kriteret e mëposhtme: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2.1 Përmbush funksionin e përmendur më lart, pavarësisht nga funksionet e tjera që ai mund të ketë, si: nuk është pjesë përbërëse e një produkti (malli); nuk është i nevojshëm për të mbështetur apo mbrojtur produktin (mallin) gjatë gjithë ciklit të tij të jetës; dhe nuk synohet që të gjitha elementet e tij të përdoren, të harxhohen apo të asgjësohen së bashku.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2.2 Është projektuar për t’u mbushur në pikat e prodhimit ose shitjes së produktit (mallit) dhe pjesët e tij shiten, mbushen apo projektohen e përdoren për t’u mbushur në pikat e prodhimit ose shitjes, me kusht që të plotësojë funksionin e synuar të ambalazhit.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2.3 Është pjesë përbërëse e ambalazhit apo element mbështetës i integruar në ambalazh, me kusht që të mos jetë pjesë përbërëse e produktit (mallit) dhe nuk synohet që të gjitha elementet e tij të përdoren apo të asgjësohen së bashku.</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 “Ambalazh i grupuar ose ambalazh i dytë”, njësia ambalazhuese që përmban një grup produktesh (mallra) të paketuara në ambalazhe shitjeje, në mënyrë që produkti të merret nga konsumatori, qoftë në ambalazh të grupuar, qoftë në ambalazh shitjeje. Ai mund të hiqet nga produkti pa ndikuar në karakteristikat e tij. Nëse ambalazhet e grupuara, në të njëjtën kohë, kanë dhe funksionin e ambalazheve për shitje, ato konsiderohen si ambalazhe shitjeje.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4. “Ambalazh me shumë përdorime”, ambalazhi, i cili, pasi është boshatisur, ripërdoret për të njëjtin qëllim.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5. “Ambalazh me shumë shtresa”, ambalazhi i përbërë nga materiale të ndryshme, të cilat nuk mund të ndahen në mënyrë manuale.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6. “Ambalazhe plastike që nuk biodegradohen”, ambalazhet plastike që janë me përbërës, të cilët nuk janë të biodegradueshëm.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7. “Ambalazhe plastike të biodegradueshme”, ambalazhet që janë prodhuar dhe janë plotësisht të biodegradueshme dhe të dekompozueshme.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8. “Ambalazh shitjeje ose ambalazh i parë”, njësia e ambalazhit në të cilën shitet produkti te konsumatori. Këtu përfshihen dhe pjatat, lugët, pirunët e thikat njëpërdorimshme, si dhe çdo ambalazh i cili mbushet në vendin e shitjes së produktit (mallit) te konsumatori.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9. “Ambalazh transporti ose ambalazh i tretë”, ambalazhet që përdoren për të lehtësuar lëvizjen dhe transportin e një sasie të caktuar produktesh, të paketuara në ambalazhe shitjeje dhe/ose në ambalazhe të grupuara dhe që shërbejnë për të parandaluar dëmtimin e mundshëm të tyre gjatë transferimit fizik dhe transportit. Ambalazh transporti mund të jetë një fuçi, kuti, thes, paletë. Në këtë lloj ambalazhi nuk përfshihen kontejnerët për transportin rrugor, hekurudhor, detar dhe ajror të mallrave, përveç kur këto, në të njëjtën kohë, kanë dhe funksionin e ambalazheve për shitje duke u konsideruar ambalazhe shitjeje.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10. “Ambalazhues”, çdo subjekt, tregtar apo shtetëror, i cili paketon mallra (produkte) dhe i hedh ato në treg për qëllime të aktivitetit të tij.</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11. “Biodegradim” ose “Degradimi biotik”, shpërbërja ose dekompozimi i mbetjeve të ambalazheve nga bakteret ose me mënyra të tjera biologjike.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12. “Furnizues i fundit”, subjekti tregtar që shpërndan mallra të ambalazhuara në ambalazhe </w:t>
      </w:r>
      <w:r w:rsidRPr="00BC7CB3">
        <w:rPr>
          <w:rFonts w:ascii="Garamond" w:hAnsi="Garamond"/>
          <w:sz w:val="24"/>
          <w:szCs w:val="24"/>
          <w:lang w:val="sq-AL"/>
        </w:rPr>
        <w:lastRenderedPageBreak/>
        <w:t>shitjeje, ambalazhe të grupuara apo ambalazhe transporti drejtpërdrejt te konsumatori, pavarësisht nëse ky subjekt është apo jo edhe prodhues ose importues i këtyre mallrave.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13. “Konsumator”, personi, fizik ose juridik, që e nxjerr produktin nga ambalazhi për ta konsumuar përfundimisht.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14. “Kosto e menaxhimit të mbetjeve”, tarifa sipas llojit të materialit të ambalazhit, me qëllim mbulimin e shpenzimeve për menaxhimin e tyre. Këtu përfshihen shpenzimet e grumbullimit të diferencuar, qendrat e transferimit dhe diferencimit të mëtejshëm, të magazinimit të përkohshëm, transportimit të tyre për në vendet e trajtimit.</w:t>
      </w:r>
      <w:r w:rsidRPr="00BC7CB3">
        <w:rPr>
          <w:rFonts w:ascii="Garamond" w:hAnsi="Garamond"/>
          <w:sz w:val="24"/>
          <w:szCs w:val="24"/>
          <w:lang w:val="sq-AL"/>
        </w:rPr>
        <w:tab/>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15. “Marrëveshje vullnetare”, marrëveshja e përfunduar ndërmjet autoriteteve publike kompetente nga njëra anë dhe subjekteve ose sektorëve ekonomikë të interesuar nga ana tjetër, e hapur për të gjitha palët që kanë interesa të ligjshme dhe marrin përsipër të plotësojnë kushtet e parashikuara në këtë marrëveshje dhe objektivat e përcaktuar në këtë vendim.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16. “Material ambalazhi”, materiali nga i cili prodhohet ambalazhi. Materialet e ambalazheve që rregullohen nga ky vendim janë; i) letra, kartoni, kartoni i rrudhosur; ii) qelqi; iii) druri; iv) qeramika, porcelani; v) metalet; vi) fibrat tekstile; vii) plastika; viii) kompozitet; ix) materiale ambalazhi të tjera, në veçanti ato me bazë biologjike.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17. “Mbetje bashkiake”, mbetjet nga ambalazhet, që shkaktohen si pasojë e përdorimit të produkteve të ambalazhuara në sektorin shtëpiak, në administratë, në vende sociale dhe publike. Këtu përfshihen edhe mbetjet nga tregtia, aktivitetet e punës me dorë, të shërbimeve apo aktiviteteve të tjera që janë të ngjashme me mbetjet nga ambalazhet të shkaktuara nga sektori shtëpiak, administrata, vendet publike apo sociale.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18. “Mbetje jobashkiake”, mbetjet nga ambalazhet që shkaktohen si pasojë e prodhimit, shitjes së mallrave apo aktiviteteve të ngjashme me to.</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19. “Mbetje nga ambalazhi”, të gjitha ambalazhet ose materialet e tyre të biodegradueshme ose jo të biodegradueshme, të përcaktuara në vendimin nr. 99, datë 18.2.2005 të Këshillit të Ministrave, “Për miratimin e katalogut shqiptar të mbetjeve”, nën kodin 1501 (kodet 15 01 01 deri 15 01 11*) dhe përfshijnë çdo ambalazh ose material ambalazhimi, i cili mbetet pas nxjerrjes dhe veçimit të produktit nga ambalazhi, duke përjashtuar mbetjet nga prodhimi.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20. “Menaxhimi i mbetjeve nga ambalazhet”, grumbullimi, magazinimi i përkohshëm, transportimi, riciklimi, rikuperimi i tyre, përfshirë dhe mbikëqyrjen e këtyre operacioneve.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21. “Ministri”, ministri përgjegjës për mjedisin.</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22. “Ministria”, ministria përgjegjëse për mjedisin.</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23. “Njësi e qeverisjes vendore”, komuna, bashkia, qarku dhe nënndarjet e tyre, në përputhje me ligjin nr. 8652, datë 31.7.2000“Për organizimin dhe funksionimin e qeverisjes vendore”, të ndryshuar.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24. “Operator ekonomik” ka kuptimin që jepet në ligjin nr. 10 463, datë 22.9.2011 “Për menaxhimin e integruar të mbetjeve”.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25. “Parandalim” ka kuptimin që jepet në ligjin nr. 10 463, datë 22.9.2011 “Për menaxhimin e integruar të mbetjeve”.</w:t>
      </w:r>
    </w:p>
    <w:p w:rsidR="000969EF" w:rsidRPr="00BC7CB3" w:rsidRDefault="000969EF" w:rsidP="00B73C59">
      <w:pPr>
        <w:pStyle w:val="Paragrafi"/>
        <w:rPr>
          <w:rFonts w:ascii="Garamond" w:hAnsi="Garamond"/>
          <w:i/>
          <w:sz w:val="24"/>
          <w:szCs w:val="24"/>
          <w:lang w:val="sq-AL"/>
        </w:rPr>
      </w:pPr>
      <w:r w:rsidRPr="00BC7CB3">
        <w:rPr>
          <w:rFonts w:ascii="Garamond" w:hAnsi="Garamond"/>
          <w:i/>
          <w:sz w:val="24"/>
          <w:szCs w:val="24"/>
          <w:lang w:val="sq-AL"/>
        </w:rPr>
        <w:t>25/a) “Plastikë”, është një polimer të cilit mund t’i jenë shtuar aditivë apo substanca nga lëndë të tjera, si dhe është i aftë të kryejë funksionin kryesor, lidhës të komponentit strukturor të një qeseje mbajtëse.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26. “Prodhues i mallrave të ambalazhuara”, çdo subjekt tregtar, person, fizik dhe/ose juridik, i cili prodhon ose importon dhe hedh në treg për qëllim të aktivitetit të tij tregtar mallra të mbështjella në ambalazhe shitjeje, ambalazhe të grupuara apo në ambalazhe transporti, si dhe prodhuesit apo importuesit e ambalazheve që mbushen në vendin e shitjes së produktit.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27. “ppm” (parts për milion), njësi matëse “pjesë për milion”.</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28. “Prodhuesit e ambalazheve”, një subjekt tregtar, person, fizik dhe/ose juridik, që prodhon ose importon ambalazhe, duke përjashtuar prodhuesit apo importuesit e ambalazheve që </w:t>
      </w:r>
      <w:r w:rsidRPr="00BC7CB3">
        <w:rPr>
          <w:rFonts w:ascii="Garamond" w:hAnsi="Garamond"/>
          <w:sz w:val="24"/>
          <w:szCs w:val="24"/>
          <w:lang w:val="sq-AL"/>
        </w:rPr>
        <w:lastRenderedPageBreak/>
        <w:t>mbushen në vendin e shitjes së produktit.</w:t>
      </w:r>
    </w:p>
    <w:p w:rsidR="00B73C59" w:rsidRPr="00BC7CB3" w:rsidRDefault="00B73C59" w:rsidP="00B73C59">
      <w:pPr>
        <w:pStyle w:val="Paragrafi"/>
        <w:rPr>
          <w:rFonts w:ascii="Garamond" w:hAnsi="Garamond"/>
          <w:i/>
          <w:sz w:val="24"/>
          <w:szCs w:val="24"/>
          <w:lang w:val="sq-AL"/>
        </w:rPr>
      </w:pPr>
      <w:r w:rsidRPr="00BC7CB3">
        <w:rPr>
          <w:rFonts w:ascii="Garamond" w:hAnsi="Garamond"/>
          <w:i/>
          <w:sz w:val="24"/>
          <w:szCs w:val="24"/>
          <w:lang w:val="sq-AL"/>
        </w:rPr>
        <w:t xml:space="preserve">29. </w:t>
      </w:r>
      <w:r w:rsidR="000969EF" w:rsidRPr="00BC7CB3">
        <w:rPr>
          <w:rFonts w:ascii="Garamond" w:hAnsi="Garamond"/>
          <w:i/>
          <w:sz w:val="24"/>
          <w:szCs w:val="24"/>
          <w:lang w:val="sq-AL"/>
        </w:rPr>
        <w:t>“Qese plastike mbajtëse”, është qesja mbajtëse transportuese, me ose pa dorezë, prodhuar nga plastika dhe lëndë të tjera të lidhura me të, të cilat jepen në pikat e tregtimit apo të shpërndarjes së mallrave ose produkteve.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29/a) “Qese e lehtë plastike mbajtëse”, është qesja plastike me trashësi për çdo anë më të vogël se 35 mikron, me përjashtim të qeses së përdorur vetëm për qëllime higjieno-sanitare.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 xml:space="preserve"> 29/b) “Qese plastike mbajtëse oxo-degradueshme”, është qesja plastike mbajtëse e prodhuar nga materiale që përfshijnë aditivë të cilët katalizojnë copëzimin e materialit plastik në mikrofragmente.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30. “Riciklim”, ka kuptimin që jepet në ligjin nr. 10 463, datë 22.9.2011 “Për menaxhimin e integruar të mbetjeve”.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31. “Riciklim organik”, trajtimi aerobik (kompostim) apo an-aerobik (biometanizim) në kushte të kontrolluara dhe duke përdorur mikroorganizma të pjesëve të biodegradueshme të mbetjeve të ambalazheve, që prodhojnë mbetje organike të stabilizuara apo metan. </w:t>
      </w:r>
      <w:r w:rsidRPr="00BC7CB3">
        <w:rPr>
          <w:rFonts w:ascii="Garamond" w:hAnsi="Garamond"/>
          <w:i/>
          <w:sz w:val="24"/>
          <w:szCs w:val="24"/>
          <w:lang w:val="sq-AL"/>
        </w:rPr>
        <w:t>Lendfilli</w:t>
      </w:r>
      <w:r w:rsidRPr="00BC7CB3">
        <w:rPr>
          <w:rFonts w:ascii="Garamond" w:hAnsi="Garamond"/>
          <w:sz w:val="24"/>
          <w:szCs w:val="24"/>
          <w:lang w:val="sq-AL"/>
        </w:rPr>
        <w:t xml:space="preserve"> nuk konsiderohet si riciklim organik.</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32. “Rikuperim” ka kuptimin që jepet në ligjin nr. 10 463, datë 22.9.2011 “Për menaxhimin e integruar të mbetjeve”.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33. “Rikuperim energjie”, përdorimi i mbetjeve të djegshme të ambalazheve si një mënyrë për të gjeneruar energji, përmes incinerimit të drejtpërdrejtë të tyre, me ose pa praninë e mbetjeve të tjera, por me rikuperim nxehtësie.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34. “Ripërdorim”, ka kuptimin që jepet në ligjin nr. 10 463, datë 22.9.2011 “Për menaxhimin e integruar të mbetjeve”.</w:t>
      </w:r>
    </w:p>
    <w:p w:rsidR="00B73C59" w:rsidRPr="00BC7CB3" w:rsidRDefault="00B73C59" w:rsidP="000969EF">
      <w:pPr>
        <w:pStyle w:val="Paragrafi"/>
        <w:rPr>
          <w:rFonts w:ascii="Garamond" w:hAnsi="Garamond"/>
          <w:sz w:val="24"/>
          <w:szCs w:val="24"/>
          <w:lang w:val="sq-AL"/>
        </w:rPr>
      </w:pPr>
      <w:r w:rsidRPr="00BC7CB3">
        <w:rPr>
          <w:rFonts w:ascii="Garamond" w:hAnsi="Garamond"/>
          <w:sz w:val="24"/>
          <w:szCs w:val="24"/>
          <w:lang w:val="sq-AL"/>
        </w:rPr>
        <w:t>35. “Sistem i pagesave të rimbursueshme”, sistemi sipas së cilit blerësi në momentin e blerjes së një produkti të ambalazhuar parapaguan një vlerë të caktuar, e cila, në këmbim të kthimit të një sasie ambalazhi, i rikthehet atij: i) në vlerë monetare; ii) në trajtë të një malli apo produkti tjetër me vlerë të</w:t>
      </w:r>
      <w:r w:rsidR="000969EF" w:rsidRPr="00BC7CB3">
        <w:rPr>
          <w:rFonts w:ascii="Garamond" w:hAnsi="Garamond"/>
          <w:sz w:val="24"/>
          <w:szCs w:val="24"/>
          <w:lang w:val="sq-AL"/>
        </w:rPr>
        <w:t xml:space="preserve"> njëjtë me shumën e parapaguar.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36. “Stacion transferimi”, një qendër e autorizuar dhe e specializuar, ku dërgohet përmbajtja e të gjithë koshave të mbetjeve të riciklueshme të thata, të asaj njësie të qeverisjes vendore, për të realizuar ndarjen e mëtejshme e të veçuar sipas rrymave specifike të mbetjeve, si ambalazheve të letrës e kartonit, të plastikës, të qelqit etj.</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37. “Shitës”, një person, fizik ose juridik, i cili e shet ose e ofron produktin e paketuar te konsumatori.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38. “Trajtimi i mbetjeve nga ambalazhet”, procedura në të cilën, gjatë procesit mekanik, fizik, termik, kimik ose biologjik, përfshirë grumbullimin e diferencuar, karakteristikat e mbetjeve ndryshohen me qëllim që të reduktohet sasia e tyre, duke lehtësuar, në këtë mënyrë, menaxhimin dhe përmirësimin e përdorimit të tyre.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IV. PRODHIMI I AMBALAZHEVE</w:t>
      </w:r>
    </w:p>
    <w:p w:rsidR="00B73C59" w:rsidRPr="00BC7CB3" w:rsidRDefault="000969EF" w:rsidP="00B73C59">
      <w:pPr>
        <w:pStyle w:val="Paragrafi"/>
        <w:rPr>
          <w:rFonts w:ascii="Garamond" w:hAnsi="Garamond"/>
          <w:sz w:val="24"/>
          <w:szCs w:val="24"/>
          <w:lang w:val="sq-AL"/>
        </w:rPr>
      </w:pPr>
      <w:r w:rsidRPr="00BC7CB3">
        <w:rPr>
          <w:rFonts w:ascii="Garamond" w:hAnsi="Garamond"/>
          <w:i/>
          <w:sz w:val="24"/>
          <w:szCs w:val="24"/>
          <w:lang w:val="sq-AL"/>
        </w:rPr>
        <w:t>1.</w:t>
      </w:r>
      <w:r w:rsidRPr="00BC7CB3">
        <w:rPr>
          <w:rFonts w:ascii="Garamond" w:hAnsi="Garamond"/>
          <w:sz w:val="24"/>
          <w:szCs w:val="24"/>
          <w:lang w:val="sq-AL"/>
        </w:rPr>
        <w:t xml:space="preserve"> </w:t>
      </w:r>
      <w:r w:rsidR="00B73C59" w:rsidRPr="00BC7CB3">
        <w:rPr>
          <w:rFonts w:ascii="Garamond" w:hAnsi="Garamond"/>
          <w:sz w:val="24"/>
          <w:szCs w:val="24"/>
          <w:lang w:val="sq-AL"/>
        </w:rPr>
        <w:t>Prodhuesit e materialeve të ambalazheve dhe të ambalazheve e të mallrave të ambalazhuara përdorin teknikat më të mira të disponueshme, sipas përcaktimit të bërë për to në ligjin nr. 10 448, datë 14.7.2011 “Për lejet e mjedisit”. Këto teknologji kontribuojnë në:</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a) zvogëlimin e sasisë së mbetjeve të përftuara nga ambalazhet;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b) parandalimin dhe pakësimin e materialeve përbërëse të ambalazhit të dëmshme për mjedisin;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c) shfrytëzimin e ambalazhit duke e ripërdorur, përpunuar, ricikluar dhe duke e rikuperuar atë.</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2. Pa rënë ndesh me kërkesat e tjera të posaçme të këtij vendimi, prodhimi i qeseve plastike mbajtëse, sipas përcaktimeve të këtij vendimi, bëhet duke përdorur aditivë biodegradues me një cikël veprimi jo më pak se 36 muaj, i cili mundëson realizimin e ciklit të plotë të përdorimit nga prodhimi, magazinimi, tregtimi, përdorimi dhe kthimi për riciklim përpara se ky produkt të ketë humbur vlerat për riciklim. Qeset plastike mbajtëse të oxo-degradueshme nuk konsiderohen si të biodegradueshme sipas përcaktimit të këtij vendimi.</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lastRenderedPageBreak/>
        <w:t>3. Pa rënë ndesh me kërkesat e tjera të posaçme të këtij vendimi, prodhimi i qeseve plastike mbajtëse, me trashësinë e mureve me të madhe se 35 mikron, bëhet duke përdorur jo më pak se 55% lëndë të parë të përftuar nga riciklimi, ose lëndë të parë ndihmëse alternative joplastike.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4. Prodhuesi i qeseve plastike mbajtëse, sipas përcaktimeve të pikave 2 dhe 3, të këtij kreu, ruan, administron dhe jep informacionin që vërteton respektimin e përcaktimeve të këtij kreu, sipas kërkesave të përcaktuara në këtë vendim.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V. MASAT PËR PARANDALIMIN E GJENERIMIT TË MBETJEVE NGA AMBALAZHET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 Operatorët ekonomikë marrin masat e nevojshme për parandalimin e gjenerimit të mbetjeve të ambalazheve, duke përmbushur kriteret e përcaktuara në kreun VI, të këtij vendimi, për kërkesat specifike për ambalazhet.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 Shitësit përcaktojnë çmimin e ambalazhit të mallrave që ambalazhohen në pikën e tyre të shitjes dhe e pasqyrojnë atë si zë më vete në faturën përkatëse që i lëshojnë blerësit.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 Prodhuesit e materialeve të ambalazheve dhe të ambalazheve, në zbatim të programeve kombëtare, rajonale e vendore, për parandalimin e mbetjeve, hartojnë programet e tyre specifike për parandalimin e gjenerimit të mbetjeve të ambalazheve.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4. Agjencitë rajonale të mjedisit miratojnë programet e parandalimit të gjenerimit të mbetjeve nga subjektet e përcaktuara në pikën 3, të këtij kreu, duke pasur parasysh sigurimin e zbatimit të parimit të përgjegjësisë mjedisore për çdo operator.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5. Inspektorët rajonalë mjedisorë kontrollojnë zbatimin e programit të parandalimit të mbetjeve të subjekteve të përcaktuara më sipër.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VI. KËRKESA THELBËSORE PËR PRODHIMIN DHE PËRBËRJEN E AMBALAZHEVE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 Prodhuesit e materialeve të ambalazheve prodhojnë dhe hedhin në treg ambalazhe, në përputhje me kërkesat thelbësore të përcaktuara në këtë vendim, përfshirë edhe ato të përcaktuara në shtojcën nr. 2, bashkëlidhur këtij vendimi.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 Ambalazhi konsiderohet në përputhje me kërkesat thelbësore të këtij rregulli teknik kur ai është në përputhje me: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a) standardet e harmonizuara shqiptare, referenca e të cilave është botuar në Fletoren Zyrtare;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b) kur nuk ekzistojnë Standardet e Harmonizuara Shqiptare, me standardet e parashikuara në pikën, të këtij kreu.</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VII. NIVELI I PËRQENDRIMIT TË METALEVE TË RËNDA NË AMBALAZH</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1. Prodhuesit e ambalazheve, të materialeve të ambalazheve dhe të mallrave të ambalazhuara prodhojnë ambalazhe dhe materiale ambalazhesh apo tregtojnë ambalazhe, me kusht që shuma e niveleve të përqendrimit të plumbit, kadmiumit, merkurit ose kromit hekzavalent të pranishëm në ambalazh apo pjesë të ambalazhit, brenda afateve kohore të mëposhtme, sipas shtojcës nr.3, bashkëlidhur këtij vendimi, nuk kapërcen: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a) gjashtëqind ppm të peshës, deri më 30 qershor 2014;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b) dyqind e pesëdhjetë ppm të peshës, deri më 30 qershor 2015; </w:t>
      </w:r>
    </w:p>
    <w:p w:rsidR="00B73C59" w:rsidRPr="00BC7CB3" w:rsidRDefault="00B73C59" w:rsidP="000969EF">
      <w:pPr>
        <w:pStyle w:val="Paragrafi"/>
        <w:rPr>
          <w:rFonts w:ascii="Garamond" w:hAnsi="Garamond"/>
          <w:sz w:val="24"/>
          <w:szCs w:val="24"/>
          <w:lang w:val="sq-AL"/>
        </w:rPr>
      </w:pPr>
      <w:r w:rsidRPr="00BC7CB3">
        <w:rPr>
          <w:rFonts w:ascii="Garamond" w:hAnsi="Garamond"/>
          <w:sz w:val="24"/>
          <w:szCs w:val="24"/>
          <w:lang w:val="sq-AL"/>
        </w:rPr>
        <w:t>c) njëqind ppm të pe</w:t>
      </w:r>
      <w:r w:rsidR="000969EF" w:rsidRPr="00BC7CB3">
        <w:rPr>
          <w:rFonts w:ascii="Garamond" w:hAnsi="Garamond"/>
          <w:sz w:val="24"/>
          <w:szCs w:val="24"/>
          <w:lang w:val="sq-AL"/>
        </w:rPr>
        <w:t xml:space="preserve">shës, deri më 30 qershor 2017.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2. Kërkesat e pikës 1 të këtij kreu, nuk zbatohen për ambalazhet që përbëhen tërësisht prej qelqit, me kristal prej plumbi. </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VIII. SISTEMI I SHENJIMIT DHE IDENTIFIKIMIT TË AMBALAZHEVE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1. Prodhuesi ose importuesi lejohet të hedhë në treg apo të vendosë në qarkullim qese plastike mbajtëse, sipas përcaktimeve të këtij vendimi, vetëm pasi sigurohet që në të janë të dukshme: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a) inicialet identifikuese të prodhuesit;</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b) shenjat treguese që përcaktojnë llojin e plastikës që është përdorur për prodhimin e qeses apo ambalazhit;</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lastRenderedPageBreak/>
        <w:t>c) shenjën e aditivit vetëshkatërrues të përdorur;</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ç) datën, muajin dhe vitin e prodhimit;</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d) shenjën identifikuese që tregon se qesja është e riciklueshme dhe duhet depozituar dhe mbledhur e ndarë nga mbetjet organike;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 xml:space="preserve">dh) shenjën për përdorim në kontakt drejtpërdrejt me produktin ushqimor, nëse është prodhuar për atë qëllim. </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2. Prodhuesi, importuesi, tregtuesi apo çdo subjekt tjetër ekonomik, privat apo publik, mban dhe ruan informacion mbi hallkën e mëparshme apo pasuese të qeseve plastike mbajtëse, për një periudhë jo më të vogël se 36 muaj, me qëllim identifikimin dhe gjurmimin e procesit të daljes në qarkullim të këtyre qeseve.</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3. Informacioni i përmendur në pikën 1, të këtij kreu, i jepet inspektorit të mjedisit apo nëpunësit të agjencisë së mjedisit, sipas kërkesës së tij me shkrim.</w:t>
      </w:r>
    </w:p>
    <w:p w:rsidR="00B73C59"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4. Agjencia Kombëtare e Mjedisit, në bashkëpunim me Inspektoratin Kombëtar të Mjedisit, organet doganore e tatimore dhe Inspektoratin Qendror Teknik, mbledh dhe administron në mënyrë periodike vjetore informacionin e dërguar nga njësitë e vetëqeverisjes vendore mbi sasinë e qeseve plastike mbajtëse, të kategorizuara sipas përcaktimeve të kreut XII, të këtij vendimi, në qarkullim në territorin e Republikës së Shqipërisë, si dhe sasinë e tyre të përdorur në industrinë ricikluese.</w:t>
      </w:r>
      <w:r w:rsidR="00B73C59" w:rsidRPr="00BC7CB3">
        <w:rPr>
          <w:rFonts w:ascii="Garamond" w:hAnsi="Garamond"/>
          <w:i/>
          <w:sz w:val="24"/>
          <w:szCs w:val="24"/>
          <w:lang w:val="sq-AL"/>
        </w:rPr>
        <w:t xml:space="preserve">.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IX. RIPËRDORIMI I MBETJEVE TË AMBALAZHEVE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1. Operatorët ekonomikë marrin masa për të nxitur ripërdorimin e ambalazheve, sikurse përcaktohet në kreun XI të këtij vendimi.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 Operatorët ekonomikë marrin masat e nevojshme dhe i njoftojnë përdoruesit për mundësinë e ripërdorimit të ambalazheve.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X. RICIKLIMI DHE RIKUPERIMI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 Çdo prodhues i mallrave të ambalazhuara apo ambalazhues që ushtron veprimtarinë në territorin e Republikës së Shqipërisë do të rikuperojë dhe do të riciklojë minimalisht sasitë e përcaktuara më poshtë të ambalazheve dhe mbetjeve nga ambalazhet, brenda kufijve kohorë, si më poshtë vijon:</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a) Jo më vonë se data 30 qershor 2017:</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i) rikuperon ose incineron në incineratorë mbetjesh me rikuperim energjie 50-65% të mbetjeve nga ambalazhet e gjeneruara në territorin e Republikës së Shqipërisë;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ii) riciklon 25-45% të totalit të peshës totale të materialeve që përmbahen në mbetjet e ambalazhit dhe të paktën 15% të peshës për secilin material në veçanti;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b) Jo më vonë se data 31 dhjetor 2019:</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i) rikuperon ose incineron në incineratorë mbetjesh me rikuperim energjie 60% të mbetjeve nga ambalazhet;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ii) riciklon 55-80% të peshës së ambalazheve;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iii) riciklon, sipas llojit të materialit të mbetjes së ambalazhit: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- 60% të qelqit;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- 60% të letrës dhe kartonit;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- 50% të metalit;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- 22,5% të plastikës, duke llogaritur vetëm atë që riciklohet përsëri në plastikë;</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- 15% të drurit.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 Objektivat e përcaktuar në pikën 1 të këtij kreu, janë të detyrueshëm për t’u arritur edhe në nivelin e çdo njësie të qeverisjes vendore.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 Mbetjet e ambalazheve të eksportuara llogariten për efekt të realizimit të objektivave vetëm në bazë të dokumenteve, ku evidentohet se operacionet e rikuperimit dhe/ose riciklimit janë kryer në kushte të ngjashme ose shumë të ngjashme me ato të përcaktuara në legjislacionin e Bashkimit Europian për këtë çështje.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XI. SISTEMET E GRUMBULLIMIT, KTHIMIT DHE RIKUPERIMIT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1. Prodhuesi i mallrave të ambalazhuara dhe prodhuesi i ambalazheve që mbushen në pikën e shitjes apo persona të tretë që veprojnë në emër të tyre marrin masa që të financojnë të gjitha kostot, që rrjedhin për ngritjen dhe funksionimin e sistemeve të kthimit e rikuperimit të mbetjeve të ambalazheve, individualisht apo në bashkëpunim ndërmjet tyre, brenda një afati prej 4 (katër) vjetësh nga hyrja në fuqi e këtij vendimi.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 Përdoruesi shtëpiak dhe joshtëpiak hedh mbetjet e ambalazheve në vendin e treguar për dorëzimin e mbetjeve të ambalazheve nga subjektet e përcaktuara në pikën 1, të këtij kreu, dhe/ose në vendet e përcaktuara nga njësia e qeverisjes vendore përkatëse, bazuar në rregulloren e miratuar prej saj.</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3. Subjektet e përcaktuara në pikën 1 të këtij kreu, me qëllim që të ruajnë të pacenuar cilësinë e mbetjeve të ambalazheve që shkojnë për ripërdorim apo riciklim, marrin masat për transportimin me mjete të përshtatshme, në mënyrë të diferencuar, të mbetjeve të ambalazheve dhe, në asnjë rast, nuk lejojnë transportimin e mbetjeve bashkiake të përziera.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4. Subjektet e përcaktuara në pikën 1 të këtij kreu, peshojnë mbetjet e ambalazheve sipas materialit të tyre dhe kryejnë rregullisht regjistrimin e të dhënave në regjistrat e tyre, të krijuara për këtë qëllim.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5. Subjektet e përcaktuara në pikën 1 të këtij kreu, u dorëzojnë subjekteve ricikluese mbetje ambalazhesh të përbëra prej materialeve që ato riciklojnë, kundrejt dorëzimit të formularit 2, siç përshkruhet në shtojcën nr.5, bashkëlidhur këtij vendimi, ku evidentohen të dhëna për ambalazhet e grumbulluara dhe ato të dërguara për përpunim e riciklim.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XII. MONITORIMI DHE RAPORTIMI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1. Prodhuesi i mallrave të ambalazhuara dhe prodhuesi i ambalazheve që mbushen në pikën e shitjes apo persona të tretë që veprojnë në emër të tyre, brenda datës 31 janar të çdo viti, raportojnë në njësinë e qeverisjes vendore përkatëse të dhënat e regjistruara për vitin paraardhës, në përputhje me kërkesat e pikës 4 të kreut XI të këtij vendimi.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2. Njësitë e qeverisjes vendore llogaritin të dhënat e marra e të regjistruara nga subjektet e përcaktuara në pikën 1 të këtij kreu, për gjithë territorin nën juridiksionin e tyre për vitin kalendarik paraardhës dhe i regjistrojnë ato në regjistrat e tyre, të krijuar për këtë qëllim.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3. Njësitë e qeverisjes vendore raportojnë, brenda datës 28 shkurt të çdo viti në agjenci, shifrat e realizuara të grumbullimit për vitin paraardhës, sipas pikës 4 të kreut XI të këtij vendimi, dhe në total për gjithë territorin nën juridiksionin e tyre.</w:t>
      </w:r>
    </w:p>
    <w:p w:rsidR="000969EF" w:rsidRPr="00BC7CB3" w:rsidRDefault="00B73C59" w:rsidP="000969EF">
      <w:pPr>
        <w:pStyle w:val="Paragrafi"/>
        <w:rPr>
          <w:rFonts w:ascii="Garamond" w:hAnsi="Garamond"/>
          <w:i/>
          <w:sz w:val="24"/>
          <w:szCs w:val="24"/>
          <w:lang w:val="sq-AL"/>
        </w:rPr>
      </w:pPr>
      <w:r w:rsidRPr="00BC7CB3">
        <w:rPr>
          <w:rFonts w:ascii="Garamond" w:hAnsi="Garamond"/>
          <w:i/>
          <w:sz w:val="24"/>
          <w:szCs w:val="24"/>
          <w:lang w:val="sq-AL"/>
        </w:rPr>
        <w:t xml:space="preserve">4. </w:t>
      </w:r>
      <w:r w:rsidR="000969EF" w:rsidRPr="00BC7CB3">
        <w:rPr>
          <w:rFonts w:ascii="Garamond" w:hAnsi="Garamond"/>
          <w:i/>
          <w:sz w:val="24"/>
          <w:szCs w:val="24"/>
          <w:lang w:val="sq-AL"/>
        </w:rPr>
        <w:t>Drejtoria e Përgjithshme e Doganave raporton, brenda datës 28 shkurt të çdo viti, në agjenci, për:</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a)  importet dhe eksportet e mallrave ambalazh dhe të mallrave të ambalazhuara për vitin paraardhës, në bazë të peshës së tyre;</w:t>
      </w:r>
    </w:p>
    <w:p w:rsidR="00B73C59"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b) sasitë e ambalazheve të prodhuara dhe të hedhura në treg, për vitin paraardhës, në bazë të faturave tatimore përkatëse.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5. Agjencia llogarit për gjithë territorin e vendit dhe regjistron në regjistrat e saj, të krijuar për këtë qëllim:</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a) peshën e përgjithshme të mbetjeve të ambalazheve të grumbulluara në mënyrë të diferencuar;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b) peshën e përgjithshme të mbetjeve të ambalazheve sipas llojit të materialit përbërës.</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6. Agjencia i përfshin rezultatet e përqindjeve të grumbullimit të mbetjeve të ambalazheve në raportet e gjendjes së mjedisit.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7. Agjencia krijon, administron dhe përditëson një sistem </w:t>
      </w:r>
      <w:r w:rsidRPr="00BC7CB3">
        <w:rPr>
          <w:rFonts w:ascii="Garamond" w:hAnsi="Garamond"/>
          <w:i/>
          <w:sz w:val="24"/>
          <w:szCs w:val="24"/>
          <w:lang w:val="sq-AL"/>
        </w:rPr>
        <w:t>database</w:t>
      </w:r>
      <w:r w:rsidRPr="00BC7CB3">
        <w:rPr>
          <w:rFonts w:ascii="Garamond" w:hAnsi="Garamond"/>
          <w:sz w:val="24"/>
          <w:szCs w:val="24"/>
          <w:lang w:val="sq-AL"/>
        </w:rPr>
        <w:t xml:space="preserve"> për ambalazhet dhe mbetjet e tyre, duke marrë në konsideratë, por pa u kufizuar, në të dhënat e tabelave 1 dhe 2 në shtojcën nr. 6, bashkëlidhur këtij vendimi.</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8. Sistemi i regjistrimit </w:t>
      </w:r>
      <w:r w:rsidRPr="00BC7CB3">
        <w:rPr>
          <w:rFonts w:ascii="Garamond" w:hAnsi="Garamond"/>
          <w:i/>
          <w:sz w:val="24"/>
          <w:szCs w:val="24"/>
          <w:lang w:val="sq-AL"/>
        </w:rPr>
        <w:t>database</w:t>
      </w:r>
      <w:r w:rsidRPr="00BC7CB3">
        <w:rPr>
          <w:rFonts w:ascii="Garamond" w:hAnsi="Garamond"/>
          <w:sz w:val="24"/>
          <w:szCs w:val="24"/>
          <w:lang w:val="sq-AL"/>
        </w:rPr>
        <w:t>, përveç të tjerave, jep informacion për përmasat, karakteristikat dhe evolucionin e rrymave të ambalazheve dhe mbetjeve të tyre, toksicitetin apo rrezikun e materialeve të ambalazhit dhe të përbërësve nga të cilat është prodhuar.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9. Ministria i vendos rezultatet e këtij regjistrimi e monitorimi në dispozicion të publikut, bazuar në nenin 60 të ligjit nr. 10 431, datë 9.6.2011 “Për mbrojtjen e mjedisit”.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XIII. INFORMIMI I PËRDORUESVE TË AMBALAZHEVE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Ministria, njësitë e qeverisjes vendore dhe operatorët ekonomikë marrin masat e nevojshme, që, brenda 1 (një) viti nga hyrja në fuqi e këtij vendimi, të njoftojnë përdoruesit dhe, në mënyrë të veçantë, konsumatorët për: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a) sistemet e kthimit, grumbullimit dhe rikuperimit që janë në dispozicion të tyre për mbetjet nga ambalazhet;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b) pagesën që bën blerësi për ambalazhet që mbushen në pikën e shitjes;</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c) rolin dhe kontributin e tyre në grumbullimin e diferencuar, në ripërdorimin, rikuperimin dhe riciklimin e ambalazheve dhe mbetjeve të tyre;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ç) kuptimin e shenjave mbi ambalazhet që janë hedhur në treg;</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d) rëndësinë e përmbushjes dhe elementet përbërëse të planit kombëtar, rajonal e lokal të menaxhimit të ambalazheve dhe mbetjeve të tyre.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XIV. INSTRUMENTET EKONOMIKE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1. Përdoruesit e ambalazheve dhe mallrave të ambalazhuara, si dhe prodhuesit dhe/ose palët e treta që veprojnë në emër të tyre përdorin instrumente ekonomike që nxitin zbatimin e kërkesave të këtij vendimi (si taksa produkti, taksa të diferencuara etj.), duke marrë në konsideratë parashikimet e bëra në ligjin nr. 10 463, datë 22.9.2011 “Për menaxhimin e integruar të mbetjeve”, në ligjin nr. 9920, datë 19.5.2008 “Për procedurat tatimore në Republikën e Shqipërisë”, të ndryshuar, në ligjin nr. 9632, datë 30.10.2006 “Për sistemin e taksave vendore”, të ndryshuar, apo mbështetur në akte të tjera, ligjore e nënligjore.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2. Prodhuesit e ambalazheve, të mallrave të ambalazhuara e të materialeve të ambalazheve dhe persona të tretë, që veprojnë në emër të tyre, përdorin instrumente ekonomike (sisteme të rimbursimit të pagesave etj.), që nxitin: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a) grumbullimin e mbetjeve të ambalazheve;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b) përdorimin e materialeve ambalazhuese që nuk përmbajnë substanca të rrezikshme. </w:t>
      </w:r>
    </w:p>
    <w:p w:rsidR="000969EF" w:rsidRPr="00BC7CB3" w:rsidRDefault="000969EF" w:rsidP="00B73C59">
      <w:pPr>
        <w:pStyle w:val="Paragrafi"/>
        <w:rPr>
          <w:rFonts w:ascii="Garamond" w:hAnsi="Garamond"/>
          <w:i/>
          <w:sz w:val="24"/>
          <w:szCs w:val="24"/>
          <w:lang w:val="sq-AL"/>
        </w:rPr>
      </w:pPr>
      <w:r w:rsidRPr="00BC7CB3">
        <w:rPr>
          <w:rFonts w:ascii="Garamond" w:hAnsi="Garamond"/>
          <w:i/>
          <w:sz w:val="24"/>
          <w:szCs w:val="24"/>
          <w:lang w:val="sq-AL"/>
        </w:rPr>
        <w:t>3. Qeset plastike mbajtëse, të lejuara për t’u hedhur në treg sipas përcaktimeve të këtij vendimi, mund të ofrohen në pikat e shitjes së mallrave apo produkteve, vetëm kundrejt një pagese të posaçme të identifikuar në faturën apo kuponin tatimor.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XV. NDALIME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xml:space="preserve">1. Ndalohen prodhimi, importimi dhe hedhja në treg e ambalazheve kur nuk respektohen nga subjektet përgjegjëse kërkesat për nivelet e përqendrimit të metaleve të rënda në ambalazhe, të përcaktuara në kreun VII të këtij vendimi. </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 xml:space="preserve">2. Pas 2 muajsh nga hyrja në fuqi e këtij vendimi, ndalohet hedhja në treg apo përdorimi në çdo rast i qeseve të lehta plastike mbajtëse. </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3. Pas 2 muajsh nga hyrja në fuqi e këtij vendimi, ndalohet hedhja në treg apo përdorimi në çdo rast i qeseve plastike mbajtëse të pabiodegradueshme.</w:t>
      </w:r>
    </w:p>
    <w:p w:rsidR="00B73C59" w:rsidRPr="00BC7CB3" w:rsidRDefault="00B73C59" w:rsidP="000969EF">
      <w:pPr>
        <w:pStyle w:val="Paragrafi"/>
        <w:rPr>
          <w:rFonts w:ascii="Garamond" w:hAnsi="Garamond"/>
          <w:i/>
          <w:sz w:val="24"/>
          <w:szCs w:val="24"/>
          <w:lang w:val="sq-AL"/>
        </w:rPr>
      </w:pPr>
      <w:r w:rsidRPr="00BC7CB3">
        <w:rPr>
          <w:rFonts w:ascii="Garamond" w:hAnsi="Garamond"/>
          <w:i/>
          <w:sz w:val="24"/>
          <w:szCs w:val="24"/>
          <w:lang w:val="sq-AL"/>
        </w:rPr>
        <w:t xml:space="preserve">4. </w:t>
      </w:r>
      <w:r w:rsidR="000969EF" w:rsidRPr="00BC7CB3">
        <w:rPr>
          <w:rFonts w:ascii="Garamond" w:hAnsi="Garamond"/>
          <w:i/>
          <w:sz w:val="24"/>
          <w:szCs w:val="24"/>
          <w:lang w:val="sq-AL"/>
        </w:rPr>
        <w:t>Shfuqizuar.</w:t>
      </w:r>
    </w:p>
    <w:p w:rsidR="00B73C59" w:rsidRPr="00BC7CB3" w:rsidRDefault="00B73C59" w:rsidP="00B73C59">
      <w:pPr>
        <w:pStyle w:val="Paragrafi"/>
        <w:rPr>
          <w:rFonts w:ascii="Garamond" w:hAnsi="Garamond"/>
          <w:sz w:val="24"/>
          <w:szCs w:val="24"/>
          <w:lang w:val="sq-AL"/>
        </w:rPr>
      </w:pPr>
      <w:r w:rsidRPr="00BC7CB3">
        <w:rPr>
          <w:rFonts w:ascii="Garamond" w:hAnsi="Garamond"/>
          <w:i/>
          <w:sz w:val="24"/>
          <w:szCs w:val="24"/>
          <w:lang w:val="sq-AL"/>
        </w:rPr>
        <w:t>5.</w:t>
      </w:r>
      <w:r w:rsidRPr="00BC7CB3">
        <w:rPr>
          <w:rFonts w:ascii="Garamond" w:hAnsi="Garamond"/>
          <w:sz w:val="24"/>
          <w:szCs w:val="24"/>
          <w:lang w:val="sq-AL"/>
        </w:rPr>
        <w:t xml:space="preserve"> </w:t>
      </w:r>
      <w:r w:rsidR="000969EF" w:rsidRPr="00BC7CB3">
        <w:rPr>
          <w:rFonts w:ascii="Garamond" w:hAnsi="Garamond"/>
          <w:i/>
          <w:sz w:val="24"/>
          <w:szCs w:val="24"/>
          <w:lang w:val="sq-AL"/>
        </w:rPr>
        <w:t>Shfuqizuar.</w:t>
      </w:r>
      <w:r w:rsidRPr="00BC7CB3">
        <w:rPr>
          <w:rFonts w:ascii="Garamond" w:hAnsi="Garamond"/>
          <w:sz w:val="24"/>
          <w:szCs w:val="24"/>
          <w:lang w:val="sq-AL"/>
        </w:rPr>
        <w:t xml:space="preserve"> </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6. Ndalohet transporti i mbetjeve të ambalazheve me mjetet që transportojnë mbetje organike të përziera shtëpiake/bashkiake.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DISPOZITA TË FUNDIT</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XVI. ORGANET PËRGJEGJËSE DHE AKTE TË MINISTRIT PËRGJEGJËS PËR MJEDISIN</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Ngarkohen Ministria, Agjencia Kombëtare e Mjedisit, Inspektorati Qendror Teknik, Inspektorati Kombëtar i Mjedisit, autoritetet doganore dhe ato tatimore, njësitë e vetëqeverisjes vendore, në përputhje me detyrimet ligjore që rrjedhin nga legjislacioni në fuqi që rregullon fushën e veprimtarisë së tyre për zbatimin e këtij vendimi.</w:t>
      </w:r>
    </w:p>
    <w:p w:rsidR="000969EF"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XVII. SANKSIONET</w:t>
      </w:r>
    </w:p>
    <w:p w:rsidR="00B73C59" w:rsidRPr="00BC7CB3" w:rsidRDefault="000969EF" w:rsidP="000969EF">
      <w:pPr>
        <w:pStyle w:val="Paragrafi"/>
        <w:rPr>
          <w:rFonts w:ascii="Garamond" w:hAnsi="Garamond"/>
          <w:i/>
          <w:sz w:val="24"/>
          <w:szCs w:val="24"/>
          <w:lang w:val="sq-AL"/>
        </w:rPr>
      </w:pPr>
      <w:r w:rsidRPr="00BC7CB3">
        <w:rPr>
          <w:rFonts w:ascii="Garamond" w:hAnsi="Garamond"/>
          <w:i/>
          <w:sz w:val="24"/>
          <w:szCs w:val="24"/>
          <w:lang w:val="sq-AL"/>
        </w:rPr>
        <w:t>Shkelja e parashikimit të: pikës 2, të kreut IV; të pikave 1, 2 e 3, të kreut V; të pikës 1, të kreut VI; të pikës 1, të kreut VII; kreut VIII; të pikave 1 e 2, të kreut IX; të pikës 1, të kreut X; të kreut XI; të pikës 1, të kreut XII; dhe të kreut XV, të këtij vendimi, dënohet sipas përcaktimit të pikës 25, të nenit 62, të ligjit nr. 10463, datë 22.9.2011, “Për menaxhimin e integruar të mbetjeve”, të ndryshuar.</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XVIII. SHTOJCAT</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Shtojcat bashkëlidhur këtij vendimi janë pjesë përbërëse e tij.</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Ky vendim hyn në fuqi pas botimit në Fletoren Zyrtare.</w:t>
      </w:r>
    </w:p>
    <w:p w:rsidR="00B73C59" w:rsidRPr="00BC7CB3" w:rsidRDefault="00B73C59" w:rsidP="00B73C59">
      <w:pPr>
        <w:pStyle w:val="Paragrafi"/>
        <w:rPr>
          <w:rFonts w:ascii="Garamond" w:hAnsi="Garamond"/>
          <w:sz w:val="24"/>
          <w:szCs w:val="24"/>
          <w:lang w:val="sq-AL"/>
        </w:rPr>
      </w:pPr>
      <w:r w:rsidRPr="00BC7CB3">
        <w:rPr>
          <w:rFonts w:ascii="Garamond" w:hAnsi="Garamond"/>
          <w:sz w:val="24"/>
          <w:szCs w:val="24"/>
          <w:lang w:val="sq-AL"/>
        </w:rPr>
        <w:t> </w:t>
      </w:r>
    </w:p>
    <w:p w:rsidR="00B73C59" w:rsidRPr="00BC7CB3" w:rsidRDefault="00B73C59" w:rsidP="00B73C59">
      <w:pPr>
        <w:pStyle w:val="Autoriteti"/>
        <w:rPr>
          <w:rFonts w:ascii="Garamond" w:hAnsi="Garamond"/>
          <w:sz w:val="24"/>
          <w:szCs w:val="24"/>
          <w:lang w:val="sq-AL"/>
        </w:rPr>
      </w:pPr>
      <w:r w:rsidRPr="00BC7CB3">
        <w:rPr>
          <w:rFonts w:ascii="Garamond" w:hAnsi="Garamond"/>
          <w:sz w:val="24"/>
          <w:szCs w:val="24"/>
          <w:lang w:val="sq-AL"/>
        </w:rPr>
        <w:t>KRYEMINISTRI</w:t>
      </w:r>
    </w:p>
    <w:p w:rsidR="00B73C59" w:rsidRPr="00BC7CB3" w:rsidRDefault="00B73C59" w:rsidP="00B73C59">
      <w:pPr>
        <w:pStyle w:val="AutoritetiEmer"/>
        <w:rPr>
          <w:rFonts w:ascii="Garamond" w:hAnsi="Garamond"/>
          <w:sz w:val="24"/>
          <w:szCs w:val="24"/>
          <w:lang w:val="sq-AL"/>
        </w:rPr>
      </w:pPr>
      <w:r w:rsidRPr="00BC7CB3">
        <w:rPr>
          <w:rFonts w:ascii="Garamond" w:hAnsi="Garamond"/>
          <w:sz w:val="24"/>
          <w:szCs w:val="24"/>
          <w:lang w:val="sq-AL"/>
        </w:rPr>
        <w:t xml:space="preserve"> Sali Berisha</w:t>
      </w:r>
    </w:p>
    <w:sectPr w:rsidR="00B73C59" w:rsidRPr="00BC7CB3" w:rsidSect="0047759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762" w:rsidRDefault="00CC4762" w:rsidP="00B73C59">
      <w:r>
        <w:separator/>
      </w:r>
    </w:p>
  </w:endnote>
  <w:endnote w:type="continuationSeparator" w:id="0">
    <w:p w:rsidR="00CC4762" w:rsidRDefault="00CC4762" w:rsidP="00B7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9EF" w:rsidRDefault="000969EF">
    <w:pPr>
      <w:pStyle w:val="Footer"/>
      <w:jc w:val="right"/>
    </w:pPr>
    <w:r>
      <w:rPr>
        <w:noProof w:val="0"/>
      </w:rPr>
      <w:fldChar w:fldCharType="begin"/>
    </w:r>
    <w:r>
      <w:instrText xml:space="preserve"> PAGE   \* MERGEFORMAT </w:instrText>
    </w:r>
    <w:r>
      <w:rPr>
        <w:noProof w:val="0"/>
      </w:rPr>
      <w:fldChar w:fldCharType="separate"/>
    </w:r>
    <w:r w:rsidR="00C42FE6">
      <w:t>1</w:t>
    </w:r>
    <w:r>
      <w:fldChar w:fldCharType="end"/>
    </w:r>
  </w:p>
  <w:p w:rsidR="000969EF" w:rsidRDefault="000969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762" w:rsidRDefault="00CC4762" w:rsidP="00B73C59">
      <w:r>
        <w:separator/>
      </w:r>
    </w:p>
  </w:footnote>
  <w:footnote w:type="continuationSeparator" w:id="0">
    <w:p w:rsidR="00CC4762" w:rsidRDefault="00CC4762" w:rsidP="00B73C59">
      <w:r>
        <w:continuationSeparator/>
      </w:r>
    </w:p>
  </w:footnote>
  <w:footnote w:id="1">
    <w:p w:rsidR="00B73C59" w:rsidRPr="000969EF" w:rsidRDefault="00B73C59" w:rsidP="00B73C59">
      <w:pPr>
        <w:pStyle w:val="Paragrafi"/>
        <w:rPr>
          <w:rFonts w:ascii="Garamond" w:hAnsi="Garamond"/>
          <w:sz w:val="24"/>
          <w:szCs w:val="24"/>
        </w:rPr>
      </w:pPr>
      <w:r w:rsidRPr="000969EF">
        <w:rPr>
          <w:rStyle w:val="FootnoteReference"/>
          <w:rFonts w:ascii="Garamond" w:hAnsi="Garamond"/>
          <w:sz w:val="24"/>
          <w:szCs w:val="24"/>
        </w:rPr>
        <w:footnoteRef/>
      </w:r>
      <w:r w:rsidRPr="000969EF">
        <w:rPr>
          <w:rFonts w:ascii="Garamond" w:hAnsi="Garamond"/>
          <w:sz w:val="24"/>
          <w:szCs w:val="24"/>
        </w:rPr>
        <w:t xml:space="preserve"> CELEX Reference: 31994L0062</w:t>
      </w:r>
    </w:p>
    <w:p w:rsidR="00B73C59" w:rsidRPr="000969EF" w:rsidRDefault="00B73C59" w:rsidP="00B73C59">
      <w:pPr>
        <w:pStyle w:val="Paragrafi"/>
        <w:rPr>
          <w:rFonts w:ascii="Garamond" w:hAnsi="Garamond"/>
          <w:sz w:val="24"/>
          <w:szCs w:val="24"/>
        </w:rPr>
      </w:pPr>
      <w:r w:rsidRPr="000969EF">
        <w:rPr>
          <w:rFonts w:ascii="Garamond" w:hAnsi="Garamond"/>
          <w:sz w:val="24"/>
          <w:szCs w:val="24"/>
        </w:rPr>
        <w:t>Titulli i direktivës: 94/62/EC e Parlamentit dhe Këshillit Europian e datës 20 dhjetor 1994 “Për ambalazhet dhe mbetjet nga ambalazhet” hyrë në fuqi më 31 dhjetor 1994, e amenduar me Direktivën 2004/Direktivën 2004/12 të Parlamentit Europian dhe të Këshillit Europian të datës 11 shkurt 2004.</w:t>
      </w:r>
    </w:p>
  </w:footnote>
  <w:footnote w:id="2">
    <w:p w:rsidR="000969EF" w:rsidRPr="000969EF" w:rsidRDefault="000969EF">
      <w:pPr>
        <w:pStyle w:val="FootnoteText"/>
        <w:rPr>
          <w:rFonts w:ascii="Garamond" w:hAnsi="Garamond"/>
          <w:sz w:val="24"/>
          <w:szCs w:val="24"/>
          <w:lang w:val="en-US"/>
        </w:rPr>
      </w:pPr>
      <w:r w:rsidRPr="000969EF">
        <w:rPr>
          <w:rStyle w:val="FootnoteReference"/>
          <w:rFonts w:ascii="Garamond" w:hAnsi="Garamond"/>
          <w:sz w:val="24"/>
          <w:szCs w:val="24"/>
        </w:rPr>
        <w:footnoteRef/>
      </w:r>
      <w:r w:rsidRPr="000969EF">
        <w:rPr>
          <w:rFonts w:ascii="Garamond" w:hAnsi="Garamond"/>
          <w:sz w:val="24"/>
          <w:szCs w:val="24"/>
        </w:rPr>
        <w:t xml:space="preserve"> </w:t>
      </w:r>
      <w:r w:rsidRPr="000969EF">
        <w:rPr>
          <w:rFonts w:ascii="Garamond" w:hAnsi="Garamond"/>
          <w:sz w:val="24"/>
          <w:szCs w:val="24"/>
          <w:lang w:val="en-US"/>
        </w:rPr>
        <w:t>VKM nr.177, datë 6.3.2012 është botuar në Fletoren Zyrtare nr.33, datë 26 mars 2012.</w:t>
      </w:r>
    </w:p>
    <w:p w:rsidR="000969EF" w:rsidRPr="000969EF" w:rsidRDefault="000969EF">
      <w:pPr>
        <w:pStyle w:val="FootnoteText"/>
        <w:rPr>
          <w:rFonts w:ascii="Garamond" w:hAnsi="Garamond"/>
          <w:sz w:val="24"/>
          <w:szCs w:val="24"/>
          <w:lang w:val="en-US"/>
        </w:rPr>
      </w:pPr>
      <w:r w:rsidRPr="000969EF">
        <w:rPr>
          <w:rFonts w:ascii="Garamond" w:hAnsi="Garamond"/>
          <w:sz w:val="24"/>
          <w:szCs w:val="24"/>
          <w:lang w:val="en-US"/>
        </w:rPr>
        <w:t>VKM nr.232, datë 26.4.2018 është botuar në Fletoren Zyrtare nr.64, datë 4 maj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C59"/>
    <w:rsid w:val="000277EF"/>
    <w:rsid w:val="000969EF"/>
    <w:rsid w:val="000C2ABA"/>
    <w:rsid w:val="00142F5D"/>
    <w:rsid w:val="001D4B57"/>
    <w:rsid w:val="004063E3"/>
    <w:rsid w:val="00443285"/>
    <w:rsid w:val="00477590"/>
    <w:rsid w:val="004A533F"/>
    <w:rsid w:val="00753B45"/>
    <w:rsid w:val="007F6793"/>
    <w:rsid w:val="00802AED"/>
    <w:rsid w:val="008759F1"/>
    <w:rsid w:val="008A6BB5"/>
    <w:rsid w:val="00946BB9"/>
    <w:rsid w:val="00966CC7"/>
    <w:rsid w:val="00997495"/>
    <w:rsid w:val="009E2982"/>
    <w:rsid w:val="00A020A7"/>
    <w:rsid w:val="00AD7F1E"/>
    <w:rsid w:val="00B24908"/>
    <w:rsid w:val="00B73C59"/>
    <w:rsid w:val="00B80BE6"/>
    <w:rsid w:val="00BC7CB3"/>
    <w:rsid w:val="00C42FE6"/>
    <w:rsid w:val="00CC4762"/>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link w:val="NumriData"/>
    <w:uiPriority w:val="99"/>
    <w:locked/>
    <w:rsid w:val="00B73C59"/>
    <w:rPr>
      <w:rFonts w:ascii="CG Times" w:eastAsia="Times New Roman" w:hAnsi="CG Times" w:cs="Times New Roman"/>
      <w:b/>
      <w:sz w:val="22"/>
      <w:lang w:val="en-GB" w:eastAsia="en-US" w:bidi="en-US"/>
    </w:rPr>
  </w:style>
  <w:style w:type="character" w:customStyle="1" w:styleId="ParagrafiChar">
    <w:name w:val="Paragrafi Char"/>
    <w:link w:val="Paragrafi"/>
    <w:uiPriority w:val="99"/>
    <w:locked/>
    <w:rsid w:val="00B73C59"/>
    <w:rPr>
      <w:rFonts w:ascii="CG Times" w:eastAsia="Times New Roman" w:hAnsi="CG Times" w:cs="Times New Roman"/>
      <w:sz w:val="22"/>
      <w:lang w:val="en-US" w:eastAsia="en-US" w:bidi="en-US"/>
    </w:rPr>
  </w:style>
  <w:style w:type="character" w:customStyle="1" w:styleId="VENDOSIChar">
    <w:name w:val="VENDOSI Char"/>
    <w:link w:val="VENDOSI"/>
    <w:uiPriority w:val="99"/>
    <w:locked/>
    <w:rsid w:val="00B73C59"/>
    <w:rPr>
      <w:rFonts w:ascii="CG Times" w:eastAsia="Times New Roman" w:hAnsi="CG Times" w:cs="Times New Roman"/>
      <w:caps/>
      <w:sz w:val="22"/>
      <w:szCs w:val="22"/>
      <w:lang w:val="en-GB" w:eastAsia="en-US" w:bidi="en-US"/>
    </w:rPr>
  </w:style>
  <w:style w:type="character" w:styleId="FootnoteReference">
    <w:name w:val="footnote reference"/>
    <w:uiPriority w:val="99"/>
    <w:semiHidden/>
    <w:rsid w:val="00B73C59"/>
    <w:rPr>
      <w:vertAlign w:val="superscript"/>
    </w:rPr>
  </w:style>
  <w:style w:type="paragraph" w:styleId="FootnoteText">
    <w:name w:val="footnote text"/>
    <w:basedOn w:val="Normal"/>
    <w:link w:val="FootnoteTextChar"/>
    <w:uiPriority w:val="99"/>
    <w:semiHidden/>
    <w:unhideWhenUsed/>
    <w:rsid w:val="000969EF"/>
    <w:rPr>
      <w:sz w:val="20"/>
      <w:szCs w:val="20"/>
    </w:rPr>
  </w:style>
  <w:style w:type="character" w:customStyle="1" w:styleId="FootnoteTextChar">
    <w:name w:val="Footnote Text Char"/>
    <w:link w:val="FootnoteText"/>
    <w:uiPriority w:val="99"/>
    <w:semiHidden/>
    <w:rsid w:val="000969EF"/>
    <w:rPr>
      <w:noProof/>
      <w:lang w:val="sq-AL" w:bidi="en-US"/>
    </w:rPr>
  </w:style>
  <w:style w:type="paragraph" w:styleId="Header">
    <w:name w:val="header"/>
    <w:basedOn w:val="Normal"/>
    <w:link w:val="HeaderChar"/>
    <w:uiPriority w:val="99"/>
    <w:unhideWhenUsed/>
    <w:rsid w:val="000969EF"/>
    <w:pPr>
      <w:tabs>
        <w:tab w:val="center" w:pos="4680"/>
        <w:tab w:val="right" w:pos="9360"/>
      </w:tabs>
    </w:pPr>
  </w:style>
  <w:style w:type="character" w:customStyle="1" w:styleId="HeaderChar">
    <w:name w:val="Header Char"/>
    <w:link w:val="Header"/>
    <w:uiPriority w:val="99"/>
    <w:rsid w:val="000969EF"/>
    <w:rPr>
      <w:noProof/>
      <w:sz w:val="22"/>
      <w:szCs w:val="22"/>
      <w:lang w:val="sq-AL"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link w:val="NumriData"/>
    <w:uiPriority w:val="99"/>
    <w:locked/>
    <w:rsid w:val="00B73C59"/>
    <w:rPr>
      <w:rFonts w:ascii="CG Times" w:eastAsia="Times New Roman" w:hAnsi="CG Times" w:cs="Times New Roman"/>
      <w:b/>
      <w:sz w:val="22"/>
      <w:lang w:val="en-GB" w:eastAsia="en-US" w:bidi="en-US"/>
    </w:rPr>
  </w:style>
  <w:style w:type="character" w:customStyle="1" w:styleId="ParagrafiChar">
    <w:name w:val="Paragrafi Char"/>
    <w:link w:val="Paragrafi"/>
    <w:uiPriority w:val="99"/>
    <w:locked/>
    <w:rsid w:val="00B73C59"/>
    <w:rPr>
      <w:rFonts w:ascii="CG Times" w:eastAsia="Times New Roman" w:hAnsi="CG Times" w:cs="Times New Roman"/>
      <w:sz w:val="22"/>
      <w:lang w:val="en-US" w:eastAsia="en-US" w:bidi="en-US"/>
    </w:rPr>
  </w:style>
  <w:style w:type="character" w:customStyle="1" w:styleId="VENDOSIChar">
    <w:name w:val="VENDOSI Char"/>
    <w:link w:val="VENDOSI"/>
    <w:uiPriority w:val="99"/>
    <w:locked/>
    <w:rsid w:val="00B73C59"/>
    <w:rPr>
      <w:rFonts w:ascii="CG Times" w:eastAsia="Times New Roman" w:hAnsi="CG Times" w:cs="Times New Roman"/>
      <w:caps/>
      <w:sz w:val="22"/>
      <w:szCs w:val="22"/>
      <w:lang w:val="en-GB" w:eastAsia="en-US" w:bidi="en-US"/>
    </w:rPr>
  </w:style>
  <w:style w:type="character" w:styleId="FootnoteReference">
    <w:name w:val="footnote reference"/>
    <w:uiPriority w:val="99"/>
    <w:semiHidden/>
    <w:rsid w:val="00B73C59"/>
    <w:rPr>
      <w:vertAlign w:val="superscript"/>
    </w:rPr>
  </w:style>
  <w:style w:type="paragraph" w:styleId="FootnoteText">
    <w:name w:val="footnote text"/>
    <w:basedOn w:val="Normal"/>
    <w:link w:val="FootnoteTextChar"/>
    <w:uiPriority w:val="99"/>
    <w:semiHidden/>
    <w:unhideWhenUsed/>
    <w:rsid w:val="000969EF"/>
    <w:rPr>
      <w:sz w:val="20"/>
      <w:szCs w:val="20"/>
    </w:rPr>
  </w:style>
  <w:style w:type="character" w:customStyle="1" w:styleId="FootnoteTextChar">
    <w:name w:val="Footnote Text Char"/>
    <w:link w:val="FootnoteText"/>
    <w:uiPriority w:val="99"/>
    <w:semiHidden/>
    <w:rsid w:val="000969EF"/>
    <w:rPr>
      <w:noProof/>
      <w:lang w:val="sq-AL" w:bidi="en-US"/>
    </w:rPr>
  </w:style>
  <w:style w:type="paragraph" w:styleId="Header">
    <w:name w:val="header"/>
    <w:basedOn w:val="Normal"/>
    <w:link w:val="HeaderChar"/>
    <w:uiPriority w:val="99"/>
    <w:unhideWhenUsed/>
    <w:rsid w:val="000969EF"/>
    <w:pPr>
      <w:tabs>
        <w:tab w:val="center" w:pos="4680"/>
        <w:tab w:val="right" w:pos="9360"/>
      </w:tabs>
    </w:pPr>
  </w:style>
  <w:style w:type="character" w:customStyle="1" w:styleId="HeaderChar">
    <w:name w:val="Header Char"/>
    <w:link w:val="Header"/>
    <w:uiPriority w:val="99"/>
    <w:rsid w:val="000969EF"/>
    <w:rPr>
      <w:noProof/>
      <w:sz w:val="22"/>
      <w:szCs w:val="22"/>
      <w:lang w:val="sq-AL"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399B0-14C1-4566-AF92-B694D54E6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4205</Words>
  <Characters>23975</Characters>
  <Application>Microsoft Office Word</Application>
  <DocSecurity>4</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Jonida Resulaj</cp:lastModifiedBy>
  <cp:revision>2</cp:revision>
  <cp:lastPrinted>2018-05-10T12:07:00Z</cp:lastPrinted>
  <dcterms:created xsi:type="dcterms:W3CDTF">2019-11-06T09:33:00Z</dcterms:created>
  <dcterms:modified xsi:type="dcterms:W3CDTF">2019-11-06T09:33:00Z</dcterms:modified>
</cp:coreProperties>
</file>