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70C" w:rsidRPr="00993285" w:rsidRDefault="0021370C" w:rsidP="0021370C">
      <w:pPr>
        <w:pStyle w:val="Akti"/>
        <w:rPr>
          <w:lang w:val="sq-AL"/>
        </w:rPr>
      </w:pPr>
      <w:bookmarkStart w:id="0" w:name="_GoBack"/>
      <w:bookmarkEnd w:id="0"/>
      <w:r w:rsidRPr="00993285">
        <w:rPr>
          <w:lang w:val="sq-AL"/>
        </w:rPr>
        <w:t>VENDIM</w:t>
      </w:r>
    </w:p>
    <w:p w:rsidR="0021370C" w:rsidRPr="00993285" w:rsidRDefault="0021370C" w:rsidP="0021370C">
      <w:pPr>
        <w:pStyle w:val="NumriData"/>
        <w:rPr>
          <w:lang w:val="sq-AL"/>
        </w:rPr>
      </w:pPr>
      <w:r w:rsidRPr="00993285">
        <w:rPr>
          <w:lang w:val="sq-AL"/>
        </w:rPr>
        <w:t>Nr. 248, datë 2.5.2012</w:t>
      </w:r>
    </w:p>
    <w:p w:rsidR="0021370C" w:rsidRPr="00993285" w:rsidRDefault="0021370C" w:rsidP="0021370C">
      <w:pPr>
        <w:pStyle w:val="Paragrafi"/>
        <w:rPr>
          <w:lang w:val="sq-AL"/>
        </w:rPr>
      </w:pPr>
    </w:p>
    <w:p w:rsidR="0021370C" w:rsidRPr="00993285" w:rsidRDefault="0021370C" w:rsidP="0021370C">
      <w:pPr>
        <w:pStyle w:val="Titulli"/>
        <w:rPr>
          <w:lang w:val="sq-AL"/>
        </w:rPr>
      </w:pPr>
      <w:r w:rsidRPr="00993285">
        <w:rPr>
          <w:lang w:val="sq-AL"/>
        </w:rPr>
        <w:t xml:space="preserve">PËR DISA SHTESA DHE NDRYSHIME NË VENDIMIN NR. 347, DATË 29.4.2011 TË KËSHILLIT TË MINISTRAVE “PËR MIRATIMIN E PROGRAMIT TË VEPRIMIT </w:t>
      </w:r>
    </w:p>
    <w:p w:rsidR="0021370C" w:rsidRPr="00993285" w:rsidRDefault="0021370C" w:rsidP="0021370C">
      <w:pPr>
        <w:pStyle w:val="Titulli"/>
        <w:rPr>
          <w:lang w:val="sq-AL"/>
        </w:rPr>
      </w:pPr>
      <w:r w:rsidRPr="00993285">
        <w:rPr>
          <w:lang w:val="sq-AL"/>
        </w:rPr>
        <w:t>3-VJEÇAR PËR ZBATIMIN E STRATEGJISË MINERARE</w:t>
      </w:r>
    </w:p>
    <w:p w:rsidR="0021370C" w:rsidRPr="00993285" w:rsidRDefault="0021370C" w:rsidP="0021370C">
      <w:pPr>
        <w:pStyle w:val="Paragrafi"/>
        <w:rPr>
          <w:lang w:val="sq-AL"/>
        </w:rPr>
      </w:pP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Në mbështetje të nenit 100 të Kushtetu</w:t>
      </w:r>
      <w:r>
        <w:rPr>
          <w:lang w:val="sq-AL"/>
        </w:rPr>
        <w:t>t</w:t>
      </w:r>
      <w:r w:rsidRPr="00993285">
        <w:rPr>
          <w:lang w:val="sq-AL"/>
        </w:rPr>
        <w:t>ës dhe të neneve 8 pikat 4 e 8, e 56 pika 1 të l</w:t>
      </w:r>
      <w:r>
        <w:rPr>
          <w:lang w:val="sq-AL"/>
        </w:rPr>
        <w:t>igjit nr. 10 304, datë 15.7.2010</w:t>
      </w:r>
      <w:r w:rsidRPr="00993285">
        <w:rPr>
          <w:lang w:val="sq-AL"/>
        </w:rPr>
        <w:t xml:space="preserve"> “Për sektorin minerar në Republikën e Shqipërisë”, me propozimin e Ministrit të Ekonomisë, Tregtisë dhe Energjetikës, Këshilli i Ministrave </w:t>
      </w:r>
    </w:p>
    <w:p w:rsidR="0021370C" w:rsidRPr="00993285" w:rsidRDefault="0021370C" w:rsidP="0021370C">
      <w:pPr>
        <w:pStyle w:val="Paragrafi"/>
        <w:rPr>
          <w:lang w:val="sq-AL"/>
        </w:rPr>
      </w:pPr>
    </w:p>
    <w:p w:rsidR="0021370C" w:rsidRPr="00993285" w:rsidRDefault="0021370C" w:rsidP="0021370C">
      <w:pPr>
        <w:pStyle w:val="VENDOSI"/>
        <w:rPr>
          <w:lang w:val="sq-AL"/>
        </w:rPr>
      </w:pPr>
      <w:r w:rsidRPr="00993285">
        <w:rPr>
          <w:lang w:val="sq-AL"/>
        </w:rPr>
        <w:t>VENDOSI:</w:t>
      </w:r>
    </w:p>
    <w:p w:rsidR="0021370C" w:rsidRPr="00993285" w:rsidRDefault="0021370C" w:rsidP="0021370C">
      <w:pPr>
        <w:pStyle w:val="Paragrafi"/>
        <w:rPr>
          <w:lang w:val="sq-AL"/>
        </w:rPr>
      </w:pP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1. Në vendimin nr. 347, datë 29.4.2011 të Këshillit të Ministrave, bëhen këto ndryshime dhe shtesa: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a) Aneksi 1 bashkëlidhur vendimit, pas realizimit të hartës së burimeve minerare, zëvendësohet me aneksin 1 që i bashkëlidhet këtij vendimi, ku jepen të gjitha vendburimet e njohura të mineraleve.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b) Në shkronjën “d” të pikës 1, shtohet një paragraf me këtë përmbajtje: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“Të gjitha zonat minerare të përfshira në aneksin 1, bashkëlidhur këtij vendimi, duhet të vlerësohen gjatë hartimit të planit vjetor minerar, për vendosjen e tyre në lidhje me sipërfaqet e zonave të mbrojtura, pyjore/kullosore dhe zonat e shfrytëzimit të inerteve lumore. Në rast mbivendosjeje me këto sipërfaqe, përjashtimi ose përfshirja e këtyre zonave në planin vjetor minerar do të bëhet pas marrjes së miratimit nga Ministria e Mjedisit, Pyjeve dhe Administrimit të Ujërave për sipërfaqet e zonave të mbrojtura, pyjore/kullosore dhe nga KKU-ja për zonat e shfrytëzimit të inerteve lumore.”.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2. Për zonat minerare, në të cilat do të zhvillohet veprimtaria minerare gjatë periudhës 3-vjeçare, të përcaktuara me koordinatë qendre në aneksin 1 që i bashkëlidhet këtij vendimi, përcaktohen për tipin e zonës, konkurruese apo e hapur, koordinatat e zonës dhe të dhënat gjeologjike për të në planin vjetor minerar. Këto zona përditësohen në bazë të informacionit gjeologo-minerar, i cili grumbullohet gjatë kësaj periudhe.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3. Zonat minerare të papërfshira në aneksin 1 që i bashkëlidhet këtij vendimi për të cilat gjatë kësaj periudhe trevjeçare mund të shprehet interes për kërkim-zbulimin ose shfrytëzimin nga subjekte minerare, vendase ose të huaja, në bazë të vlerësimeve të strukturave përgjegjëse, si AKBN-ja, SHGJSH-ja dhe Ministria e Ekonomisë, Tregtisë dhe Energjetikës, mund të përfshihen në planin vjetor minerar.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4. Zonat minerare të cilat kalojnë në procedurë konkurruese, si dhe zonat e hapura, përfshihen dhe caktohen në planin vjetor minerar, sipas përcaktimeve të bëra në ligjin nr. 10 304, datë 15.7.2010. Përcaktimi i zonave në zona konkurruese dhe të hapura bëhet në bazë të vlerësimit të strukturave përgjegjëse, si AKBN-ja, SHGJSH-ja dhe Ministria e Ekonomisë, Tregtisë dhe Energjetikës.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 xml:space="preserve">5. Ngarkohet Ministria e Ekonomisë, Tregtisë dhe Energjetikës për zbatimin e këtij vendimi. </w:t>
      </w:r>
    </w:p>
    <w:p w:rsidR="0021370C" w:rsidRPr="00993285" w:rsidRDefault="0021370C" w:rsidP="0021370C">
      <w:pPr>
        <w:pStyle w:val="Paragrafi"/>
        <w:rPr>
          <w:lang w:val="sq-AL"/>
        </w:rPr>
      </w:pPr>
      <w:r w:rsidRPr="00993285">
        <w:rPr>
          <w:lang w:val="sq-AL"/>
        </w:rPr>
        <w:t>Ky vendim hyn në fuqi pas botimit në Fletoren Zyrtare.</w:t>
      </w:r>
    </w:p>
    <w:p w:rsidR="0021370C" w:rsidRPr="00993285" w:rsidRDefault="0021370C" w:rsidP="0021370C">
      <w:pPr>
        <w:pStyle w:val="Paragrafi"/>
        <w:rPr>
          <w:lang w:val="sq-AL"/>
        </w:rPr>
      </w:pPr>
    </w:p>
    <w:p w:rsidR="0021370C" w:rsidRPr="00993285" w:rsidRDefault="0021370C" w:rsidP="0021370C">
      <w:pPr>
        <w:pStyle w:val="Autoriteti"/>
        <w:rPr>
          <w:lang w:val="sq-AL"/>
        </w:rPr>
      </w:pPr>
      <w:r w:rsidRPr="00993285">
        <w:rPr>
          <w:lang w:val="sq-AL"/>
        </w:rPr>
        <w:t>Kryeministri</w:t>
      </w:r>
    </w:p>
    <w:p w:rsidR="0021370C" w:rsidRPr="00993285" w:rsidRDefault="0021370C" w:rsidP="0021370C">
      <w:pPr>
        <w:pStyle w:val="AutoritetiEmer"/>
        <w:rPr>
          <w:lang w:val="sq-AL"/>
        </w:rPr>
      </w:pPr>
      <w:r w:rsidRPr="00993285">
        <w:rPr>
          <w:lang w:val="sq-AL"/>
        </w:rPr>
        <w:t>Sali Berisha</w:t>
      </w:r>
    </w:p>
    <w:sectPr w:rsidR="0021370C" w:rsidRPr="0099328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1370C"/>
    <w:rsid w:val="000277EF"/>
    <w:rsid w:val="000C2ABA"/>
    <w:rsid w:val="00142F5D"/>
    <w:rsid w:val="001D4B57"/>
    <w:rsid w:val="0021370C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  <w:rsid w:val="00EA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910080-BE79-42F6-9B29-BB4C1650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21370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1370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21370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21370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21370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21370C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2019-03-18T14:30:00Z</dcterms:created>
  <dcterms:modified xsi:type="dcterms:W3CDTF">2019-03-18T14:30:00Z</dcterms:modified>
</cp:coreProperties>
</file>