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E72" w:rsidRPr="00331806" w:rsidRDefault="00F27E72" w:rsidP="00F27E72">
      <w:pPr>
        <w:pStyle w:val="Akti"/>
        <w:keepNext w:val="0"/>
        <w:rPr>
          <w:sz w:val="21"/>
          <w:szCs w:val="21"/>
          <w:lang w:val="sq-AL"/>
        </w:rPr>
      </w:pPr>
      <w:bookmarkStart w:id="0" w:name="_GoBack"/>
      <w:bookmarkEnd w:id="0"/>
      <w:r w:rsidRPr="00331806">
        <w:rPr>
          <w:sz w:val="21"/>
          <w:szCs w:val="21"/>
          <w:lang w:val="sq-AL"/>
        </w:rPr>
        <w:t>Vendim</w:t>
      </w:r>
    </w:p>
    <w:p w:rsidR="00F27E72" w:rsidRPr="00331806" w:rsidRDefault="00F27E72" w:rsidP="00F27E72">
      <w:pPr>
        <w:pStyle w:val="NumriData"/>
        <w:keepNext w:val="0"/>
        <w:rPr>
          <w:sz w:val="21"/>
          <w:szCs w:val="21"/>
          <w:lang w:val="sq-AL"/>
        </w:rPr>
      </w:pPr>
      <w:r w:rsidRPr="00331806">
        <w:rPr>
          <w:sz w:val="21"/>
          <w:szCs w:val="21"/>
          <w:lang w:val="sq-AL"/>
        </w:rPr>
        <w:t>Nr. 337, datë 16.5.2012</w:t>
      </w:r>
    </w:p>
    <w:p w:rsidR="00F27E72" w:rsidRPr="00331806" w:rsidRDefault="00F27E72" w:rsidP="00F27E72">
      <w:pPr>
        <w:pStyle w:val="Paragrafi"/>
        <w:rPr>
          <w:sz w:val="21"/>
          <w:szCs w:val="21"/>
          <w:lang w:val="sq-AL"/>
        </w:rPr>
      </w:pPr>
    </w:p>
    <w:p w:rsidR="00F27E72" w:rsidRPr="00331806" w:rsidRDefault="00F27E72" w:rsidP="00F27E72">
      <w:pPr>
        <w:pStyle w:val="Titulli"/>
        <w:keepNext w:val="0"/>
        <w:rPr>
          <w:sz w:val="21"/>
          <w:szCs w:val="21"/>
          <w:lang w:val="sq-AL"/>
        </w:rPr>
      </w:pPr>
      <w:r w:rsidRPr="00331806">
        <w:rPr>
          <w:sz w:val="21"/>
          <w:szCs w:val="21"/>
          <w:lang w:val="sq-AL"/>
        </w:rPr>
        <w:t>Për disa ndryshime në vendimin nr. 522, datë 30.6.2010 të këshillit të ministrave “Për shpronësimin, për interes publik, të pronarëve të pasurive të paluajtshme, pronë private, që preken nga shpronësimi për qëllim të ndërtimit, pronësisë, shfrytëzimit, mirëmbajtjes dhe transferimit në favor të shtetit të projektit të një hidrocentrali të ri në Ashtë, në qarkun e Shkodrës”</w:t>
      </w:r>
    </w:p>
    <w:p w:rsidR="00F27E72" w:rsidRPr="00331806" w:rsidRDefault="00F27E72" w:rsidP="00F27E72">
      <w:pPr>
        <w:pStyle w:val="Paragrafi"/>
        <w:rPr>
          <w:sz w:val="21"/>
          <w:szCs w:val="21"/>
          <w:lang w:val="sq-AL"/>
        </w:rPr>
      </w:pPr>
    </w:p>
    <w:p w:rsidR="00F27E72" w:rsidRPr="00331806" w:rsidRDefault="00F27E72" w:rsidP="00F27E72">
      <w:pPr>
        <w:pStyle w:val="Paragrafi"/>
        <w:rPr>
          <w:sz w:val="21"/>
          <w:szCs w:val="21"/>
          <w:lang w:val="sq-AL"/>
        </w:rPr>
      </w:pPr>
      <w:r w:rsidRPr="00331806">
        <w:rPr>
          <w:sz w:val="21"/>
          <w:szCs w:val="21"/>
          <w:lang w:val="sq-AL"/>
        </w:rPr>
        <w:t>Në mbështetje të nenit 100 të Kushtetutës dhe të neneve 5 pika 1, 20 e 21 të ligjit nr. 8561, datë 22.12.1999 “Për shpronësimet dhe marrjen në përdorim të përkohshëm të pasurisë, pronë private, për interes publik”, me propozimin e Ministrit të Ekonomisë, Tregtisë dhe Energjetikës, Këshilli i Ministrave</w:t>
      </w:r>
    </w:p>
    <w:p w:rsidR="00F27E72" w:rsidRPr="00331806" w:rsidRDefault="00F27E72" w:rsidP="00F27E72">
      <w:pPr>
        <w:pStyle w:val="Paragrafi"/>
        <w:rPr>
          <w:sz w:val="21"/>
          <w:szCs w:val="21"/>
          <w:lang w:val="sq-AL"/>
        </w:rPr>
      </w:pPr>
    </w:p>
    <w:p w:rsidR="00F27E72" w:rsidRPr="00331806" w:rsidRDefault="00F27E72" w:rsidP="00F27E72">
      <w:pPr>
        <w:pStyle w:val="VENDOSI"/>
        <w:keepNext w:val="0"/>
        <w:rPr>
          <w:sz w:val="21"/>
          <w:szCs w:val="21"/>
          <w:lang w:val="sq-AL"/>
        </w:rPr>
      </w:pPr>
      <w:r w:rsidRPr="00331806">
        <w:rPr>
          <w:sz w:val="21"/>
          <w:szCs w:val="21"/>
          <w:lang w:val="sq-AL"/>
        </w:rPr>
        <w:t>Vendosi:</w:t>
      </w:r>
    </w:p>
    <w:p w:rsidR="00F27E72" w:rsidRPr="00331806" w:rsidRDefault="00F27E72" w:rsidP="00F27E72">
      <w:pPr>
        <w:pStyle w:val="Paragrafi"/>
        <w:rPr>
          <w:sz w:val="21"/>
          <w:szCs w:val="21"/>
          <w:lang w:val="sq-AL"/>
        </w:rPr>
      </w:pPr>
    </w:p>
    <w:p w:rsidR="00F27E72" w:rsidRPr="00331806" w:rsidRDefault="00F27E72" w:rsidP="00F27E72">
      <w:pPr>
        <w:pStyle w:val="Paragrafi"/>
        <w:rPr>
          <w:sz w:val="21"/>
          <w:szCs w:val="21"/>
          <w:lang w:val="sq-AL"/>
        </w:rPr>
      </w:pPr>
      <w:r w:rsidRPr="00331806">
        <w:rPr>
          <w:sz w:val="21"/>
          <w:szCs w:val="21"/>
          <w:lang w:val="sq-AL"/>
        </w:rPr>
        <w:t>Në vendimin nr. 522, datë 30.6.2010 të Këshillit të Ministrave bëhen këto ndryshime:</w:t>
      </w:r>
    </w:p>
    <w:p w:rsidR="00F27E72" w:rsidRPr="00331806" w:rsidRDefault="00F27E72" w:rsidP="00F27E72">
      <w:pPr>
        <w:pStyle w:val="Paragrafi"/>
        <w:rPr>
          <w:sz w:val="21"/>
          <w:szCs w:val="21"/>
          <w:lang w:val="sq-AL"/>
        </w:rPr>
      </w:pPr>
      <w:r w:rsidRPr="00331806">
        <w:rPr>
          <w:sz w:val="21"/>
          <w:szCs w:val="21"/>
          <w:lang w:val="sq-AL"/>
        </w:rPr>
        <w:t>1. Pika 3 ndryshohet, si më poshtë vijon:</w:t>
      </w:r>
    </w:p>
    <w:p w:rsidR="00F27E72" w:rsidRPr="00331806" w:rsidRDefault="00F27E72" w:rsidP="00F27E72">
      <w:pPr>
        <w:pStyle w:val="Paragrafi"/>
        <w:rPr>
          <w:sz w:val="21"/>
          <w:szCs w:val="21"/>
          <w:lang w:val="sq-AL"/>
        </w:rPr>
      </w:pPr>
      <w:r w:rsidRPr="00331806">
        <w:rPr>
          <w:sz w:val="21"/>
          <w:szCs w:val="21"/>
          <w:lang w:val="sq-AL"/>
        </w:rPr>
        <w:t>“3. Pronarët e pasurive të paluajtshme, që shpronësohen, të kompensohen në lekë, në vlerë të plotë sipas masës përkatëse, që paraqitet në tabelën që i bashkëlidhet këtij vendimi, për sipërfaqen e përgjithshme prej 51 247 (pesëdhjetë e një mijë e dyqind e dyzet e shtatë) m</w:t>
      </w:r>
      <w:r w:rsidRPr="00331806">
        <w:rPr>
          <w:sz w:val="21"/>
          <w:szCs w:val="21"/>
          <w:vertAlign w:val="superscript"/>
          <w:lang w:val="sq-AL"/>
        </w:rPr>
        <w:t>2</w:t>
      </w:r>
      <w:r w:rsidRPr="00331806">
        <w:rPr>
          <w:sz w:val="21"/>
          <w:szCs w:val="21"/>
          <w:lang w:val="sq-AL"/>
        </w:rPr>
        <w:t xml:space="preserve"> tokë, arë, truall, ullishte, pemëtore, vlerësuar në shumën e përgjithshme prej 42 925 054 (dyzet e dy milionë e nëntëqind e njëzet e pesë mijë e pesëdhjetë e katër) lekë.”.</w:t>
      </w:r>
    </w:p>
    <w:p w:rsidR="00F27E72" w:rsidRPr="00331806" w:rsidRDefault="00F27E72" w:rsidP="00F27E72">
      <w:pPr>
        <w:pStyle w:val="Paragrafi"/>
        <w:rPr>
          <w:sz w:val="21"/>
          <w:szCs w:val="21"/>
          <w:lang w:val="sq-AL"/>
        </w:rPr>
      </w:pPr>
      <w:r w:rsidRPr="00331806">
        <w:rPr>
          <w:sz w:val="21"/>
          <w:szCs w:val="21"/>
          <w:lang w:val="sq-AL"/>
        </w:rPr>
        <w:t>2. Pika 4 ndryshohet, si më poshtë vijon:</w:t>
      </w:r>
    </w:p>
    <w:p w:rsidR="00F27E72" w:rsidRPr="00331806" w:rsidRDefault="00F27E72" w:rsidP="00F27E72">
      <w:pPr>
        <w:pStyle w:val="Paragrafi"/>
        <w:rPr>
          <w:sz w:val="21"/>
          <w:szCs w:val="21"/>
          <w:lang w:val="sq-AL"/>
        </w:rPr>
      </w:pPr>
      <w:r w:rsidRPr="00331806">
        <w:rPr>
          <w:sz w:val="21"/>
          <w:szCs w:val="21"/>
          <w:lang w:val="sq-AL"/>
        </w:rPr>
        <w:t>“4. Fondi prej 42 925 054 (dyzet e dy milionë e nëntëqind e njëzet e pesë mijë e pesëdhjetë e katër) lekësh të përballohet nga fondet e shoqërisë “Energji Ashta”, sh.p.k. si subjekt kërkues i këtij shpronësimi.”</w:t>
      </w:r>
      <w:r>
        <w:rPr>
          <w:sz w:val="21"/>
          <w:szCs w:val="21"/>
          <w:lang w:val="sq-AL"/>
        </w:rPr>
        <w:t>.</w:t>
      </w:r>
    </w:p>
    <w:p w:rsidR="00F27E72" w:rsidRPr="00331806" w:rsidRDefault="00F27E72" w:rsidP="00F27E72">
      <w:pPr>
        <w:pStyle w:val="Paragrafi"/>
        <w:rPr>
          <w:sz w:val="21"/>
          <w:szCs w:val="21"/>
          <w:lang w:val="sq-AL"/>
        </w:rPr>
      </w:pPr>
      <w:r w:rsidRPr="00331806">
        <w:rPr>
          <w:sz w:val="21"/>
          <w:szCs w:val="21"/>
          <w:lang w:val="sq-AL"/>
        </w:rPr>
        <w:t>3. Në tabelën e të shpronësuarve, që i bashkëlidhet vendimit, prona me nr. 109/1, në emër të</w:t>
      </w:r>
      <w:r>
        <w:rPr>
          <w:sz w:val="21"/>
          <w:szCs w:val="21"/>
          <w:lang w:val="sq-AL"/>
        </w:rPr>
        <w:t xml:space="preserve"> shtetasit Jak Lazë</w:t>
      </w:r>
      <w:r w:rsidRPr="00331806">
        <w:rPr>
          <w:sz w:val="21"/>
          <w:szCs w:val="21"/>
          <w:lang w:val="sq-AL"/>
        </w:rPr>
        <w:t>r Ndoci, bëhet në emër të shtetasit Ndrek Zef Caka, prona me nr. 130/1, në emër të shtetasit Mark Ndoc Ndoci, bëhet në emër të shtetasit Tom Pjetër Kola dhe prona me nr. 18/1 hiqet nga tabela e shpronësimit.</w:t>
      </w:r>
    </w:p>
    <w:p w:rsidR="00F27E72" w:rsidRPr="00331806" w:rsidRDefault="00F27E72" w:rsidP="00F27E72">
      <w:pPr>
        <w:pStyle w:val="Paragrafi"/>
        <w:rPr>
          <w:sz w:val="21"/>
          <w:szCs w:val="21"/>
          <w:lang w:val="sq-AL"/>
        </w:rPr>
      </w:pPr>
      <w:r w:rsidRPr="00331806">
        <w:rPr>
          <w:sz w:val="21"/>
          <w:szCs w:val="21"/>
          <w:lang w:val="sq-AL"/>
        </w:rPr>
        <w:t>Ky vendim hyn në fuqi menjëherë dhe botohet në Fletoren Zyrtare.</w:t>
      </w:r>
    </w:p>
    <w:p w:rsidR="00F27E72" w:rsidRPr="00331806" w:rsidRDefault="00F27E72" w:rsidP="00F27E72">
      <w:pPr>
        <w:pStyle w:val="Paragrafi"/>
        <w:rPr>
          <w:sz w:val="21"/>
          <w:szCs w:val="21"/>
          <w:lang w:val="sq-AL"/>
        </w:rPr>
      </w:pPr>
    </w:p>
    <w:p w:rsidR="00F27E72" w:rsidRPr="00331806" w:rsidRDefault="00F27E72" w:rsidP="00F27E72">
      <w:pPr>
        <w:pStyle w:val="Autoriteti"/>
        <w:keepNext w:val="0"/>
        <w:rPr>
          <w:sz w:val="21"/>
          <w:szCs w:val="21"/>
          <w:lang w:val="sq-AL"/>
        </w:rPr>
      </w:pPr>
      <w:r w:rsidRPr="00331806">
        <w:rPr>
          <w:sz w:val="21"/>
          <w:szCs w:val="21"/>
          <w:lang w:val="sq-AL"/>
        </w:rPr>
        <w:t>Kryeministri</w:t>
      </w:r>
    </w:p>
    <w:p w:rsidR="00F27E72" w:rsidRPr="00331806" w:rsidRDefault="00F27E72" w:rsidP="00F27E72">
      <w:pPr>
        <w:pStyle w:val="AutoritetiEmer"/>
        <w:rPr>
          <w:sz w:val="21"/>
          <w:szCs w:val="21"/>
          <w:lang w:val="sq-AL"/>
        </w:rPr>
      </w:pPr>
      <w:r w:rsidRPr="00331806">
        <w:rPr>
          <w:sz w:val="21"/>
          <w:szCs w:val="21"/>
          <w:lang w:val="sq-AL"/>
        </w:rPr>
        <w:t>Sali Berisha</w:t>
      </w:r>
    </w:p>
    <w:sectPr w:rsidR="00F27E72" w:rsidRPr="003318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27E72"/>
    <w:rsid w:val="0000709E"/>
    <w:rsid w:val="00011621"/>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16541"/>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319F4"/>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27E72"/>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464CCCB-2E6C-4480-B759-2317278C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E72"/>
    <w:rPr>
      <w:rFonts w:eastAsia="MS Mincho"/>
      <w:sz w:val="24"/>
      <w:szCs w:val="24"/>
      <w:lang w:val="en-US" w:eastAsia="en-US"/>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6A303A"/>
    <w:rPr>
      <w:rFonts w:ascii="CG Times" w:eastAsia="MS Mincho" w:hAnsi="CG Times" w:cs="CG Times"/>
      <w:sz w:val="22"/>
      <w:szCs w:val="22"/>
      <w:lang w:eastAsia="en-US"/>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6A303A"/>
    <w:pPr>
      <w:jc w:val="center"/>
    </w:pPr>
    <w:rPr>
      <w:rFonts w:ascii="CG Times" w:eastAsia="MS Mincho" w:hAnsi="CG Times" w:cs="CG Times"/>
      <w:sz w:val="24"/>
      <w:szCs w:val="24"/>
      <w:lang w:eastAsia="en-US"/>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eastAsia="en-US"/>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lang w:val="en-US" w:eastAsia="en-US"/>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lang w:val="en-US" w:eastAsia="en-US"/>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eastAsia="en-US"/>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lang w:val="en-US" w:eastAsia="en-US"/>
    </w:rPr>
  </w:style>
  <w:style w:type="paragraph" w:customStyle="1" w:styleId="KapitulliNr">
    <w:name w:val="Kapitulli_Nr"/>
    <w:rsid w:val="006A30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eastAsia="en-US"/>
    </w:rPr>
  </w:style>
  <w:style w:type="paragraph" w:customStyle="1" w:styleId="KreuNr">
    <w:name w:val="Kreu_Nr"/>
    <w:rsid w:val="006A30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rsid w:val="006A30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6A30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6A303A"/>
    <w:pPr>
      <w:jc w:val="center"/>
    </w:pPr>
    <w:rPr>
      <w:rFonts w:ascii="CG Times" w:eastAsia="MS Mincho" w:hAnsi="CG Times" w:cs="CG Times"/>
      <w:caps/>
      <w:sz w:val="22"/>
      <w:szCs w:val="22"/>
      <w:lang w:eastAsia="en-US"/>
    </w:rPr>
  </w:style>
  <w:style w:type="paragraph" w:customStyle="1" w:styleId="Nenpika">
    <w:name w:val="Nenpika"/>
    <w:next w:val="Normal"/>
    <w:autoRedefine/>
    <w:rsid w:val="006A303A"/>
    <w:pPr>
      <w:ind w:firstLine="720"/>
    </w:pPr>
    <w:rPr>
      <w:rFonts w:ascii="CG Times" w:eastAsia="MS Mincho" w:hAnsi="CG Times" w:cs="CG Times"/>
      <w:sz w:val="22"/>
      <w:szCs w:val="22"/>
      <w:lang w:val="en-US" w:eastAsia="en-US"/>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eastAsia="en-US"/>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lang w:val="en-US" w:eastAsia="en-US"/>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6A303A"/>
    <w:pPr>
      <w:keepNext/>
      <w:widowControl w:val="0"/>
      <w:jc w:val="center"/>
    </w:pPr>
    <w:rPr>
      <w:rFonts w:ascii="CG Times" w:eastAsia="MS Mincho" w:hAnsi="CG Times" w:cs="CG Times"/>
      <w:caps/>
      <w:sz w:val="22"/>
      <w:szCs w:val="22"/>
      <w:lang w:eastAsia="en-US"/>
    </w:rPr>
  </w:style>
  <w:style w:type="paragraph" w:customStyle="1" w:styleId="Section">
    <w:name w:val="Section"/>
    <w:rsid w:val="006A303A"/>
    <w:rPr>
      <w:rFonts w:ascii="Arial" w:eastAsia="MS Mincho" w:hAnsi="Arial" w:cs="Arial"/>
      <w:kern w:val="32"/>
      <w:sz w:val="48"/>
      <w:szCs w:val="48"/>
      <w:lang w:val="en-US" w:eastAsia="en-US"/>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eastAsia="en-US"/>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lang w:val="en-US" w:eastAsia="en-US"/>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eastAsia="en-US"/>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eastAsia="en-US"/>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eastAsia="en-US"/>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umriDataChar">
    <w:name w:val="Numri_Data Char"/>
    <w:basedOn w:val="DefaultParagraphFont"/>
    <w:link w:val="NumriData"/>
    <w:locked/>
    <w:rsid w:val="00F27E72"/>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locked/>
    <w:rsid w:val="00F27E72"/>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locked/>
    <w:rsid w:val="00F27E7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F27E72"/>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F27E72"/>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F27E7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2019-03-18T14:51:00Z</dcterms:created>
  <dcterms:modified xsi:type="dcterms:W3CDTF">2019-03-18T14:51:00Z</dcterms:modified>
</cp:coreProperties>
</file>