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BA" w:rsidRPr="003943C4" w:rsidRDefault="00A833BA" w:rsidP="00A833BA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 xml:space="preserve">VENDIM </w:t>
      </w:r>
    </w:p>
    <w:p w:rsidR="00A833BA" w:rsidRPr="003943C4" w:rsidRDefault="00A833BA" w:rsidP="00A833BA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399, datë 20.6.2012</w:t>
      </w:r>
    </w:p>
    <w:p w:rsidR="00A833BA" w:rsidRPr="00B66D4B" w:rsidRDefault="00A833BA" w:rsidP="00A833BA">
      <w:pPr>
        <w:pStyle w:val="Paragrafi"/>
        <w:rPr>
          <w:sz w:val="13"/>
          <w:szCs w:val="21"/>
          <w:lang w:val="sq-AL"/>
        </w:rPr>
      </w:pPr>
    </w:p>
    <w:p w:rsidR="00A833BA" w:rsidRPr="003943C4" w:rsidRDefault="00A833BA" w:rsidP="00A833BA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EKZEKUTIMIN E VENDIMIT TË GJYKATËS EUROPIANE PËR TË DREJTAT E NJERIUT, DATË 15.3.2012, PËR ÇËSHTJEN NR. 10810/05 “ÇAUSH DRIZA KUNDËR SHQIPËRISË”</w:t>
      </w:r>
    </w:p>
    <w:p w:rsidR="00A833BA" w:rsidRPr="00B66D4B" w:rsidRDefault="00A833BA" w:rsidP="00A833BA">
      <w:pPr>
        <w:pStyle w:val="Paragrafi"/>
        <w:rPr>
          <w:sz w:val="13"/>
          <w:szCs w:val="21"/>
          <w:lang w:val="sq-AL"/>
        </w:rPr>
      </w:pP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Kushtetutës, të nenit 46 të Konventës Europiane për Mbrojtjen e të Drejtave të Njeriut dhe Lirive Themelore, ratifikuar me ligjin nr. 8137, datë 31.7.1996 “Për ratifikimin e Konventës Europiane për Mbrojtjen e të Drejtave të Njeriut dhe Lirive Themelore”, si dhe të ligjit nr. 9235, datë 29.7.2004 “Për kthimin dhe kompensimin e pronës”, të ndryshuar, me propozimin e Ministrit të Drejtësisë, Këshilli i Ministrave</w:t>
      </w:r>
    </w:p>
    <w:p w:rsidR="00A833BA" w:rsidRPr="00B66D4B" w:rsidRDefault="00A833BA" w:rsidP="00A833BA">
      <w:pPr>
        <w:pStyle w:val="Paragrafi"/>
        <w:rPr>
          <w:sz w:val="13"/>
          <w:szCs w:val="21"/>
          <w:lang w:val="sq-AL"/>
        </w:rPr>
      </w:pPr>
    </w:p>
    <w:p w:rsidR="00A833BA" w:rsidRPr="003943C4" w:rsidRDefault="00A833BA" w:rsidP="00A833BA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Ekzekutimin e vendimit të Gjykatës Europiane për të Drejtat e Njeriut, datë 15.3.2012, për çështjen nr. 10810/05 “Çaush Driza kundër Shqipërisë”, për kompensimin fizik të pronës me sipërfaqe 360 (treqind e gjashtëdhjetë) m².</w:t>
      </w: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Autoriteti përgjegjës për ekzekutimin e këtij vendimi është Agjencia e Kthimit dhe Kompensimit të Pronave.</w:t>
      </w: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3. Autorizohet Agjencia e Kthimit dhe Kompensimit të Pronave për kompensimin fizik të pronës, me sipërfaqe 360 (treqind e gjashtëdhjetë) m², në favor të z. Çaush Driza. </w:t>
      </w:r>
    </w:p>
    <w:p w:rsidR="00A833BA" w:rsidRDefault="00A833BA" w:rsidP="00A833BA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Ngarkohen Ministria e Drejtësisë, Agjencia e Kthimit dhe Kompensimit të Pronave dhe Zyra Qendrore e Regjistrimit të Pasurive të Paluajtshm</w:t>
      </w:r>
      <w:r>
        <w:rPr>
          <w:sz w:val="21"/>
          <w:szCs w:val="21"/>
          <w:lang w:val="sq-AL"/>
        </w:rPr>
        <w:t>e për zbatimin e këtij vendimi.</w:t>
      </w: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menjëherë dhe botohet në Fletoren Zyrtare.</w:t>
      </w:r>
    </w:p>
    <w:p w:rsidR="00A833BA" w:rsidRPr="003943C4" w:rsidRDefault="00A833BA" w:rsidP="00A833BA">
      <w:pPr>
        <w:pStyle w:val="Paragrafi"/>
        <w:rPr>
          <w:sz w:val="21"/>
          <w:szCs w:val="21"/>
          <w:lang w:val="sq-AL"/>
        </w:rPr>
      </w:pPr>
    </w:p>
    <w:p w:rsidR="00A833BA" w:rsidRPr="003943C4" w:rsidRDefault="00A833BA" w:rsidP="00A833BA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A833BA" w:rsidRPr="003943C4" w:rsidRDefault="00A833BA" w:rsidP="00A833BA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A833BA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833BA"/>
    <w:rsid w:val="00A833BA"/>
    <w:rsid w:val="00C21F6A"/>
    <w:rsid w:val="00F9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713900-7BEB-4381-8814-E73DECA1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833B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833B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833B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833B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833B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833B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833B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833B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3B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833B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833B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833B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A833B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