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4C1" w:rsidRPr="005F4EAF" w:rsidRDefault="009924C1" w:rsidP="009924C1">
      <w:pPr>
        <w:pStyle w:val="Akti"/>
        <w:keepNext w:val="0"/>
        <w:rPr>
          <w:lang w:val="sq-AL"/>
        </w:rPr>
      </w:pPr>
      <w:bookmarkStart w:id="0" w:name="_GoBack"/>
      <w:bookmarkEnd w:id="0"/>
      <w:r w:rsidRPr="005F4EAF">
        <w:rPr>
          <w:lang w:val="sq-AL"/>
        </w:rPr>
        <w:t>VENDIM</w:t>
      </w:r>
    </w:p>
    <w:p w:rsidR="009924C1" w:rsidRPr="005F4EAF" w:rsidRDefault="009924C1" w:rsidP="009924C1">
      <w:pPr>
        <w:pStyle w:val="NumriData"/>
        <w:keepNext w:val="0"/>
        <w:rPr>
          <w:lang w:val="sq-AL"/>
        </w:rPr>
      </w:pPr>
      <w:r w:rsidRPr="005F4EAF">
        <w:rPr>
          <w:lang w:val="sq-AL"/>
        </w:rPr>
        <w:t>Nr. 781, datë 14.11.2012</w:t>
      </w:r>
    </w:p>
    <w:p w:rsidR="009924C1" w:rsidRPr="005F4EAF" w:rsidRDefault="009924C1" w:rsidP="009924C1">
      <w:pPr>
        <w:pStyle w:val="Paragrafi"/>
        <w:rPr>
          <w:lang w:val="sq-AL"/>
        </w:rPr>
      </w:pPr>
    </w:p>
    <w:p w:rsidR="009924C1" w:rsidRPr="005F4EAF" w:rsidRDefault="009924C1" w:rsidP="009924C1">
      <w:pPr>
        <w:pStyle w:val="Titulli"/>
        <w:keepNext w:val="0"/>
        <w:rPr>
          <w:lang w:val="sq-AL"/>
        </w:rPr>
      </w:pPr>
      <w:r w:rsidRPr="005F4EAF">
        <w:rPr>
          <w:lang w:val="sq-AL"/>
        </w:rPr>
        <w:t>PËR CILËSINË E DISA LËNDËVE TË DJEGSHME, TË LËNGSHME, PËR PËRDORIM TERMIK, CIVIL E INDUSTRIAL, SI DHE PËR PËRDORIM NË MJETET E TRANSPORTIT UJOR (DETAR, LUMOR DHE LIQENOR)</w:t>
      </w:r>
      <w:r w:rsidRPr="005F4EAF">
        <w:rPr>
          <w:vertAlign w:val="superscript"/>
          <w:lang w:val="sq-AL"/>
        </w:rPr>
        <w:footnoteReference w:id="1"/>
      </w:r>
      <w:r w:rsidRPr="005F4EAF">
        <w:rPr>
          <w:vertAlign w:val="superscript"/>
          <w:lang w:val="sq-AL"/>
        </w:rPr>
        <w:t>*</w:t>
      </w:r>
      <w:r w:rsidRPr="005F4EAF">
        <w:rPr>
          <w:lang w:val="sq-AL"/>
        </w:rPr>
        <w:t xml:space="preserve"> </w:t>
      </w:r>
    </w:p>
    <w:p w:rsidR="009924C1" w:rsidRPr="005F4EAF" w:rsidRDefault="009924C1" w:rsidP="009924C1">
      <w:pPr>
        <w:pStyle w:val="Paragrafi"/>
        <w:rPr>
          <w:lang w:val="sq-AL"/>
        </w:rPr>
      </w:pPr>
    </w:p>
    <w:p w:rsidR="009924C1" w:rsidRPr="005F4EAF" w:rsidRDefault="009924C1" w:rsidP="009924C1">
      <w:pPr>
        <w:pStyle w:val="Paragrafi"/>
        <w:rPr>
          <w:lang w:val="sq-AL"/>
        </w:rPr>
      </w:pPr>
      <w:r w:rsidRPr="005F4EAF">
        <w:rPr>
          <w:lang w:val="sq-AL"/>
        </w:rPr>
        <w:t>Në mbështetje të nenit 100 të Kushtetutës, të neneve 5, 12 e 16 e të pikave 2 e 3 të shtojcës II të ligjit nr. 9501, datë 3.4.2006 “Për ratifikimin e traktatit të krijimit të Komunitetit të Energjisë”, dhe të pikës 5 të nenit 10 të ligjit nr. 8897, datë 16.5.2002 “Për mbrojtjen e ajrit nga ndotja”, të ndryshuar, me propozimin e Zëvendëskryeministrit dhe Ministër i Ekonomisë, Tregtisë dhe Energjetikës dhe të Ministrit të Mjedisit, Pyjeve dhe Administrimit të Ujërave, Këshilli i Ministrave</w:t>
      </w:r>
    </w:p>
    <w:p w:rsidR="009924C1" w:rsidRPr="005F4EAF" w:rsidRDefault="009924C1" w:rsidP="009924C1">
      <w:pPr>
        <w:pStyle w:val="Paragrafi"/>
        <w:rPr>
          <w:lang w:val="sq-AL"/>
        </w:rPr>
      </w:pPr>
    </w:p>
    <w:p w:rsidR="009924C1" w:rsidRPr="005F4EAF" w:rsidRDefault="009924C1" w:rsidP="009924C1">
      <w:pPr>
        <w:pStyle w:val="VENDOSI"/>
        <w:keepNext w:val="0"/>
        <w:rPr>
          <w:lang w:val="sq-AL"/>
        </w:rPr>
      </w:pPr>
      <w:r w:rsidRPr="005F4EAF">
        <w:rPr>
          <w:lang w:val="sq-AL"/>
        </w:rPr>
        <w:t>VENDOSI:</w:t>
      </w:r>
    </w:p>
    <w:p w:rsidR="009924C1" w:rsidRPr="005F4EAF" w:rsidRDefault="009924C1" w:rsidP="009924C1">
      <w:pPr>
        <w:pStyle w:val="Paragrafi"/>
        <w:rPr>
          <w:lang w:val="sq-AL"/>
        </w:rPr>
      </w:pPr>
    </w:p>
    <w:p w:rsidR="009924C1" w:rsidRPr="005F4EAF" w:rsidRDefault="009924C1" w:rsidP="009924C1">
      <w:pPr>
        <w:pStyle w:val="Paragrafi"/>
        <w:rPr>
          <w:lang w:val="sq-AL"/>
        </w:rPr>
      </w:pPr>
      <w:r w:rsidRPr="005F4EAF">
        <w:rPr>
          <w:lang w:val="sq-AL"/>
        </w:rPr>
        <w:t>1. Për qëllim të këtij vendimi, me termat e mëposhtëm do të nënkuptohet:</w:t>
      </w:r>
    </w:p>
    <w:p w:rsidR="009924C1" w:rsidRPr="005F4EAF" w:rsidRDefault="009924C1" w:rsidP="009924C1">
      <w:pPr>
        <w:pStyle w:val="Paragrafi"/>
        <w:rPr>
          <w:lang w:val="sq-AL"/>
        </w:rPr>
      </w:pPr>
      <w:r w:rsidRPr="005F4EAF">
        <w:rPr>
          <w:lang w:val="sq-AL"/>
        </w:rPr>
        <w:t>a) “Lëndë djegëse e lëngët e rëndë” (</w:t>
      </w:r>
      <w:r w:rsidRPr="005F4EAF">
        <w:rPr>
          <w:i/>
          <w:lang w:val="sq-AL"/>
        </w:rPr>
        <w:t>heavy fuel oil</w:t>
      </w:r>
      <w:r w:rsidRPr="005F4EAF">
        <w:rPr>
          <w:lang w:val="sq-AL"/>
        </w:rPr>
        <w:t>):</w:t>
      </w:r>
    </w:p>
    <w:p w:rsidR="009924C1" w:rsidRPr="005F4EAF" w:rsidRDefault="009924C1" w:rsidP="009924C1">
      <w:pPr>
        <w:pStyle w:val="Paragrafi"/>
        <w:rPr>
          <w:lang w:val="sq-AL"/>
        </w:rPr>
      </w:pPr>
      <w:r w:rsidRPr="005F4EAF">
        <w:rPr>
          <w:lang w:val="sq-AL"/>
        </w:rPr>
        <w:t>- çdo lëndë djegëse e lëngët, e prodhuar nga hidrokarburet, që përfshihen në kodet CN 2710 19 51 deri CN 2710 19 55; CN 2710 19 62 deri CN 2710 19 68; CN 2710 20 31 deri CN 2710 20 39; ose</w:t>
      </w:r>
    </w:p>
    <w:p w:rsidR="009924C1" w:rsidRPr="005F4EAF" w:rsidRDefault="009924C1" w:rsidP="009924C1">
      <w:pPr>
        <w:pStyle w:val="Paragrafi"/>
        <w:rPr>
          <w:lang w:val="sq-AL"/>
        </w:rPr>
      </w:pPr>
      <w:r w:rsidRPr="005F4EAF">
        <w:rPr>
          <w:lang w:val="sq-AL"/>
        </w:rPr>
        <w:t>- çdo lëndë djegëse e lëngët, e prodhuar nga hidrokarburet, përveç gazoilit, siç përcaktohet në shkronjën “b”, e cila, për shkak të kufijve të saj të distilimit, përfshihet në kategorinë e lëndës djegëse të lëngët të rëndë, të destinuar për përdorim si lëndë djegëse dhe prej së cilës më pak se 65 % ndaj volumit (duke përfshirë humbjet) distilohet në 250</w:t>
      </w:r>
      <w:r w:rsidRPr="005F4EAF">
        <w:rPr>
          <w:vertAlign w:val="superscript"/>
          <w:lang w:val="sq-AL"/>
        </w:rPr>
        <w:t>0</w:t>
      </w:r>
      <w:r w:rsidRPr="005F4EAF">
        <w:rPr>
          <w:lang w:val="sq-AL"/>
        </w:rPr>
        <w:t xml:space="preserve">C, sipas metodës SSH EN ISO 3405, ekuivalente me metodën ASTM D 86. Në qoftë se distilimi nuk mund të përcaktohet sipas metodës SSH EN ISO 3405, ekuivalente me metodën ASTM D 86, produkti hidrokarbur do të kategorizohet si lëndë djegëse e lëngët e rëndë. </w:t>
      </w:r>
    </w:p>
    <w:p w:rsidR="009924C1" w:rsidRPr="005F4EAF" w:rsidRDefault="009924C1" w:rsidP="009924C1">
      <w:pPr>
        <w:pStyle w:val="Paragrafi"/>
        <w:rPr>
          <w:lang w:val="sq-AL"/>
        </w:rPr>
      </w:pPr>
      <w:r w:rsidRPr="005F4EAF">
        <w:rPr>
          <w:lang w:val="sq-AL"/>
        </w:rPr>
        <w:t>b) “Lëndë djegëse e lëngët e mesme e rëndë” (</w:t>
      </w:r>
      <w:r w:rsidRPr="005F4EAF">
        <w:rPr>
          <w:i/>
          <w:lang w:val="sq-AL"/>
        </w:rPr>
        <w:t>gas oil</w:t>
      </w:r>
      <w:r w:rsidRPr="005F4EAF">
        <w:rPr>
          <w:lang w:val="sq-AL"/>
        </w:rPr>
        <w:t>):</w:t>
      </w:r>
    </w:p>
    <w:p w:rsidR="009924C1" w:rsidRPr="005F4EAF" w:rsidRDefault="009924C1" w:rsidP="009924C1">
      <w:pPr>
        <w:pStyle w:val="Paragrafi"/>
        <w:rPr>
          <w:lang w:val="sq-AL"/>
        </w:rPr>
      </w:pPr>
      <w:r w:rsidRPr="005F4EAF">
        <w:rPr>
          <w:lang w:val="sq-AL"/>
        </w:rPr>
        <w:t>- çdo lëndë djegëse e lëngët, e prodhuar nga hidrokarburet, përjashtuar lëndët djegëse të lëngëta marinë, që përfshihen në kodet CN 2710 19 25, 2710 19 29, CN 2710 19 47; CN 2710 1948; CN 2710 20 17; CN 2710 20 19; ose</w:t>
      </w:r>
    </w:p>
    <w:p w:rsidR="009924C1" w:rsidRPr="005F4EAF" w:rsidRDefault="009924C1" w:rsidP="009924C1">
      <w:pPr>
        <w:pStyle w:val="Paragrafi"/>
        <w:rPr>
          <w:lang w:val="sq-AL"/>
        </w:rPr>
      </w:pPr>
      <w:r w:rsidRPr="005F4EAF">
        <w:rPr>
          <w:lang w:val="sq-AL"/>
        </w:rPr>
        <w:t>- çdo lëndë djegëse e lëngët, e prodhuar nga hidrokarburet, përjashtuar lëndët djegëse të lëngëta marinë, prej së cilës më pak se 65 % ndaj volumit (duke përfshirë humbjet) distilohet në 250</w:t>
      </w:r>
      <w:r w:rsidRPr="005F4EAF">
        <w:rPr>
          <w:vertAlign w:val="superscript"/>
          <w:lang w:val="sq-AL"/>
        </w:rPr>
        <w:t>0</w:t>
      </w:r>
      <w:r w:rsidRPr="005F4EAF">
        <w:rPr>
          <w:lang w:val="sq-AL"/>
        </w:rPr>
        <w:t>C prej së cilës më pak se 85 % ndaj volumit (duke përfshirë humbjet) distilohet në 350</w:t>
      </w:r>
      <w:r w:rsidRPr="005F4EAF">
        <w:rPr>
          <w:vertAlign w:val="superscript"/>
          <w:lang w:val="sq-AL"/>
        </w:rPr>
        <w:t>0</w:t>
      </w:r>
      <w:r w:rsidRPr="005F4EAF">
        <w:rPr>
          <w:lang w:val="sq-AL"/>
        </w:rPr>
        <w:t>C sipas metodës SSH EN ISO 3405, ekuivalente me metodën ASTM D 86.</w:t>
      </w:r>
    </w:p>
    <w:p w:rsidR="009924C1" w:rsidRPr="005F4EAF" w:rsidRDefault="009924C1" w:rsidP="009924C1">
      <w:pPr>
        <w:pStyle w:val="Paragrafi"/>
        <w:rPr>
          <w:lang w:val="sq-AL"/>
        </w:rPr>
      </w:pPr>
      <w:r w:rsidRPr="005F4EAF">
        <w:rPr>
          <w:lang w:val="sq-AL"/>
        </w:rPr>
        <w:t>c) “Lëndë djegëse të lëngëta marinë” (</w:t>
      </w:r>
      <w:r w:rsidRPr="005F4EAF">
        <w:rPr>
          <w:i/>
          <w:lang w:val="sq-AL"/>
        </w:rPr>
        <w:t>marine fuel</w:t>
      </w:r>
      <w:r w:rsidRPr="005F4EAF">
        <w:rPr>
          <w:lang w:val="sq-AL"/>
        </w:rPr>
        <w:t>):</w:t>
      </w:r>
    </w:p>
    <w:p w:rsidR="009924C1" w:rsidRPr="005F4EAF" w:rsidRDefault="009924C1" w:rsidP="009924C1">
      <w:pPr>
        <w:pStyle w:val="Paragrafi"/>
        <w:rPr>
          <w:lang w:val="sq-AL"/>
        </w:rPr>
      </w:pPr>
      <w:r w:rsidRPr="005F4EAF">
        <w:rPr>
          <w:lang w:val="sq-AL"/>
        </w:rPr>
        <w:t>- çdo lëndë djegëse e lëngët, e prodhuar nga hidrokarburet, të destinuara për përdorim ose përdorim në bordin e një anijeje, përfshirë edhe ato lëndë djegëse të lëngëta, të përcaktuara në ISO 8217.</w:t>
      </w:r>
    </w:p>
    <w:p w:rsidR="009924C1" w:rsidRPr="005F4EAF" w:rsidRDefault="009924C1" w:rsidP="009924C1">
      <w:pPr>
        <w:pStyle w:val="Paragrafi"/>
        <w:rPr>
          <w:lang w:val="sq-AL"/>
        </w:rPr>
      </w:pPr>
      <w:r w:rsidRPr="005F4EAF">
        <w:rPr>
          <w:lang w:val="sq-AL"/>
        </w:rPr>
        <w:t>ç) “Tregtim i lëndëve djegëse të lëngëta”, importimi, eksportimi dhe blerja e shitja e lëndëve djegëse të lëngëta për përdorim termik civil dhe industrial.</w:t>
      </w:r>
    </w:p>
    <w:p w:rsidR="009924C1" w:rsidRPr="005F4EAF" w:rsidRDefault="009924C1" w:rsidP="009924C1">
      <w:pPr>
        <w:pStyle w:val="Paragrafi"/>
        <w:rPr>
          <w:lang w:val="sq-AL"/>
        </w:rPr>
      </w:pPr>
      <w:r w:rsidRPr="005F4EAF">
        <w:rPr>
          <w:lang w:val="sq-AL"/>
        </w:rPr>
        <w:t>2. Në territorin e Republikës së Shqipërisë, duke filluar nga data 31 dhjetor 2012, do të lejohet si lëndë djegëse për përdorim termik, civil e industrial, vetëm tregtimi i lëndëve djegëse të lëngëta të mesme, të rënda (</w:t>
      </w:r>
      <w:r w:rsidRPr="005F4EAF">
        <w:rPr>
          <w:i/>
          <w:lang w:val="sq-AL"/>
        </w:rPr>
        <w:t>gas oil</w:t>
      </w:r>
      <w:r w:rsidRPr="005F4EAF">
        <w:rPr>
          <w:lang w:val="sq-AL"/>
        </w:rPr>
        <w:t>), që në nomenklaturën e mallrave, përshkruhet në kodet:</w:t>
      </w:r>
    </w:p>
    <w:p w:rsidR="009924C1" w:rsidRPr="005F4EAF" w:rsidRDefault="009924C1" w:rsidP="009924C1">
      <w:pPr>
        <w:pStyle w:val="Paragrafi"/>
        <w:rPr>
          <w:lang w:val="sq-AL"/>
        </w:rPr>
      </w:pPr>
      <w:r w:rsidRPr="005F4EAF">
        <w:rPr>
          <w:lang w:val="sq-AL"/>
        </w:rPr>
        <w:t xml:space="preserve">a) CN 2710 19 25 (vajguri); </w:t>
      </w:r>
    </w:p>
    <w:p w:rsidR="009924C1" w:rsidRPr="005F4EAF" w:rsidRDefault="009924C1" w:rsidP="009924C1">
      <w:pPr>
        <w:pStyle w:val="Paragrafi"/>
        <w:rPr>
          <w:lang w:val="sq-AL"/>
        </w:rPr>
      </w:pPr>
      <w:r w:rsidRPr="005F4EAF">
        <w:rPr>
          <w:lang w:val="sq-AL"/>
        </w:rPr>
        <w:t xml:space="preserve">b) CN 2710 19 29 (lëndë djegëse të lëngëta, fraksione të mesme); </w:t>
      </w:r>
    </w:p>
    <w:p w:rsidR="009924C1" w:rsidRPr="005F4EAF" w:rsidRDefault="009924C1" w:rsidP="009924C1">
      <w:pPr>
        <w:pStyle w:val="Paragrafi"/>
        <w:rPr>
          <w:lang w:val="sq-AL"/>
        </w:rPr>
      </w:pPr>
      <w:r w:rsidRPr="005F4EAF">
        <w:rPr>
          <w:lang w:val="sq-AL"/>
        </w:rPr>
        <w:t>c) CN 2710 19 46; CN 2710 20 15 (gazoil me një përmbajtje squfuri më tepër se 0.001% ndaj masës, por jo më tepër se 0.002% ndaj masës);</w:t>
      </w:r>
    </w:p>
    <w:p w:rsidR="009924C1" w:rsidRPr="005F4EAF" w:rsidRDefault="009924C1" w:rsidP="009924C1">
      <w:pPr>
        <w:pStyle w:val="Paragrafi"/>
        <w:rPr>
          <w:lang w:val="sq-AL"/>
        </w:rPr>
      </w:pPr>
      <w:r w:rsidRPr="005F4EAF">
        <w:rPr>
          <w:lang w:val="sq-AL"/>
        </w:rPr>
        <w:t xml:space="preserve">ç) CN 2710 19 47; CN 2710 20 17 (gazoil me një përmbajtje squfuri më tepër se 0.002% ndaj masës, por jo më tepër se 0.1% ndaj masës); ose </w:t>
      </w:r>
    </w:p>
    <w:p w:rsidR="009924C1" w:rsidRPr="005F4EAF" w:rsidRDefault="009924C1" w:rsidP="009924C1">
      <w:pPr>
        <w:pStyle w:val="Paragrafi"/>
        <w:rPr>
          <w:lang w:val="sq-AL"/>
        </w:rPr>
      </w:pPr>
      <w:r w:rsidRPr="005F4EAF">
        <w:rPr>
          <w:lang w:val="sq-AL"/>
        </w:rPr>
        <w:t xml:space="preserve">d) CN 2710 19 48; CN 2710 20 19 (gazoil me përmbajtje squfuri më tepër se 0,1% ndaj masës, </w:t>
      </w:r>
      <w:r w:rsidRPr="005F4EAF">
        <w:rPr>
          <w:lang w:val="sq-AL"/>
        </w:rPr>
        <w:lastRenderedPageBreak/>
        <w:t>por jo më tepër se 1%) ndaj masës, që plotëson kërkesat e standardit shqiptar SSH UNI 6579 ose të standardeve të tjera, të barasvlershme me të, siç parashikohet në aneksin 1, që i bashkëlidhet këtij vendimi.</w:t>
      </w:r>
    </w:p>
    <w:p w:rsidR="009924C1" w:rsidRPr="005F4EAF" w:rsidRDefault="009924C1" w:rsidP="009924C1">
      <w:pPr>
        <w:pStyle w:val="Paragrafi"/>
        <w:rPr>
          <w:lang w:val="sq-AL"/>
        </w:rPr>
      </w:pPr>
      <w:r w:rsidRPr="005F4EAF">
        <w:rPr>
          <w:lang w:val="sq-AL"/>
        </w:rPr>
        <w:t>Lëndët djegëse të lëngëta të mesme të rënda (</w:t>
      </w:r>
      <w:r w:rsidRPr="005F4EAF">
        <w:rPr>
          <w:i/>
          <w:lang w:val="sq-AL"/>
        </w:rPr>
        <w:t>gas oil</w:t>
      </w:r>
      <w:r w:rsidRPr="005F4EAF">
        <w:rPr>
          <w:lang w:val="sq-AL"/>
        </w:rPr>
        <w:t xml:space="preserve">), të përcaktuara në shkronjat “a”, “b” dhe “c” të kësaj pike, mund të përdoren për makineritë lëvizëse jorrugore dhe për traktorët e makineritë e tjera bujqësore, me kusht që përmbajtja e squfurit të jetë më e vogël se 0,1%. </w:t>
      </w:r>
    </w:p>
    <w:p w:rsidR="009924C1" w:rsidRPr="005F4EAF" w:rsidRDefault="009924C1" w:rsidP="009924C1">
      <w:pPr>
        <w:pStyle w:val="Paragrafi"/>
        <w:rPr>
          <w:lang w:val="sq-AL"/>
        </w:rPr>
      </w:pPr>
      <w:r w:rsidRPr="005F4EAF">
        <w:rPr>
          <w:lang w:val="sq-AL"/>
        </w:rPr>
        <w:t>3. a) Në territorin e Republikës së Shqipërisë do të lejohet, për përdorim termik civil e industrial, vetëm tregtimi i lëndës djegëse të lëngët të rëndë (</w:t>
      </w:r>
      <w:r w:rsidRPr="005F4EAF">
        <w:rPr>
          <w:i/>
          <w:lang w:val="sq-AL"/>
        </w:rPr>
        <w:t>heavy fuel oil</w:t>
      </w:r>
      <w:r w:rsidRPr="005F4EAF">
        <w:rPr>
          <w:lang w:val="sq-AL"/>
        </w:rPr>
        <w:t>), që në nomenklaturën e mallrave, përshkruhet në kodet CN 2710 19 51 deri CN 2710 19 55; CN 2710 19 62 deri CN 2710 19 68; CN 2710 20 31 deri CN 2710 20 39, që plotëson kërkesat e standardit shqiptar SSH UNI 6579 ose të standardeve të tjera të barasvlershme me të, me përjashtim të kushtit për përmbajtjen e squfurit, siç parashikohet në aneksin 2, që i bashkëlidhet këtij vendimi.</w:t>
      </w:r>
    </w:p>
    <w:p w:rsidR="009924C1" w:rsidRPr="005F4EAF" w:rsidRDefault="009924C1" w:rsidP="009924C1">
      <w:pPr>
        <w:pStyle w:val="Paragrafi"/>
        <w:rPr>
          <w:lang w:val="sq-AL"/>
        </w:rPr>
      </w:pPr>
      <w:r w:rsidRPr="005F4EAF">
        <w:rPr>
          <w:lang w:val="sq-AL"/>
        </w:rPr>
        <w:t>b) Përmbajtja e squfurit, në lëndët djegëse të lëngëta të rënda:</w:t>
      </w:r>
    </w:p>
    <w:p w:rsidR="009924C1" w:rsidRPr="005F4EAF" w:rsidRDefault="009924C1" w:rsidP="009924C1">
      <w:pPr>
        <w:pStyle w:val="Paragrafi"/>
        <w:rPr>
          <w:lang w:val="sq-AL"/>
        </w:rPr>
      </w:pPr>
      <w:r w:rsidRPr="005F4EAF">
        <w:rPr>
          <w:lang w:val="sq-AL"/>
        </w:rPr>
        <w:t>b.1) pas datës 31 dhjetor 2013 nuk duhet të të kalojë 3% ndaj masës;</w:t>
      </w:r>
    </w:p>
    <w:p w:rsidR="009924C1" w:rsidRPr="005F4EAF" w:rsidRDefault="009924C1" w:rsidP="009924C1">
      <w:pPr>
        <w:pStyle w:val="Paragrafi"/>
        <w:rPr>
          <w:lang w:val="sq-AL"/>
        </w:rPr>
      </w:pPr>
      <w:r w:rsidRPr="005F4EAF">
        <w:rPr>
          <w:lang w:val="sq-AL"/>
        </w:rPr>
        <w:t>b.2) pas datës 31 dhjetor 2014 nuk duhet të kalojë 1% ndaj masës.</w:t>
      </w:r>
    </w:p>
    <w:p w:rsidR="009924C1" w:rsidRPr="005F4EAF" w:rsidRDefault="009924C1" w:rsidP="009924C1">
      <w:pPr>
        <w:pStyle w:val="Paragrafi"/>
        <w:rPr>
          <w:lang w:val="sq-AL"/>
        </w:rPr>
      </w:pPr>
      <w:r w:rsidRPr="005F4EAF">
        <w:rPr>
          <w:lang w:val="sq-AL"/>
        </w:rPr>
        <w:t>Kërkesat që u referohen paragrafëve b.1 dhe b.2 të shkronjës “b”, nuk zbatohen ndaj subjekteve që i kontrollojnë shkarkimet në ajër:</w:t>
      </w:r>
    </w:p>
    <w:p w:rsidR="009924C1" w:rsidRPr="005F4EAF" w:rsidRDefault="009924C1" w:rsidP="009924C1">
      <w:pPr>
        <w:pStyle w:val="Paragrafi"/>
        <w:rPr>
          <w:lang w:val="sq-AL"/>
        </w:rPr>
      </w:pPr>
      <w:r w:rsidRPr="005F4EAF">
        <w:rPr>
          <w:lang w:val="sq-AL"/>
        </w:rPr>
        <w:t>i) Impiantet e reja me djegie, që përdorin lëndë djegëse të lëngët, të cilat respektojnë normat e shkarkimeve të SO</w:t>
      </w:r>
      <w:r w:rsidRPr="005F4EAF">
        <w:rPr>
          <w:vertAlign w:val="subscript"/>
          <w:lang w:val="sq-AL"/>
        </w:rPr>
        <w:t>2</w:t>
      </w:r>
      <w:r w:rsidRPr="005F4EAF">
        <w:rPr>
          <w:lang w:val="sq-AL"/>
        </w:rPr>
        <w:t xml:space="preserve"> sipas shtojcës 4 të ligjit nr. 10 448, datë 14.7.2011 “Për lejet mjedisore”.</w:t>
      </w:r>
    </w:p>
    <w:p w:rsidR="009924C1" w:rsidRPr="005F4EAF" w:rsidRDefault="009924C1" w:rsidP="009924C1">
      <w:pPr>
        <w:pStyle w:val="Paragrafi"/>
        <w:rPr>
          <w:lang w:val="sq-AL"/>
        </w:rPr>
      </w:pPr>
      <w:r w:rsidRPr="005F4EAF">
        <w:rPr>
          <w:lang w:val="sq-AL"/>
        </w:rPr>
        <w:t>ii) Impiantet ekzistuese me djegie, që përdorin lëndë djegëse të lëngët, ku shkarkimet e SO</w:t>
      </w:r>
      <w:r w:rsidRPr="005F4EAF">
        <w:rPr>
          <w:vertAlign w:val="subscript"/>
          <w:lang w:val="sq-AL"/>
        </w:rPr>
        <w:t>2</w:t>
      </w:r>
      <w:r w:rsidRPr="005F4EAF">
        <w:rPr>
          <w:lang w:val="sq-AL"/>
        </w:rPr>
        <w:t xml:space="preserve"> janë më të vogla ose të barabarta me 1700 mg/Nm</w:t>
      </w:r>
      <w:r w:rsidRPr="005F4EAF">
        <w:rPr>
          <w:vertAlign w:val="superscript"/>
          <w:lang w:val="sq-AL"/>
        </w:rPr>
        <w:t>3</w:t>
      </w:r>
      <w:r w:rsidRPr="005F4EAF">
        <w:rPr>
          <w:lang w:val="sq-AL"/>
        </w:rPr>
        <w:t xml:space="preserve">, me një përmbajtje vëllimore oksigjeni në gazet e shkarkuara 3%, në kushte të thata. </w:t>
      </w:r>
    </w:p>
    <w:p w:rsidR="009924C1" w:rsidRPr="005F4EAF" w:rsidRDefault="009924C1" w:rsidP="009924C1">
      <w:pPr>
        <w:pStyle w:val="Paragrafi"/>
        <w:rPr>
          <w:lang w:val="sq-AL"/>
        </w:rPr>
      </w:pPr>
      <w:r w:rsidRPr="005F4EAF">
        <w:rPr>
          <w:lang w:val="sq-AL"/>
        </w:rPr>
        <w:t>iii) Impiantet me djegie, që përdorin lëndë djegëse të lëngët, të cilat nuk janë sipas përcaktimeve të nënndarjeve, as “i” dhe as “ii”, por që nuk kalojnë shkarkimet e SO</w:t>
      </w:r>
      <w:r w:rsidRPr="005F4EAF">
        <w:rPr>
          <w:vertAlign w:val="subscript"/>
          <w:lang w:val="sq-AL"/>
        </w:rPr>
        <w:t>2</w:t>
      </w:r>
      <w:r w:rsidRPr="005F4EAF">
        <w:rPr>
          <w:lang w:val="sq-AL"/>
        </w:rPr>
        <w:t xml:space="preserve"> mbi 1700 mg/Nm</w:t>
      </w:r>
      <w:r w:rsidRPr="005F4EAF">
        <w:rPr>
          <w:vertAlign w:val="superscript"/>
          <w:lang w:val="sq-AL"/>
        </w:rPr>
        <w:t>3</w:t>
      </w:r>
      <w:r w:rsidRPr="005F4EAF">
        <w:rPr>
          <w:lang w:val="sq-AL"/>
        </w:rPr>
        <w:t xml:space="preserve">, me një përmbajtje vëllimore oksigjeni në gazet e shkarkuara 3%, në kushte të thata. </w:t>
      </w:r>
    </w:p>
    <w:p w:rsidR="009924C1" w:rsidRPr="005F4EAF" w:rsidRDefault="009924C1" w:rsidP="009924C1">
      <w:pPr>
        <w:pStyle w:val="Paragrafi"/>
        <w:rPr>
          <w:lang w:val="sq-AL"/>
        </w:rPr>
      </w:pPr>
      <w:r w:rsidRPr="005F4EAF">
        <w:rPr>
          <w:lang w:val="sq-AL"/>
        </w:rPr>
        <w:t>iv) Impiantet me djegie, që përdorin lëndë djegëse të lëngët në rafineri, ku vlera mesatare mujore e shkarkimeve të SO</w:t>
      </w:r>
      <w:r w:rsidRPr="005F4EAF">
        <w:rPr>
          <w:vertAlign w:val="subscript"/>
          <w:lang w:val="sq-AL"/>
        </w:rPr>
        <w:t>2</w:t>
      </w:r>
      <w:r w:rsidRPr="005F4EAF">
        <w:rPr>
          <w:lang w:val="sq-AL"/>
        </w:rPr>
        <w:t xml:space="preserve"> nuk kalon 1700 mg/Nm</w:t>
      </w:r>
      <w:r w:rsidRPr="005F4EAF">
        <w:rPr>
          <w:vertAlign w:val="superscript"/>
          <w:lang w:val="sq-AL"/>
        </w:rPr>
        <w:t>3</w:t>
      </w:r>
      <w:r w:rsidRPr="005F4EAF">
        <w:rPr>
          <w:lang w:val="sq-AL"/>
        </w:rPr>
        <w:t>. Kjo nuk zbatohet në rast se impiantet, që përdorin lëndë djegëse në rafineri, përfshihen në përcaktimet e nënndarjeve “i” ose “ii”.</w:t>
      </w:r>
    </w:p>
    <w:p w:rsidR="009924C1" w:rsidRPr="005F4EAF" w:rsidRDefault="009924C1" w:rsidP="009924C1">
      <w:pPr>
        <w:pStyle w:val="Paragrafi"/>
        <w:rPr>
          <w:lang w:val="sq-AL"/>
        </w:rPr>
      </w:pPr>
      <w:r w:rsidRPr="005F4EAF">
        <w:rPr>
          <w:lang w:val="sq-AL"/>
        </w:rPr>
        <w:t>v) Të gjitha impiantet me djegie që rregullohen sipas nënndarjeve “i”-“iv” më sipër të shkronjës “b” të pikës 3, duhet të operojnë në bazë të kushteve të përcaktuara në lejen e integruar mjedisore, të lëshuar nga autoriteti përkatës.</w:t>
      </w:r>
    </w:p>
    <w:p w:rsidR="009924C1" w:rsidRPr="005F4EAF" w:rsidRDefault="009924C1" w:rsidP="009924C1">
      <w:pPr>
        <w:pStyle w:val="Paragrafi"/>
        <w:rPr>
          <w:lang w:val="sq-AL"/>
        </w:rPr>
      </w:pPr>
      <w:r w:rsidRPr="005F4EAF">
        <w:rPr>
          <w:lang w:val="sq-AL"/>
        </w:rPr>
        <w:t>4. Në territorin e Republikës së Shqipërisë, duke filluar nga data 31 dhjetor 2012, do të lejohet, për qëllim përdorimi në mjete të transportit ujor (detar, lumor ose liqenor), vetëm tregtimi i lëndëve djegëse të lëngëta marinë (</w:t>
      </w:r>
      <w:r w:rsidRPr="005F4EAF">
        <w:rPr>
          <w:i/>
          <w:lang w:val="sq-AL"/>
        </w:rPr>
        <w:t>marine fuel</w:t>
      </w:r>
      <w:r w:rsidRPr="005F4EAF">
        <w:rPr>
          <w:lang w:val="sq-AL"/>
        </w:rPr>
        <w:t>), që plotësojnë kërkesat e standardit shqiptar SSH ISO 8217 ose të standardeve të tjera, të barasvlershme me të, me përjashtim të kushtit për përmbajtjen e squfurit, siç parashikohet në aneksin 3, që i bashkëlidhet këtij vendimi.</w:t>
      </w:r>
    </w:p>
    <w:p w:rsidR="009924C1" w:rsidRDefault="009924C1" w:rsidP="009924C1">
      <w:pPr>
        <w:pStyle w:val="Paragrafi"/>
        <w:rPr>
          <w:lang w:val="sq-AL"/>
        </w:rPr>
      </w:pPr>
      <w:r w:rsidRPr="005F4EAF">
        <w:rPr>
          <w:lang w:val="sq-AL"/>
        </w:rPr>
        <w:t>5. Nëse, si rezultat i një ndryshimi të papritur, në furnizimin e vendit me naftë të papërpunuar, produkte të naftës dhe hidrokarbure të tjera (ndërprerje e tregut), bëhet e vështirë, për të aplikuar kufizime për përmbajtjen maksimale të squfurit referuar në pikat 2, 3 dhe 4 të këtij vendimi, ministria përgjegjëse për hidrokarburet, pas marrjes së miratimit prej Këshillit të Ministrave, të shprehur nëpërmjet vendimit përkatës, për këtë situatë do të informojë Sekretariatin e Komunitetit të Energjisë në Vjenë, për procedim të mëtejshëm.</w:t>
      </w:r>
    </w:p>
    <w:p w:rsidR="009924C1" w:rsidRDefault="009924C1" w:rsidP="009924C1">
      <w:pPr>
        <w:pStyle w:val="Paragrafi"/>
        <w:rPr>
          <w:lang w:val="sq-AL"/>
        </w:rPr>
      </w:pPr>
    </w:p>
    <w:p w:rsidR="009924C1" w:rsidRPr="005F4EAF" w:rsidRDefault="009924C1" w:rsidP="009924C1">
      <w:pPr>
        <w:pStyle w:val="Paragrafi"/>
        <w:rPr>
          <w:lang w:val="sq-AL"/>
        </w:rPr>
      </w:pPr>
      <w:r w:rsidRPr="005F4EAF">
        <w:rPr>
          <w:lang w:val="sq-AL"/>
        </w:rPr>
        <w:t xml:space="preserve"> </w:t>
      </w:r>
    </w:p>
    <w:p w:rsidR="009924C1" w:rsidRPr="005F4EAF" w:rsidRDefault="009924C1" w:rsidP="009924C1">
      <w:pPr>
        <w:pStyle w:val="Paragrafi"/>
        <w:rPr>
          <w:lang w:val="sq-AL"/>
        </w:rPr>
      </w:pPr>
      <w:r w:rsidRPr="005F4EAF">
        <w:rPr>
          <w:lang w:val="sq-AL"/>
        </w:rPr>
        <w:t xml:space="preserve">Trajtimi i këtyre bëhet në bashkërendim me institucionet e Komunitetit të Energjisë, në përputhje dhe respektim të të drejtave dhe detyrimeve, që burojnë nga nenet 47 dhe 67 të traktatit për krijimin e Komunitetit të Energjisë. </w:t>
      </w:r>
    </w:p>
    <w:p w:rsidR="009924C1" w:rsidRPr="005F4EAF" w:rsidRDefault="009924C1" w:rsidP="009924C1">
      <w:pPr>
        <w:pStyle w:val="Paragrafi"/>
        <w:rPr>
          <w:lang w:val="sq-AL"/>
        </w:rPr>
      </w:pPr>
      <w:r w:rsidRPr="005F4EAF">
        <w:rPr>
          <w:lang w:val="sq-AL"/>
        </w:rPr>
        <w:t xml:space="preserve">6. Institucionet përgjegjëse për kontrollin e standardeve të cilësisë në tregun e naftës dhe të nënprodukteve të saj të marrin të gjitha masat e nevojshme për të ushtruar kontrolle, lidhur me respektimin e përmbajtjes së squfurit në lëndët djegëse të lëngshme për përdorim termik, civil e industrial, si dhe për përdorim në mjetet e transportit ujor (detar, lumor dhe liqenor), për të qenë në përputhje me </w:t>
      </w:r>
      <w:r w:rsidRPr="005F4EAF">
        <w:rPr>
          <w:lang w:val="sq-AL"/>
        </w:rPr>
        <w:lastRenderedPageBreak/>
        <w:t>përcaktimet në pikat 2, 3 dhe 4 të këtij vendimi.</w:t>
      </w:r>
    </w:p>
    <w:p w:rsidR="009924C1" w:rsidRPr="005F4EAF" w:rsidRDefault="009924C1" w:rsidP="009924C1">
      <w:pPr>
        <w:pStyle w:val="Paragrafi"/>
        <w:rPr>
          <w:lang w:val="sq-AL"/>
        </w:rPr>
      </w:pPr>
      <w:r w:rsidRPr="005F4EAF">
        <w:rPr>
          <w:lang w:val="sq-AL"/>
        </w:rPr>
        <w:t>Marrja e mostrave, kryerja e analizave, si dhe testimi i çdo parametri të lëndëve djegëse të lëngshme, të përmendura në pikat 2, 3 dhe 4 të këtij vendimi, të bëhen sipas metodave të analizave të përcaktuara në standardet përkatëse në fuqi nga ana e Drejtorisë së Përgjithshme të Standardeve.</w:t>
      </w:r>
    </w:p>
    <w:p w:rsidR="009924C1" w:rsidRPr="005F4EAF" w:rsidRDefault="009924C1" w:rsidP="009924C1">
      <w:pPr>
        <w:pStyle w:val="Paragrafi"/>
        <w:rPr>
          <w:lang w:val="sq-AL"/>
        </w:rPr>
      </w:pPr>
      <w:r w:rsidRPr="005F4EAF">
        <w:rPr>
          <w:lang w:val="sq-AL"/>
        </w:rPr>
        <w:t xml:space="preserve">7. Nëse pas datës 1 tetor 2012 për pikat 2 dhe 4 të këtij vendimi, si dhe respektivisht pas datës 1 janar 2014, për pikën 3.b.1 dhe pas datës 1 janar 2015 për pikën 3.b.2 të këtij vendimi, evidentohen subjekte, që tregtojnë lëndë djegëse të lëngëta, me cilësi, që nuk respektojnë kërkesat e këtij vendimi: </w:t>
      </w:r>
    </w:p>
    <w:p w:rsidR="009924C1" w:rsidRPr="005F4EAF" w:rsidRDefault="009924C1" w:rsidP="009924C1">
      <w:pPr>
        <w:pStyle w:val="Paragrafi"/>
        <w:rPr>
          <w:lang w:val="sq-AL"/>
        </w:rPr>
      </w:pPr>
      <w:r w:rsidRPr="005F4EAF">
        <w:rPr>
          <w:lang w:val="sq-AL"/>
        </w:rPr>
        <w:t>a) për treguesit e tjerë tekniko-cilësorë, që janë brenda vlerave të lejuara sipas standardeve në fuqi, zbatohen sanksionet e parashikuara në nenin 25 të ligjit nr. 8450, datë 24.2.1999 “Për përpunimin, transportimin dhe tregtimin e naftës, të gazit dhe nënprodukteve të tyre”, të ndryshuar;</w:t>
      </w:r>
    </w:p>
    <w:p w:rsidR="009924C1" w:rsidRPr="005F4EAF" w:rsidRDefault="009924C1" w:rsidP="009924C1">
      <w:pPr>
        <w:pStyle w:val="Paragrafi"/>
        <w:rPr>
          <w:lang w:val="sq-AL"/>
        </w:rPr>
      </w:pPr>
      <w:r w:rsidRPr="005F4EAF">
        <w:rPr>
          <w:lang w:val="sq-AL"/>
        </w:rPr>
        <w:t>b) për treguesit e tjerë tekniko-cilësorë, që ndryshojnë dhe nuk janë brenda vlerave të lejuara sipas standardeve në fuqi, lëndët djegëse të lëngëta sekuestrohen, në zbatim të nenit 11 të ligjit nr. 10 279, datë 20.5.2010 “Për kundërvajtjet administrative”.</w:t>
      </w:r>
    </w:p>
    <w:p w:rsidR="009924C1" w:rsidRPr="005F4EAF" w:rsidRDefault="009924C1" w:rsidP="009924C1">
      <w:pPr>
        <w:pStyle w:val="Paragrafi"/>
        <w:rPr>
          <w:lang w:val="sq-AL"/>
        </w:rPr>
      </w:pPr>
      <w:r w:rsidRPr="005F4EAF">
        <w:rPr>
          <w:lang w:val="sq-AL"/>
        </w:rPr>
        <w:t xml:space="preserve">Sekuestrimi i lëndëve djegëse të lëngshme dhe përcaktimi i destinacionit të produkteve të sekuestruara bëhen nga Inspektorati Qendror Teknik, në përputhje me procedurat e përcaktuara në udhëzimin e përbashkët të Ministrit të Ekonomisë, Tregtisë dhe Energjetikës dhe të Ministrit të Financave, brenda 30 (tridhjetë) ditëve nga data e hyrjes në fuqi të këtij vendimi. </w:t>
      </w:r>
    </w:p>
    <w:p w:rsidR="009924C1" w:rsidRPr="005F4EAF" w:rsidRDefault="009924C1" w:rsidP="009924C1">
      <w:pPr>
        <w:pStyle w:val="Paragrafi"/>
        <w:rPr>
          <w:lang w:val="sq-AL"/>
        </w:rPr>
      </w:pPr>
      <w:r w:rsidRPr="005F4EAF">
        <w:rPr>
          <w:lang w:val="sq-AL"/>
        </w:rPr>
        <w:t>8. Ngarkohen Ministri i Ekonomisë, Tregtisë dhe Energjetikës, Ministri i Mjedisit, Pyjeve dhe Administrimit të Ujërave dhe Ministri i Financave, që brenda 30 (tridhjetë) ditëve nga hyrja në fuqi e këtij vendimi, të përgatitin dhe të miratojnë udhëzimin e përbashkët për mbledhjen dhe ruajtjen e të dhënave, për cilësinë e lëndëve djegëse të lëngëta të mesme të rënda (</w:t>
      </w:r>
      <w:r w:rsidRPr="005F4EAF">
        <w:rPr>
          <w:i/>
          <w:lang w:val="sq-AL"/>
        </w:rPr>
        <w:t>gas oil</w:t>
      </w:r>
      <w:r w:rsidRPr="005F4EAF">
        <w:rPr>
          <w:lang w:val="sq-AL"/>
        </w:rPr>
        <w:t>), lëndëve djegëse të lëngëta të rënda (</w:t>
      </w:r>
      <w:r w:rsidRPr="005F4EAF">
        <w:rPr>
          <w:i/>
          <w:lang w:val="sq-AL"/>
        </w:rPr>
        <w:t>heavy fuel oil</w:t>
      </w:r>
      <w:r w:rsidRPr="005F4EAF">
        <w:rPr>
          <w:lang w:val="sq-AL"/>
        </w:rPr>
        <w:t>) dhe lëndëve djegëse të lëngëta marinë (</w:t>
      </w:r>
      <w:r w:rsidRPr="005F4EAF">
        <w:rPr>
          <w:i/>
          <w:lang w:val="sq-AL"/>
        </w:rPr>
        <w:t>marine fuel</w:t>
      </w:r>
      <w:r w:rsidRPr="005F4EAF">
        <w:rPr>
          <w:lang w:val="sq-AL"/>
        </w:rPr>
        <w:t>).</w:t>
      </w:r>
    </w:p>
    <w:p w:rsidR="009924C1" w:rsidRPr="005F4EAF" w:rsidRDefault="009924C1" w:rsidP="009924C1">
      <w:pPr>
        <w:pStyle w:val="Paragrafi"/>
        <w:rPr>
          <w:lang w:val="sq-AL"/>
        </w:rPr>
      </w:pPr>
      <w:r w:rsidRPr="005F4EAF">
        <w:rPr>
          <w:lang w:val="sq-AL"/>
        </w:rPr>
        <w:t>9. Ngarkohen Ministria e Ekonomisë, Tregtisë dhe Energjetikës, Ministria e Mjedisit, Pyjeve dhe Administrimit të Ujërave dhe Ministria e Financave të nxjerrin udhëzimet përkatëse, në zbatim të përcaktimeve të pikave 7 shkronja “b”, dhe 8 të këtij vendimi.</w:t>
      </w:r>
    </w:p>
    <w:p w:rsidR="009924C1" w:rsidRPr="005F4EAF" w:rsidRDefault="009924C1" w:rsidP="009924C1">
      <w:pPr>
        <w:pStyle w:val="Paragrafi"/>
        <w:rPr>
          <w:lang w:val="sq-AL"/>
        </w:rPr>
      </w:pPr>
      <w:r w:rsidRPr="005F4EAF">
        <w:rPr>
          <w:lang w:val="sq-AL"/>
        </w:rPr>
        <w:t>10. Ngarkohen Ministria e Ekonomisë, Tregtisë dhe Energjetikës, Ministria e Mjedisit, Pyjeve dhe Administrimit të Ujërave dhe Ministria e Financave për ndjekjen e zbatimit të këtij vendimi.</w:t>
      </w:r>
    </w:p>
    <w:p w:rsidR="009924C1" w:rsidRPr="005F4EAF" w:rsidRDefault="009924C1" w:rsidP="009924C1">
      <w:pPr>
        <w:pStyle w:val="Paragrafi"/>
        <w:rPr>
          <w:lang w:val="sq-AL"/>
        </w:rPr>
      </w:pPr>
      <w:r w:rsidRPr="005F4EAF">
        <w:rPr>
          <w:lang w:val="sq-AL"/>
        </w:rPr>
        <w:t>Ky vendim hyn në fuqi pas botimit në Fletoren Zyrtare.</w:t>
      </w:r>
    </w:p>
    <w:p w:rsidR="009924C1" w:rsidRPr="005F4EAF" w:rsidRDefault="009924C1" w:rsidP="009924C1">
      <w:pPr>
        <w:pStyle w:val="Paragrafi"/>
        <w:rPr>
          <w:lang w:val="sq-AL"/>
        </w:rPr>
      </w:pPr>
    </w:p>
    <w:p w:rsidR="009924C1" w:rsidRPr="005F4EAF" w:rsidRDefault="009924C1" w:rsidP="009924C1">
      <w:pPr>
        <w:pStyle w:val="Autoriteti"/>
        <w:rPr>
          <w:lang w:val="sq-AL"/>
        </w:rPr>
      </w:pPr>
      <w:r w:rsidRPr="005F4EAF">
        <w:rPr>
          <w:lang w:val="sq-AL"/>
        </w:rPr>
        <w:t>Kryeministri</w:t>
      </w:r>
    </w:p>
    <w:p w:rsidR="009924C1" w:rsidRPr="005F4EAF" w:rsidRDefault="009924C1" w:rsidP="009924C1">
      <w:pPr>
        <w:pStyle w:val="AutoritetiEmer"/>
        <w:rPr>
          <w:lang w:val="sq-AL"/>
        </w:rPr>
      </w:pPr>
      <w:r w:rsidRPr="005F4EAF">
        <w:rPr>
          <w:lang w:val="sq-AL"/>
        </w:rPr>
        <w:t>Sali Berisha</w:t>
      </w:r>
    </w:p>
    <w:sectPr w:rsidR="009924C1" w:rsidRPr="005F4EAF" w:rsidSect="004B62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56D" w:rsidRDefault="009D756D" w:rsidP="009924C1">
      <w:pPr>
        <w:spacing w:after="0" w:line="240" w:lineRule="auto"/>
      </w:pPr>
      <w:r>
        <w:separator/>
      </w:r>
    </w:p>
  </w:endnote>
  <w:endnote w:type="continuationSeparator" w:id="0">
    <w:p w:rsidR="009D756D" w:rsidRDefault="009D756D" w:rsidP="00992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56D" w:rsidRDefault="009D756D" w:rsidP="009924C1">
      <w:pPr>
        <w:spacing w:after="0" w:line="240" w:lineRule="auto"/>
      </w:pPr>
      <w:r>
        <w:separator/>
      </w:r>
    </w:p>
  </w:footnote>
  <w:footnote w:type="continuationSeparator" w:id="0">
    <w:p w:rsidR="009D756D" w:rsidRDefault="009D756D" w:rsidP="009924C1">
      <w:pPr>
        <w:spacing w:after="0" w:line="240" w:lineRule="auto"/>
      </w:pPr>
      <w:r>
        <w:continuationSeparator/>
      </w:r>
    </w:p>
  </w:footnote>
  <w:footnote w:id="1">
    <w:p w:rsidR="009924C1" w:rsidRPr="00114D5B" w:rsidRDefault="009924C1" w:rsidP="009924C1">
      <w:pPr>
        <w:pStyle w:val="FootnoteText"/>
        <w:jc w:val="both"/>
        <w:rPr>
          <w:rFonts w:ascii="CG Times" w:hAnsi="CG Times"/>
          <w:sz w:val="18"/>
          <w:szCs w:val="18"/>
        </w:rPr>
      </w:pPr>
      <w:r w:rsidRPr="00114D5B">
        <w:rPr>
          <w:rStyle w:val="FootnoteReference"/>
          <w:rFonts w:ascii="CG Times" w:hAnsi="CG Times"/>
          <w:sz w:val="18"/>
          <w:szCs w:val="18"/>
        </w:rPr>
        <w:footnoteRef/>
      </w:r>
      <w:r w:rsidRPr="00114D5B">
        <w:rPr>
          <w:rFonts w:ascii="CG Times" w:hAnsi="CG Times"/>
          <w:sz w:val="18"/>
          <w:szCs w:val="18"/>
        </w:rPr>
        <w:t xml:space="preserve"> Ky vendim ka përafruar direktivën 1999/32/EC të Këshillit të datës 26 prill 1999 në lidhje me “Një reduktim në përmbajtjen e squfurit të disa lëndëve të djegshme dhe të lëngshme” dhe </w:t>
      </w:r>
      <w:r>
        <w:rPr>
          <w:rFonts w:ascii="CG Times" w:hAnsi="CG Times"/>
          <w:sz w:val="18"/>
          <w:szCs w:val="18"/>
        </w:rPr>
        <w:t>d</w:t>
      </w:r>
      <w:r w:rsidRPr="00114D5B">
        <w:rPr>
          <w:rFonts w:ascii="CG Times" w:hAnsi="CG Times"/>
          <w:sz w:val="18"/>
          <w:szCs w:val="18"/>
        </w:rPr>
        <w:t>irektivën amenduese 93/12/EEC (ScF)</w:t>
      </w:r>
      <w:r>
        <w:rPr>
          <w:rFonts w:ascii="CG Times" w:hAnsi="CG Times"/>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924C1"/>
    <w:rsid w:val="004B6294"/>
    <w:rsid w:val="005405D5"/>
    <w:rsid w:val="009924C1"/>
    <w:rsid w:val="009D7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D1424F8-461C-4945-9359-AFD19938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294"/>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924C1"/>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9924C1"/>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9924C1"/>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9924C1"/>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9924C1"/>
    <w:rPr>
      <w:rFonts w:ascii="CG Times" w:eastAsia="MS Mincho" w:hAnsi="CG Times" w:cs="CG Times"/>
      <w:b/>
      <w:bCs/>
      <w:sz w:val="22"/>
      <w:szCs w:val="22"/>
      <w:lang w:val="en-GB" w:eastAsia="en-US" w:bidi="ar-SA"/>
    </w:rPr>
  </w:style>
  <w:style w:type="paragraph" w:customStyle="1" w:styleId="Paragrafi">
    <w:name w:val="Paragrafi"/>
    <w:link w:val="ParagrafiChar"/>
    <w:rsid w:val="009924C1"/>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9924C1"/>
    <w:rPr>
      <w:rFonts w:ascii="CG Times" w:eastAsia="MS Mincho" w:hAnsi="CG Times" w:cs="CG Times"/>
      <w:sz w:val="22"/>
      <w:szCs w:val="22"/>
      <w:lang w:val="en-US" w:eastAsia="en-US" w:bidi="ar-SA"/>
    </w:rPr>
  </w:style>
  <w:style w:type="paragraph" w:customStyle="1" w:styleId="Titulli">
    <w:name w:val="Titulli"/>
    <w:next w:val="Normal"/>
    <w:link w:val="TitulliChar"/>
    <w:rsid w:val="009924C1"/>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9924C1"/>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9924C1"/>
    <w:rPr>
      <w:rFonts w:ascii="CG Times" w:eastAsia="MS Mincho" w:hAnsi="CG Times" w:cs="CG Times"/>
      <w:caps/>
      <w:sz w:val="22"/>
      <w:szCs w:val="22"/>
      <w:lang w:val="en-GB" w:eastAsia="en-US" w:bidi="ar-SA"/>
    </w:rPr>
  </w:style>
  <w:style w:type="paragraph" w:styleId="FootnoteText">
    <w:name w:val="footnote text"/>
    <w:basedOn w:val="Normal"/>
    <w:link w:val="FootnoteTextChar"/>
    <w:rsid w:val="009924C1"/>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rsid w:val="009924C1"/>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9924C1"/>
    <w:rPr>
      <w:vertAlign w:val="superscript"/>
    </w:rPr>
  </w:style>
  <w:style w:type="character" w:customStyle="1" w:styleId="TitulliChar">
    <w:name w:val="Titulli Char"/>
    <w:basedOn w:val="DefaultParagraphFont"/>
    <w:link w:val="Titulli"/>
    <w:rsid w:val="009924C1"/>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9924C1"/>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9924C1"/>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2019-03-18T15:55:00Z</dcterms:created>
  <dcterms:modified xsi:type="dcterms:W3CDTF">2019-03-18T15:55:00Z</dcterms:modified>
</cp:coreProperties>
</file>