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23E" w:rsidRPr="002160D3" w:rsidRDefault="0054123E" w:rsidP="0054123E">
      <w:pPr>
        <w:pStyle w:val="Akti"/>
        <w:rPr>
          <w:lang w:val="sq-AL"/>
        </w:rPr>
      </w:pPr>
      <w:r w:rsidRPr="002160D3">
        <w:rPr>
          <w:lang w:val="sq-AL"/>
        </w:rPr>
        <w:t>VENDIM</w:t>
      </w:r>
    </w:p>
    <w:p w:rsidR="0054123E" w:rsidRPr="002160D3" w:rsidRDefault="0054123E" w:rsidP="0054123E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2160D3">
        <w:rPr>
          <w:lang w:val="sq-AL"/>
        </w:rPr>
        <w:t>957, datë 19.12.2012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Numri"/>
        <w:rPr>
          <w:lang w:val="sq-AL"/>
        </w:rPr>
      </w:pPr>
      <w:r w:rsidRPr="002160D3">
        <w:rPr>
          <w:lang w:val="sq-AL"/>
        </w:rPr>
        <w:t>PËR MBETJET NGA PAJISJET ELEKTRIKE DHE ELEKTRONIKE</w:t>
      </w:r>
      <w:r w:rsidRPr="002160D3">
        <w:rPr>
          <w:vertAlign w:val="superscript"/>
          <w:lang w:val="sq-AL"/>
        </w:rPr>
        <w:footnoteReference w:id="2"/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Në mbështetje të nenit 100 të Kushtetutës dhe të nenit 33 të ligjit </w:t>
      </w:r>
      <w:r>
        <w:rPr>
          <w:lang w:val="sq-AL"/>
        </w:rPr>
        <w:t xml:space="preserve">nr. </w:t>
      </w:r>
      <w:r w:rsidRPr="002160D3">
        <w:rPr>
          <w:lang w:val="sq-AL"/>
        </w:rPr>
        <w:t>10</w:t>
      </w:r>
      <w:r>
        <w:rPr>
          <w:lang w:val="sq-AL"/>
        </w:rPr>
        <w:t xml:space="preserve"> </w:t>
      </w:r>
      <w:r w:rsidRPr="002160D3">
        <w:rPr>
          <w:lang w:val="sq-AL"/>
        </w:rPr>
        <w:t>463, datë 22.9.2011 “Për menaxhimin e integruar të mbetjeve”, me propozimin e Ministrit të Mjedisit, Pyjeve dhe Administrimit të Ujërave, Këshilli i Ministrave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VENDOSI:</w:t>
      </w:r>
    </w:p>
    <w:p w:rsidR="0054123E" w:rsidRPr="002160D3" w:rsidRDefault="0054123E" w:rsidP="0054123E">
      <w:pPr>
        <w:pStyle w:val="TitulliTitull"/>
        <w:rPr>
          <w:lang w:val="sq-AL"/>
        </w:rPr>
      </w:pP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KREU I</w:t>
      </w: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DISPOZITA TË PËRGJITHSHME</w:t>
      </w:r>
    </w:p>
    <w:p w:rsidR="0054123E" w:rsidRPr="002160D3" w:rsidRDefault="0054123E" w:rsidP="0054123E">
      <w:pPr>
        <w:pStyle w:val="Paragrafi"/>
        <w:rPr>
          <w:lang w:val="sq-AL"/>
        </w:rPr>
      </w:pPr>
      <w:r>
        <w:rPr>
          <w:lang w:val="sq-AL"/>
        </w:rPr>
        <w:t xml:space="preserve"> 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1. Qëllimi i këtij vendimi është mbrojtja, ruajtja dhe përmirësimi i cilësisë së mjedisit, përmes minimizimit të ndikimeve negative nga mbetjet e pajisjeve elektrike dhe elektronike. 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2. Vendimi synon: 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a) të parandalojë mbetjet nga pajisjet elektrike dhe elektronike;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b) të nxitë ripërdorimin, riciklimin dhe forma të tjera rikuperimi të mbetjeve nga pajisjet elektrike dhe elektronike, me qëllim që të pakësojë asgjësimin e tyre;</w:t>
      </w:r>
    </w:p>
    <w:p w:rsidR="0054123E" w:rsidRPr="002160D3" w:rsidRDefault="0054123E" w:rsidP="0054123E">
      <w:pPr>
        <w:pStyle w:val="Paragrafi"/>
        <w:rPr>
          <w:lang w:val="sq-AL"/>
        </w:rPr>
      </w:pPr>
      <w:r>
        <w:rPr>
          <w:lang w:val="sq-AL"/>
        </w:rPr>
        <w:t xml:space="preserve">c) </w:t>
      </w:r>
      <w:r w:rsidRPr="002160D3">
        <w:rPr>
          <w:lang w:val="sq-AL"/>
        </w:rPr>
        <w:t xml:space="preserve">të përmirësojë </w:t>
      </w:r>
      <w:proofErr w:type="spellStart"/>
      <w:r w:rsidRPr="002160D3">
        <w:rPr>
          <w:lang w:val="sq-AL"/>
        </w:rPr>
        <w:t>performancën</w:t>
      </w:r>
      <w:proofErr w:type="spellEnd"/>
      <w:r w:rsidRPr="002160D3">
        <w:rPr>
          <w:lang w:val="sq-AL"/>
        </w:rPr>
        <w:t xml:space="preserve"> mjedisore të </w:t>
      </w:r>
      <w:proofErr w:type="spellStart"/>
      <w:r w:rsidRPr="002160D3">
        <w:rPr>
          <w:lang w:val="sq-AL"/>
        </w:rPr>
        <w:t>të</w:t>
      </w:r>
      <w:proofErr w:type="spellEnd"/>
      <w:r w:rsidRPr="002160D3">
        <w:rPr>
          <w:lang w:val="sq-AL"/>
        </w:rPr>
        <w:t xml:space="preserve"> gjithë operatorëve, si</w:t>
      </w:r>
      <w:r>
        <w:rPr>
          <w:lang w:val="sq-AL"/>
        </w:rPr>
        <w:t>:</w:t>
      </w:r>
      <w:r w:rsidRPr="002160D3">
        <w:rPr>
          <w:lang w:val="sq-AL"/>
        </w:rPr>
        <w:t xml:space="preserve"> </w:t>
      </w:r>
      <w:r>
        <w:rPr>
          <w:lang w:val="sq-AL"/>
        </w:rPr>
        <w:t xml:space="preserve">të </w:t>
      </w:r>
      <w:r w:rsidRPr="002160D3">
        <w:rPr>
          <w:lang w:val="sq-AL"/>
        </w:rPr>
        <w:t xml:space="preserve">prodhuesve, </w:t>
      </w:r>
      <w:r>
        <w:rPr>
          <w:lang w:val="sq-AL"/>
        </w:rPr>
        <w:t xml:space="preserve">të </w:t>
      </w:r>
      <w:r w:rsidRPr="002160D3">
        <w:rPr>
          <w:lang w:val="sq-AL"/>
        </w:rPr>
        <w:t xml:space="preserve">shpërndarësve dhe konsumatorëve të përfshirë në ciklin e jetës së pajisjeve elektrike dhe elektronike dhe, në veçanti, të operatorëve që janë të përfshirë drejtpërdrejt në trajtimin e mbetjeve nga pajisjet elektrike dhe elektronike. </w:t>
      </w:r>
    </w:p>
    <w:p w:rsidR="0054123E" w:rsidRPr="002160D3" w:rsidRDefault="0054123E" w:rsidP="0054123E">
      <w:pPr>
        <w:pStyle w:val="Paragrafi"/>
        <w:rPr>
          <w:lang w:val="sq-AL"/>
        </w:rPr>
      </w:pPr>
      <w:r>
        <w:rPr>
          <w:lang w:val="sq-AL"/>
        </w:rPr>
        <w:t xml:space="preserve"> </w:t>
      </w: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KREU II</w:t>
      </w: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FUSHA E ZBATIMIT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1. Ky vendim zbatohet për të gjitha pajisjet elektrike dhe elektronike</w:t>
      </w:r>
      <w:r>
        <w:rPr>
          <w:lang w:val="sq-AL"/>
        </w:rPr>
        <w:t>,</w:t>
      </w:r>
      <w:r w:rsidRPr="002160D3">
        <w:rPr>
          <w:lang w:val="sq-AL"/>
        </w:rPr>
        <w:t xml:space="preserve"> që në mënyrë të përgjithshme jepen në aneksin IA, bashkëlidhur këtij vendimi, kurse në mënyrë të hollësishme jepen në aneksin IB, me kusht që pajisja përkatëse të mos jetë pjesë e një lloji tjetër pajisjeje</w:t>
      </w:r>
      <w:r>
        <w:rPr>
          <w:lang w:val="sq-AL"/>
        </w:rPr>
        <w:t>,</w:t>
      </w:r>
      <w:r w:rsidRPr="002160D3">
        <w:rPr>
          <w:lang w:val="sq-AL"/>
        </w:rPr>
        <w:t xml:space="preserve"> që nuk përfshihet në fushën e zbatimit të këtij vendimi.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2. Përjashtohen nga fusha e zbatimit të këtij vendimi pajisjet që lidhen me</w:t>
      </w:r>
      <w:r>
        <w:rPr>
          <w:lang w:val="sq-AL"/>
        </w:rPr>
        <w:t xml:space="preserve"> mbrojtjen e interesave kryesore</w:t>
      </w:r>
      <w:r w:rsidRPr="002160D3">
        <w:rPr>
          <w:lang w:val="sq-AL"/>
        </w:rPr>
        <w:t xml:space="preserve"> të sigurisë së shtetit, armët, municionet dhe materialet e luftës. Ky përjashtim nuk zbatohet për produktet që nuk janë projektuar posaçërisht për qëllime ushtarake. 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KREU III</w:t>
      </w: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PËRKUFIZIMET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Për qëllime të këtij vendimi të gjithë termat e përcaktuar në nenin 3 të</w:t>
      </w:r>
      <w:r>
        <w:rPr>
          <w:lang w:val="sq-AL"/>
        </w:rPr>
        <w:t xml:space="preserve"> </w:t>
      </w:r>
      <w:r w:rsidRPr="002160D3">
        <w:rPr>
          <w:lang w:val="sq-AL"/>
        </w:rPr>
        <w:t xml:space="preserve">ligjit </w:t>
      </w:r>
      <w:r>
        <w:rPr>
          <w:lang w:val="sq-AL"/>
        </w:rPr>
        <w:t xml:space="preserve">nr. </w:t>
      </w:r>
      <w:r w:rsidRPr="002160D3">
        <w:rPr>
          <w:lang w:val="sq-AL"/>
        </w:rPr>
        <w:t>10</w:t>
      </w:r>
      <w:r>
        <w:rPr>
          <w:lang w:val="sq-AL"/>
        </w:rPr>
        <w:t xml:space="preserve"> </w:t>
      </w:r>
      <w:r w:rsidRPr="002160D3">
        <w:rPr>
          <w:lang w:val="sq-AL"/>
        </w:rPr>
        <w:t xml:space="preserve">463, datë </w:t>
      </w:r>
      <w:r w:rsidRPr="002160D3">
        <w:rPr>
          <w:lang w:val="sq-AL"/>
        </w:rPr>
        <w:lastRenderedPageBreak/>
        <w:t>22.9.2011 “Për menaxhimin e integruar t</w:t>
      </w:r>
      <w:r>
        <w:rPr>
          <w:lang w:val="sq-AL"/>
        </w:rPr>
        <w:t>ë</w:t>
      </w:r>
      <w:r w:rsidRPr="002160D3">
        <w:rPr>
          <w:lang w:val="sq-AL"/>
        </w:rPr>
        <w:t xml:space="preserve"> mbetjeve”, kanë të njëjtin kuptim, ndërsa termat e mëposhtëm kanë këto kuptime: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1. “Agjenci”, autoriteti publik, siç përcaktohet në kreun X seksioni 1 të ligjit </w:t>
      </w:r>
      <w:r>
        <w:rPr>
          <w:lang w:val="sq-AL"/>
        </w:rPr>
        <w:t xml:space="preserve">nr. </w:t>
      </w:r>
      <w:r w:rsidRPr="002160D3">
        <w:rPr>
          <w:lang w:val="sq-AL"/>
        </w:rPr>
        <w:t>10</w:t>
      </w:r>
      <w:r>
        <w:rPr>
          <w:lang w:val="sq-AL"/>
        </w:rPr>
        <w:t xml:space="preserve"> </w:t>
      </w:r>
      <w:r w:rsidRPr="002160D3">
        <w:rPr>
          <w:lang w:val="sq-AL"/>
        </w:rPr>
        <w:t>431, datë 9.6.2011 “Për mbrojtjen e mjedisit”.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2. “Mbetje historike”, MPEE-të nga produktet e hedhura në treg përpara datës 1 janar 2015.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3. “Mbetjet nga pajisjet elektrike dhe elektronike” ose “MPEE”, një pajisje elektrike ose elektronike</w:t>
      </w:r>
      <w:r>
        <w:rPr>
          <w:lang w:val="sq-AL"/>
        </w:rPr>
        <w:t>,</w:t>
      </w:r>
      <w:r w:rsidRPr="002160D3">
        <w:rPr>
          <w:lang w:val="sq-AL"/>
        </w:rPr>
        <w:t xml:space="preserve"> që është mbetje sipas kuptimit të dhënë në ligjin </w:t>
      </w:r>
      <w:r>
        <w:rPr>
          <w:lang w:val="sq-AL"/>
        </w:rPr>
        <w:t xml:space="preserve">nr. </w:t>
      </w:r>
      <w:r w:rsidRPr="002160D3">
        <w:rPr>
          <w:lang w:val="sq-AL"/>
        </w:rPr>
        <w:t>10</w:t>
      </w:r>
      <w:r>
        <w:rPr>
          <w:lang w:val="sq-AL"/>
        </w:rPr>
        <w:t xml:space="preserve"> </w:t>
      </w:r>
      <w:r w:rsidRPr="002160D3">
        <w:rPr>
          <w:lang w:val="sq-AL"/>
        </w:rPr>
        <w:t>463, datë 22.9.2011 “Për menaxhimin e integruar të mbetjeve”, dhe përfshin të gjitha pjesët e përbërësit e tyre, pjesët lidhëse e përdoruese, si dhe pjesët e konsumit që janë pjesë përbërëse e produktit në kohën kur hidhet.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4. “MPEE nga përdoruesit </w:t>
      </w:r>
      <w:proofErr w:type="spellStart"/>
      <w:r w:rsidRPr="002160D3">
        <w:rPr>
          <w:lang w:val="sq-AL"/>
        </w:rPr>
        <w:t>joshtëpiakë</w:t>
      </w:r>
      <w:proofErr w:type="spellEnd"/>
      <w:r w:rsidRPr="002160D3">
        <w:rPr>
          <w:lang w:val="sq-AL"/>
        </w:rPr>
        <w:t xml:space="preserve">”, MPEE-të që vijnë nga burimet tregtare, industriale, institucionale dhe të tjera, që, për shkak të natyrës dhe sasisë së tyre, janë të ndryshme me ato që vijnë nga përdoruesit shtëpiakë. 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5. “Ministria”, ministria përgjegjëse për mjedisin.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6. “Ministri”, ministri përgjegjës për mjedisin.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7. “MPEE shtëpiake”, mbetjet nga pajisjet elektrike dhe elektronike</w:t>
      </w:r>
      <w:r>
        <w:rPr>
          <w:lang w:val="sq-AL"/>
        </w:rPr>
        <w:t>,</w:t>
      </w:r>
      <w:r w:rsidRPr="002160D3">
        <w:rPr>
          <w:lang w:val="sq-AL"/>
        </w:rPr>
        <w:t xml:space="preserve"> që vijnë nga sektori privat familjar dhe nga burimet tregtare, industriale, të institucioneve dhe të tjera, që, për shkak të natyrës e të sasisë së tyre, janë të ngjashme me mbetjet shtëpiake.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8. “Njësi e qeverisjes vendore”, komuna, </w:t>
      </w:r>
      <w:proofErr w:type="spellStart"/>
      <w:r w:rsidRPr="002160D3">
        <w:rPr>
          <w:lang w:val="sq-AL"/>
        </w:rPr>
        <w:t>bashkia</w:t>
      </w:r>
      <w:proofErr w:type="spellEnd"/>
      <w:r w:rsidRPr="002160D3">
        <w:rPr>
          <w:lang w:val="sq-AL"/>
        </w:rPr>
        <w:t xml:space="preserve">, qarku dhe nënndarjet e tyre, në përputhje me ligjin </w:t>
      </w:r>
      <w:r>
        <w:rPr>
          <w:lang w:val="sq-AL"/>
        </w:rPr>
        <w:t xml:space="preserve">nr. </w:t>
      </w:r>
      <w:r w:rsidRPr="002160D3">
        <w:rPr>
          <w:lang w:val="sq-AL"/>
        </w:rPr>
        <w:t>8652, datë 31.7.2000 “Për organizimin dhe funksionimin e qeverisjes vendore”.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9. “Pajisje elektrike dhe elektronike” ose “PEE”</w:t>
      </w:r>
      <w:r>
        <w:rPr>
          <w:lang w:val="sq-AL"/>
        </w:rPr>
        <w:t xml:space="preserve"> </w:t>
      </w:r>
      <w:r w:rsidRPr="002160D3">
        <w:rPr>
          <w:lang w:val="sq-AL"/>
        </w:rPr>
        <w:t>nënkupton: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a) pajisjet, funksionimi i rregullt i të cilave varet nga rrymat elektrike ose fushat elektromagnetike; 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b) pajisjet për gjenerimin, transferimin dhe matjen e këtyre rrymave dhe fushave që përcaktohen në kategoritë e aneksit IA dhe janë të projektuara për t’u përdorur me një tension</w:t>
      </w:r>
      <w:r>
        <w:rPr>
          <w:lang w:val="sq-AL"/>
        </w:rPr>
        <w:t>,</w:t>
      </w:r>
      <w:r w:rsidRPr="002160D3">
        <w:rPr>
          <w:lang w:val="sq-AL"/>
        </w:rPr>
        <w:t xml:space="preserve"> që nuk i tejkalon</w:t>
      </w:r>
      <w:r>
        <w:rPr>
          <w:lang w:val="sq-AL"/>
        </w:rPr>
        <w:t xml:space="preserve"> </w:t>
      </w:r>
      <w:r w:rsidRPr="002160D3">
        <w:rPr>
          <w:lang w:val="sq-AL"/>
        </w:rPr>
        <w:t>1000 V (volt) për rrymë alternative dhe 1500 V (volt) për rrymë të drejtpërdrejtë.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10. “Preparate” ka kuptimin e dhënë sipas ligjit </w:t>
      </w:r>
      <w:r>
        <w:rPr>
          <w:lang w:val="sq-AL"/>
        </w:rPr>
        <w:t xml:space="preserve">nr. </w:t>
      </w:r>
      <w:r w:rsidRPr="002160D3">
        <w:rPr>
          <w:lang w:val="sq-AL"/>
        </w:rPr>
        <w:t>9108, datë 17.7.2003 “Për substancat dhe preparatet kimike”.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11. “Prodhues”, çdo person që, pavarësisht nga teknika e përdorur e shitjes, përfshirë m</w:t>
      </w:r>
      <w:r>
        <w:rPr>
          <w:lang w:val="sq-AL"/>
        </w:rPr>
        <w:t>jetet e komunikimit në distancë</w:t>
      </w:r>
      <w:r w:rsidRPr="002160D3">
        <w:rPr>
          <w:lang w:val="sq-AL"/>
        </w:rPr>
        <w:t>: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a) prodhon dhe shet pajisje elektrike dhe elektronike mbi të cilat ka shënuar markën e vet;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b) rishet në emër të markës së vet pajisje të prodhuara nga furnitorë të tjerë, por jo në rastin kur në pajisje</w:t>
      </w:r>
      <w:r w:rsidRPr="002160D3" w:rsidDel="00B1252D">
        <w:rPr>
          <w:lang w:val="sq-AL"/>
        </w:rPr>
        <w:t xml:space="preserve"> </w:t>
      </w:r>
      <w:r w:rsidRPr="002160D3">
        <w:rPr>
          <w:lang w:val="sq-AL"/>
        </w:rPr>
        <w:t>është shënuar</w:t>
      </w:r>
      <w:r w:rsidRPr="002160D3" w:rsidDel="00B1252D">
        <w:rPr>
          <w:lang w:val="sq-AL"/>
        </w:rPr>
        <w:t xml:space="preserve"> </w:t>
      </w:r>
      <w:r w:rsidRPr="002160D3">
        <w:rPr>
          <w:lang w:val="sq-AL"/>
        </w:rPr>
        <w:t>marka e prodhuesit, si</w:t>
      </w:r>
      <w:r>
        <w:rPr>
          <w:lang w:val="sq-AL"/>
        </w:rPr>
        <w:t>ç parashikohet në shkronjën “a”</w:t>
      </w:r>
      <w:r w:rsidRPr="002160D3">
        <w:rPr>
          <w:lang w:val="sq-AL"/>
        </w:rPr>
        <w:t xml:space="preserve"> më lart; 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c) importon ose eksporton PEE mbi baza profesionale në një shtet tjetër.</w:t>
      </w:r>
    </w:p>
    <w:p w:rsidR="0054123E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12. “Substancë” ka kuptimin e dhënë në ligjin </w:t>
      </w:r>
      <w:r>
        <w:rPr>
          <w:lang w:val="sq-AL"/>
        </w:rPr>
        <w:t xml:space="preserve">nr. </w:t>
      </w:r>
      <w:r w:rsidRPr="002160D3">
        <w:rPr>
          <w:lang w:val="sq-AL"/>
        </w:rPr>
        <w:t>9108, datë 17.7.2003 “Për substancat dhe preparatet kimike”.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13. “Sistem individual për kthimin mbrapsht të MPEE-ve”, sistemi, ku një subjekt prodhues apo tregtues merr përsipër individualisht të gjithë përgjegjësinë e menaxhimit të mbetjeve.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14. “Sistem kolektiv për kthimin mbrapsht të MPEE-ve”, sistemi ku një ose më shumë subjekte prodhuese apo tregtuese marrin përsipër bashkërisht përgjegjësinë e menaxhimit të mbetjeve.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15. Substancë ose preparat i rrezikshëm”, çdo substancë ose preparat që është shpërthyes, oksidues, shumë i djegshëm apo i djegshëm, toksik, dëmtues, gërryes apo </w:t>
      </w:r>
      <w:proofErr w:type="spellStart"/>
      <w:r w:rsidRPr="002160D3">
        <w:rPr>
          <w:lang w:val="sq-AL"/>
        </w:rPr>
        <w:t>irritues</w:t>
      </w:r>
      <w:proofErr w:type="spellEnd"/>
      <w:r w:rsidRPr="002160D3">
        <w:rPr>
          <w:lang w:val="sq-AL"/>
        </w:rPr>
        <w:t xml:space="preserve">, sipas përkufizimeve që u bëhen këtyre vetive në aneksin III të ligjit </w:t>
      </w:r>
      <w:r>
        <w:rPr>
          <w:lang w:val="sq-AL"/>
        </w:rPr>
        <w:t xml:space="preserve">nr. </w:t>
      </w:r>
      <w:r w:rsidRPr="002160D3">
        <w:rPr>
          <w:lang w:val="sq-AL"/>
        </w:rPr>
        <w:t>10</w:t>
      </w:r>
      <w:r>
        <w:rPr>
          <w:lang w:val="sq-AL"/>
        </w:rPr>
        <w:t xml:space="preserve"> </w:t>
      </w:r>
      <w:r w:rsidRPr="002160D3">
        <w:rPr>
          <w:lang w:val="sq-AL"/>
        </w:rPr>
        <w:t>463, datë 22.9.2011 “Për menaxhimin e integruar të mbetjeve”.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16. “Shpërndarës”, çdo person që ofron PEE për qëllime tregtie për palën që do ta përdorë atë.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lastRenderedPageBreak/>
        <w:t>KREU IV</w:t>
      </w: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REGJISTRIMI I PRODHUESVE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1. Prodhuesit e PEE-ve përpara se të hedhin në treg për herë të parë mbi baza profesionale produktet e tyre</w:t>
      </w:r>
      <w:r>
        <w:rPr>
          <w:lang w:val="sq-AL"/>
        </w:rPr>
        <w:t>,</w:t>
      </w:r>
      <w:r w:rsidRPr="002160D3">
        <w:rPr>
          <w:lang w:val="sq-AL"/>
        </w:rPr>
        <w:t xml:space="preserve"> pajisen me leje mjedisi të fushës III, në përputhje me përcaktimin e bërë në vendimin </w:t>
      </w:r>
      <w:r>
        <w:rPr>
          <w:lang w:val="sq-AL"/>
        </w:rPr>
        <w:t xml:space="preserve">nr. </w:t>
      </w:r>
      <w:r w:rsidRPr="002160D3">
        <w:rPr>
          <w:lang w:val="sq-AL"/>
        </w:rPr>
        <w:t>538, datë 26.5.2009 të Këshillit të Ministrave “Për licencat dhe lejet që trajtohen nga/apo nëpërmjet QKL-së dhe disa rregullime të tjera nënligjore të përbashkëta”, regjistrohen në regjistrin e prodhuesve të PEE-ve</w:t>
      </w:r>
      <w:r>
        <w:rPr>
          <w:lang w:val="sq-AL"/>
        </w:rPr>
        <w:t>,</w:t>
      </w:r>
      <w:r w:rsidRPr="002160D3">
        <w:rPr>
          <w:lang w:val="sq-AL"/>
        </w:rPr>
        <w:t xml:space="preserve"> që agjencia krijon për këtë qëllim dhe pajisen me një numër regjistrimi.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2. Regjistrimi i çdo prodhuesi bëhet vetëm një herë në momentin kur hedh në treg PEE për herë të parë mbi baza profesionale.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3. Gjatë regjistrimit në agjenci për qëllime të këtij vendimi përfshihen vetëm të dhënat e mëposhtme: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a) Emri i prodhuesit dhe i markës (nëse ka) me të cilin operon në Republikën e Shqipërisë;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b) Adresa/t e plotë/a e/të prodhuesit: kodi </w:t>
      </w:r>
      <w:proofErr w:type="spellStart"/>
      <w:r w:rsidRPr="002160D3">
        <w:rPr>
          <w:lang w:val="sq-AL"/>
        </w:rPr>
        <w:t>postal</w:t>
      </w:r>
      <w:proofErr w:type="spellEnd"/>
      <w:r w:rsidRPr="002160D3">
        <w:rPr>
          <w:lang w:val="sq-AL"/>
        </w:rPr>
        <w:t xml:space="preserve"> dhe vendndodhja, emri i rrugës dhe numri, faqja e internetit, adresa e e-</w:t>
      </w:r>
      <w:proofErr w:type="spellStart"/>
      <w:r w:rsidRPr="002160D3">
        <w:rPr>
          <w:lang w:val="sq-AL"/>
        </w:rPr>
        <w:t>mail</w:t>
      </w:r>
      <w:proofErr w:type="spellEnd"/>
      <w:r w:rsidRPr="002160D3">
        <w:rPr>
          <w:lang w:val="sq-AL"/>
        </w:rPr>
        <w:t>-it, kutia postare, numri i telefonit dhe faksit, personi i kontaktit;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c) Të dhëna për kategoritë e PEE-ve të hedhura në treg nga prodhuesi;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ç) Informacion për mënyrën se si prodhuesi përmbush detyrimet e tij, nëpërmjet një skeme individuale apo nëpërmjet një skeme kolektive;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d) Data e aplikimit për regjistrim;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dh)</w:t>
      </w:r>
      <w:r>
        <w:rPr>
          <w:lang w:val="sq-AL"/>
        </w:rPr>
        <w:t xml:space="preserve"> </w:t>
      </w:r>
      <w:r w:rsidRPr="002160D3">
        <w:rPr>
          <w:lang w:val="sq-AL"/>
        </w:rPr>
        <w:t xml:space="preserve">Kodi kombëtar i identifikimit të prodhuesit, përfshirë numrin e NIPT-it në Republikën e Shqipërisë apo në nivel </w:t>
      </w:r>
      <w:proofErr w:type="spellStart"/>
      <w:r w:rsidRPr="002160D3">
        <w:rPr>
          <w:lang w:val="sq-AL"/>
        </w:rPr>
        <w:t>europian</w:t>
      </w:r>
      <w:proofErr w:type="spellEnd"/>
      <w:r w:rsidRPr="002160D3">
        <w:rPr>
          <w:lang w:val="sq-AL"/>
        </w:rPr>
        <w:t>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e) Deklarata që pohon se informacioni i dhënë është i vërtetë.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4. Prodhuesit e PEE-ve: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a) njoftojnë agjencinë për çdo ndryshim që mund të pësojë informaci</w:t>
      </w:r>
      <w:r>
        <w:rPr>
          <w:lang w:val="sq-AL"/>
        </w:rPr>
        <w:t>oni i dhënë sipas pikës 3, jo më</w:t>
      </w:r>
      <w:r w:rsidRPr="002160D3">
        <w:rPr>
          <w:lang w:val="sq-AL"/>
        </w:rPr>
        <w:t xml:space="preserve"> vonë se 1 (një) muaj pas bërjes së ndryshimit;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b) kërkojnë me shkrim nga agjencia çregjistrimin nga regjistri i PEE-ve</w:t>
      </w:r>
      <w:r>
        <w:rPr>
          <w:lang w:val="sq-AL"/>
        </w:rPr>
        <w:t>,</w:t>
      </w:r>
      <w:r w:rsidRPr="002160D3">
        <w:rPr>
          <w:lang w:val="sq-AL"/>
        </w:rPr>
        <w:t xml:space="preserve"> kur pushojnë aktivitetin e tyre të prodhimit të PEE-ve dhe nuk ushtrojnë më këtë veprimtari në Republikën e Shqipërisë.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5. Agjencia bën çregjistrimin nga regjistri i prodhuesve të PEE-ve dhe njofton me shkrim për kryerjen e çregjistrimit.</w:t>
      </w:r>
    </w:p>
    <w:p w:rsidR="0054123E" w:rsidRDefault="0054123E" w:rsidP="0054123E">
      <w:pPr>
        <w:pStyle w:val="Paragrafi"/>
        <w:rPr>
          <w:highlight w:val="yellow"/>
          <w:lang w:val="sq-AL"/>
        </w:rPr>
      </w:pPr>
    </w:p>
    <w:p w:rsidR="0054123E" w:rsidRPr="002160D3" w:rsidRDefault="0054123E" w:rsidP="0054123E">
      <w:pPr>
        <w:pStyle w:val="Paragrafi"/>
        <w:rPr>
          <w:highlight w:val="yellow"/>
          <w:lang w:val="sq-AL"/>
        </w:rPr>
      </w:pP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KREU V</w:t>
      </w: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PROJEKTIMI I PRODUKTIT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1. Ministria dhe ministria përgjegjëse për ekonominë nxitin projektimin e prodhimin e PEE-ve në zbatim të kërkesave të përcaktuara në ligjin </w:t>
      </w:r>
      <w:r>
        <w:rPr>
          <w:lang w:val="sq-AL"/>
        </w:rPr>
        <w:t xml:space="preserve">nr. </w:t>
      </w:r>
      <w:r w:rsidRPr="002160D3">
        <w:rPr>
          <w:lang w:val="sq-AL"/>
        </w:rPr>
        <w:t>10</w:t>
      </w:r>
      <w:r>
        <w:rPr>
          <w:lang w:val="sq-AL"/>
        </w:rPr>
        <w:t xml:space="preserve"> </w:t>
      </w:r>
      <w:r w:rsidRPr="002160D3">
        <w:rPr>
          <w:lang w:val="sq-AL"/>
        </w:rPr>
        <w:t>489, datë 15.12.2011 “Për tregtimin dhe mbikëqyrjen e tregut të produkteve joushqimore”, të cilat</w:t>
      </w:r>
      <w:r>
        <w:rPr>
          <w:lang w:val="sq-AL"/>
        </w:rPr>
        <w:t xml:space="preserve"> </w:t>
      </w:r>
      <w:r w:rsidRPr="002160D3">
        <w:rPr>
          <w:lang w:val="sq-AL"/>
        </w:rPr>
        <w:t xml:space="preserve">lehtësojnë çmontimin dhe rikuperimin, në veçanti, ripërdorimin e riciklimin e MPEE-ve, të përbërësve dhe të materialeve të tyre. 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2. Prodhuesit projektojnë PEE-të në mënyrë të tillë që tiparet e tyre apo proceset prodhuese të mos pengojnë ripërdorimin, përveçse kur këto tipare specifike apo procese prodhuese paraqesin përparësi të mëdha në lidhje me kërkesat për mbrojtjen e mjedisit dhe/ose sigurinë.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KREU VI</w:t>
      </w: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ETIKETIMI I PRODUKTIT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1. </w:t>
      </w:r>
      <w:r>
        <w:rPr>
          <w:lang w:val="sq-AL"/>
        </w:rPr>
        <w:t>Prodhuesit</w:t>
      </w:r>
      <w:r w:rsidRPr="002160D3">
        <w:rPr>
          <w:lang w:val="sq-AL"/>
        </w:rPr>
        <w:t xml:space="preserve"> që hedhin në treg PEE</w:t>
      </w:r>
      <w:r>
        <w:rPr>
          <w:lang w:val="sq-AL"/>
        </w:rPr>
        <w:t>,</w:t>
      </w:r>
      <w:r w:rsidRPr="002160D3">
        <w:rPr>
          <w:lang w:val="sq-AL"/>
        </w:rPr>
        <w:t xml:space="preserve"> me qëllim që të minimizojnë hedhjen e MPEE-ve në të njëjtin vend me mbetjet shtëpiake të përziera, për të lehtësuar grumbullimin e tyre të diferencuar, i </w:t>
      </w:r>
      <w:r w:rsidRPr="002160D3">
        <w:rPr>
          <w:lang w:val="sq-AL"/>
        </w:rPr>
        <w:lastRenderedPageBreak/>
        <w:t>etiketojnë ato me simbolin që tregohet në aneksin IV, bashkëlidhur këtij vendimi.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2. Në rastin kur përmasat dhe funksionet e PEE-ve nuk mundësojnë etiketimin e tyre, etiketimi kryhet në gjuhën shqipe: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a) duke bashkëngjitur një etiketë ose tabelë shtesë me simbolin e përcaktuar në pikën 1;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b) duke printuar simbolin e përcaktuar në pikën 1, në të njëjtën kohë, mbi paketimin, udhëzuesin e shërbimit dhe në fletën e garancisë.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3. Etiketa e përcaktuar në shkronjat “a” dhe “b” të pikës 2 të këtij kreu, nuk duhet të zhubroset, paloset, përthyhet ose të rrudhoset dhe duhet të jetë e dukshme, e lexueshme dhe të mos shqitet.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4. Prodhuesi i PEE-ve në territorin e Republikës së Shqipërisë përjashtohet nga detyrimi për ta etiketuar PEE-në sërish, nëse PEE-të e importuara nga një shtet tjetër anëtar i BE-së janë etiketuar në përputhje me kërkesat e pikave 1, 2 dhe 3 të këtij kreu.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5. Prodhuesit i etiketojnë PEE-të e hedhura në treg pas datës 1 janar 2015 dhe i identifikojnë duke vendosur një etiketë të dukshme, të lexueshme e të fortë mbi pajisje, e cila përmban emri</w:t>
      </w:r>
      <w:r>
        <w:rPr>
          <w:lang w:val="sq-AL"/>
        </w:rPr>
        <w:t>n e personit, fizik ose juridik</w:t>
      </w:r>
      <w:r w:rsidRPr="002160D3">
        <w:rPr>
          <w:lang w:val="sq-AL"/>
        </w:rPr>
        <w:t xml:space="preserve"> dhe numrin identifikues. 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KREU VII</w:t>
      </w: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GRUMBULLIMI I DIFERENCUAR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1. Njësitë e qeverisjes vendore, prodhuesit dhe shpërndarësit apo palë të treta që veprojnë në emër të tyre marrin masat e nevojshme për të minimizuar asgjësimin e MPEE-ve si mbetje e pandarë nga mbetjet e tjera bashkiake dhe për të siguruar një nivel të lartë grumbullimi të diferencuar të MPEE-ve.</w:t>
      </w:r>
    </w:p>
    <w:p w:rsidR="0054123E" w:rsidRPr="002160D3" w:rsidRDefault="0054123E" w:rsidP="0054123E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2160D3">
        <w:rPr>
          <w:lang w:val="sq-AL"/>
        </w:rPr>
        <w:t>Për MPEE-të që vijnë nga përdoruesit shtëpiakë, brenda 3 (tri) viteve ng</w:t>
      </w:r>
      <w:r>
        <w:rPr>
          <w:lang w:val="sq-AL"/>
        </w:rPr>
        <w:t>a hyrja në fuqi e këtij vendimi</w:t>
      </w:r>
      <w:r w:rsidRPr="002160D3">
        <w:rPr>
          <w:lang w:val="sq-AL"/>
        </w:rPr>
        <w:t>: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a)</w:t>
      </w:r>
      <w:r>
        <w:rPr>
          <w:lang w:val="sq-AL"/>
        </w:rPr>
        <w:t xml:space="preserve"> </w:t>
      </w:r>
      <w:r w:rsidRPr="002160D3">
        <w:rPr>
          <w:lang w:val="sq-AL"/>
        </w:rPr>
        <w:t xml:space="preserve">prodhuesit, nisur nga dendësia e popullsisë, marrin masat e nevojshme dhe vënë në funksionim një numër të mjaftueshëm vendesh grumbullimi që janë lehtësisht të </w:t>
      </w:r>
      <w:proofErr w:type="spellStart"/>
      <w:r w:rsidRPr="002160D3">
        <w:rPr>
          <w:lang w:val="sq-AL"/>
        </w:rPr>
        <w:t>aksesueshme</w:t>
      </w:r>
      <w:proofErr w:type="spellEnd"/>
      <w:r w:rsidRPr="002160D3">
        <w:rPr>
          <w:lang w:val="sq-AL"/>
        </w:rPr>
        <w:t xml:space="preserve"> dhe që lejojnë zotëruesit përfundimtarë e shpërndarësit të kthejnë mbrapsht këto mbetje; 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b) prodhuesit/shpërndarësit, kur ofrojnë/shesin një produkt të ri, marrin masat e duhura për të siguruar që mbetjet e këtij produkti të mund t’i kthehen të paktën në raportin një me një, me kusht që pajisja të jetë e të njëjtit lloj dhe të ketë kryer të njëjtat funksio</w:t>
      </w:r>
      <w:r>
        <w:rPr>
          <w:lang w:val="sq-AL"/>
        </w:rPr>
        <w:t>ne si pajisja e ofruar/e shitur;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c)</w:t>
      </w:r>
      <w:r>
        <w:rPr>
          <w:lang w:val="sq-AL"/>
        </w:rPr>
        <w:t xml:space="preserve"> </w:t>
      </w:r>
      <w:r w:rsidRPr="002160D3">
        <w:rPr>
          <w:lang w:val="sq-AL"/>
        </w:rPr>
        <w:t>pavarësisht nga</w:t>
      </w:r>
      <w:r>
        <w:rPr>
          <w:lang w:val="sq-AL"/>
        </w:rPr>
        <w:t xml:space="preserve"> </w:t>
      </w:r>
      <w:r w:rsidRPr="002160D3">
        <w:rPr>
          <w:lang w:val="sq-AL"/>
        </w:rPr>
        <w:t>parashikimet e shkronjave</w:t>
      </w:r>
      <w:r>
        <w:rPr>
          <w:lang w:val="sq-AL"/>
        </w:rPr>
        <w:t xml:space="preserve"> </w:t>
      </w:r>
      <w:r w:rsidRPr="002160D3">
        <w:rPr>
          <w:lang w:val="sq-AL"/>
        </w:rPr>
        <w:t>“a” dhe “b” të pikës 2, prodhuesit, sipas rastit, mund të krijojnë dhe të vënë në funksionim sisteme individuale dhe/ose kolektive për kthimin mbrapsht të MPEE-ve nga përdoruesit shtëpiakë, me kusht që këto sisteme të jenë në përputhje me objektivat e qëllimin e këtij vendimi;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ç)</w:t>
      </w:r>
      <w:r>
        <w:rPr>
          <w:lang w:val="sq-AL"/>
        </w:rPr>
        <w:t xml:space="preserve"> </w:t>
      </w:r>
      <w:r w:rsidRPr="002160D3">
        <w:rPr>
          <w:lang w:val="sq-AL"/>
        </w:rPr>
        <w:t>prodhuesit mund të refuzojnë të marrin mbrapsht MPEE-të, që: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i)</w:t>
      </w:r>
      <w:r>
        <w:rPr>
          <w:lang w:val="sq-AL"/>
        </w:rPr>
        <w:t xml:space="preserve"> </w:t>
      </w:r>
      <w:r w:rsidRPr="002160D3">
        <w:rPr>
          <w:lang w:val="sq-AL"/>
        </w:rPr>
        <w:t>për shkak të ndotjes përbëjnë rrezik për shëndetin dhe sigurinë e</w:t>
      </w:r>
      <w:r>
        <w:rPr>
          <w:lang w:val="sq-AL"/>
        </w:rPr>
        <w:t xml:space="preserve"> </w:t>
      </w:r>
      <w:r w:rsidRPr="002160D3">
        <w:rPr>
          <w:lang w:val="sq-AL"/>
        </w:rPr>
        <w:t>personelit;</w:t>
      </w:r>
      <w:r>
        <w:rPr>
          <w:lang w:val="sq-AL"/>
        </w:rPr>
        <w:t xml:space="preserve"> 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ii) u mungojnë pjesë kryesore;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iii)</w:t>
      </w:r>
      <w:r>
        <w:rPr>
          <w:lang w:val="sq-AL"/>
        </w:rPr>
        <w:t xml:space="preserve"> </w:t>
      </w:r>
      <w:r w:rsidRPr="002160D3">
        <w:rPr>
          <w:lang w:val="sq-AL"/>
        </w:rPr>
        <w:t>përmbajnë mbetje të ndryshme nga ato të MPEE-ve.</w:t>
      </w:r>
    </w:p>
    <w:p w:rsidR="0054123E" w:rsidRPr="002160D3" w:rsidRDefault="0054123E" w:rsidP="0054123E">
      <w:pPr>
        <w:pStyle w:val="Paragrafi"/>
        <w:rPr>
          <w:lang w:val="sq-AL"/>
        </w:rPr>
      </w:pPr>
      <w:r>
        <w:rPr>
          <w:lang w:val="sq-AL"/>
        </w:rPr>
        <w:t>d) MPEE-të</w:t>
      </w:r>
      <w:r w:rsidRPr="002160D3">
        <w:rPr>
          <w:lang w:val="sq-AL"/>
        </w:rPr>
        <w:t xml:space="preserve"> që refuzohen të merren mbrapsht u nënshtrohen rregullave të menaxhimit të mbetjeve të rrezikshme sipas ligjit </w:t>
      </w:r>
      <w:r>
        <w:rPr>
          <w:lang w:val="sq-AL"/>
        </w:rPr>
        <w:t xml:space="preserve">nr. </w:t>
      </w:r>
      <w:r w:rsidRPr="002160D3">
        <w:rPr>
          <w:lang w:val="sq-AL"/>
        </w:rPr>
        <w:t>10</w:t>
      </w:r>
      <w:r>
        <w:rPr>
          <w:lang w:val="sq-AL"/>
        </w:rPr>
        <w:t xml:space="preserve"> </w:t>
      </w:r>
      <w:r w:rsidRPr="002160D3">
        <w:rPr>
          <w:lang w:val="sq-AL"/>
        </w:rPr>
        <w:t>463, datë 22.9.2011 “Për menaxhimin e integruar të mbetjeve”.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3. Për MPEE-të</w:t>
      </w:r>
      <w:r>
        <w:rPr>
          <w:lang w:val="sq-AL"/>
        </w:rPr>
        <w:t>,</w:t>
      </w:r>
      <w:r w:rsidRPr="002160D3">
        <w:rPr>
          <w:lang w:val="sq-AL"/>
        </w:rPr>
        <w:t xml:space="preserve"> që vijnë nga përdoruesit </w:t>
      </w:r>
      <w:proofErr w:type="spellStart"/>
      <w:r w:rsidRPr="002160D3">
        <w:rPr>
          <w:lang w:val="sq-AL"/>
        </w:rPr>
        <w:t>joshtëpiakë</w:t>
      </w:r>
      <w:proofErr w:type="spellEnd"/>
      <w:r w:rsidRPr="002160D3">
        <w:rPr>
          <w:lang w:val="sq-AL"/>
        </w:rPr>
        <w:t>, prodhuesit apo palë të treta</w:t>
      </w:r>
      <w:r>
        <w:rPr>
          <w:lang w:val="sq-AL"/>
        </w:rPr>
        <w:t>,</w:t>
      </w:r>
      <w:r w:rsidRPr="002160D3">
        <w:rPr>
          <w:lang w:val="sq-AL"/>
        </w:rPr>
        <w:t xml:space="preserve"> që veprojnë në emër të tyre e kryejnë vetë grumbullimin.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4. Grumbullimi, transportimi dhe magazinimi i MPEE-ve të grumbulluara në mënyrë të diferencuar sipas pikave 1, 2 dhe 3 të këtij kreu, kryhen nga subjekte të pajisura me licencën e nënkategorisë </w:t>
      </w:r>
      <w:proofErr w:type="spellStart"/>
      <w:r w:rsidRPr="002160D3">
        <w:rPr>
          <w:lang w:val="sq-AL"/>
        </w:rPr>
        <w:t>III.2.B</w:t>
      </w:r>
      <w:proofErr w:type="spellEnd"/>
      <w:r w:rsidRPr="002160D3">
        <w:rPr>
          <w:lang w:val="sq-AL"/>
        </w:rPr>
        <w:t xml:space="preserve"> “Veprimtaritë e tjera profesionale lidhur me ndikimin në mjedis”, dhe në mënyrë të tillë, që të maksimizohet së pari ripërdorimi i pajisjeve të plota ose i pjesëve të tyre dhe</w:t>
      </w:r>
      <w:r>
        <w:rPr>
          <w:lang w:val="sq-AL"/>
        </w:rPr>
        <w:t>,</w:t>
      </w:r>
      <w:r w:rsidRPr="002160D3">
        <w:rPr>
          <w:lang w:val="sq-AL"/>
        </w:rPr>
        <w:t xml:space="preserve"> më pas</w:t>
      </w:r>
      <w:r>
        <w:rPr>
          <w:lang w:val="sq-AL"/>
        </w:rPr>
        <w:t>,</w:t>
      </w:r>
      <w:r w:rsidRPr="002160D3">
        <w:rPr>
          <w:lang w:val="sq-AL"/>
        </w:rPr>
        <w:t xml:space="preserve"> riciklimi i pjesëve dhe përbërësve të tyre.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lastRenderedPageBreak/>
        <w:t xml:space="preserve">5. Me përjashtim të MPEE-ve të grumbulluara në mënyrë të diferencuar sipas pikave 1, 2 dhe 3 të këtij kreu, dhe që ripërdoren në trajtën e tyre të plotë, pjesa tjetër e MPEE-ve të grumbulluara transportohen në vende/impiante trajtimi të pajisura me licencën e nënkategorisë </w:t>
      </w:r>
      <w:proofErr w:type="spellStart"/>
      <w:r w:rsidRPr="002160D3">
        <w:rPr>
          <w:lang w:val="sq-AL"/>
        </w:rPr>
        <w:t>III.2.B</w:t>
      </w:r>
      <w:proofErr w:type="spellEnd"/>
      <w:r w:rsidRPr="002160D3">
        <w:rPr>
          <w:lang w:val="sq-AL"/>
        </w:rPr>
        <w:t xml:space="preserve"> “Veprimtaritë e tjera profesionale lidhur me ndikimin në mjedis”.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6. Kuota minimale e detyrueshme e grumbullimit të diferencuar të MPEE-ve në nivel kombëtar është mesatarisht 4 kg/për banor/vit për MPEE-të e përdoruesve shtëpiakë.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7. Njësitë e qeverisjes vendore përcaktojnë e miratojnë vendet e grumbullimit të diferencuar të MPEE-ve.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KREU VIII</w:t>
      </w: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TRAJTIMI, RICIKLIMI DHE RIKUPERIMI</w:t>
      </w:r>
    </w:p>
    <w:p w:rsidR="0054123E" w:rsidRPr="002160D3" w:rsidRDefault="0054123E" w:rsidP="0054123E">
      <w:pPr>
        <w:pStyle w:val="TitulliTitull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1. Prodhuesit ose palët e treta që veprojnë në emër të tyre ngrenë sisteme të posaçme për trajtimin, riciklimin dhe rikuperimin e MPEE-ve, duke përdorur teknikat më të mira të </w:t>
      </w:r>
      <w:proofErr w:type="spellStart"/>
      <w:r w:rsidRPr="002160D3">
        <w:rPr>
          <w:lang w:val="sq-AL"/>
        </w:rPr>
        <w:t>disponueshme</w:t>
      </w:r>
      <w:proofErr w:type="spellEnd"/>
      <w:r w:rsidRPr="002160D3">
        <w:rPr>
          <w:lang w:val="sq-AL"/>
        </w:rPr>
        <w:t xml:space="preserve"> për trajtimin, riciklimin dhe rikuperimin.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2. Prodhuesit krijojnë sisteme individuale ose kolektive për trajtimin, riciklimin dhe rikuperimin e MPEE-ve.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3. Trajtimi i MPEE-ve kryhet brenda ose jashtë territorit të Republikës së Shqipërisë</w:t>
      </w:r>
      <w:r>
        <w:rPr>
          <w:lang w:val="sq-AL"/>
        </w:rPr>
        <w:t>. Sa i takon trajtimit të MPEE-ve jashtë</w:t>
      </w:r>
      <w:r w:rsidRPr="002160D3">
        <w:rPr>
          <w:lang w:val="sq-AL"/>
        </w:rPr>
        <w:t xml:space="preserve"> territorit të Republikës së Shqipërisë, eksporti i MPEE-ve kryhet sipas legjislacionit në fuqi për eksportin e mbetjeve.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4. Prodhuesit ose palët e treta, që kryejnë veprimtarinë e trajtimit, riciklimit dhe rikuperimit, pajisen me leje mjedisi të kategorisë </w:t>
      </w:r>
      <w:proofErr w:type="spellStart"/>
      <w:r w:rsidRPr="002160D3">
        <w:rPr>
          <w:lang w:val="sq-AL"/>
        </w:rPr>
        <w:t>III.1</w:t>
      </w:r>
      <w:proofErr w:type="spellEnd"/>
      <w:r w:rsidRPr="002160D3">
        <w:rPr>
          <w:lang w:val="sq-AL"/>
        </w:rPr>
        <w:t xml:space="preserve"> dhe licencë të nënkategorisë </w:t>
      </w:r>
      <w:proofErr w:type="spellStart"/>
      <w:r w:rsidRPr="002160D3">
        <w:rPr>
          <w:lang w:val="sq-AL"/>
        </w:rPr>
        <w:t>III.2.B</w:t>
      </w:r>
      <w:proofErr w:type="spellEnd"/>
      <w:r w:rsidRPr="002160D3">
        <w:rPr>
          <w:lang w:val="sq-AL"/>
        </w:rPr>
        <w:t xml:space="preserve"> të fushës III, sipas përcaktimit të vendimit </w:t>
      </w:r>
      <w:r>
        <w:rPr>
          <w:lang w:val="sq-AL"/>
        </w:rPr>
        <w:t xml:space="preserve">nr. </w:t>
      </w:r>
      <w:r w:rsidRPr="002160D3">
        <w:rPr>
          <w:lang w:val="sq-AL"/>
        </w:rPr>
        <w:t>538,</w:t>
      </w:r>
      <w:r>
        <w:rPr>
          <w:lang w:val="sq-AL"/>
        </w:rPr>
        <w:t xml:space="preserve"> </w:t>
      </w:r>
      <w:r w:rsidRPr="002160D3">
        <w:rPr>
          <w:lang w:val="sq-AL"/>
        </w:rPr>
        <w:t>datë 26.5.2009 të Këshillit të Ministrave “Për licencat dhe lejet që trajtohen nga/apo nëpërmjet QKL-së dhe disa rregullime të tjera nënligjore të përbashkëta”.</w:t>
      </w:r>
    </w:p>
    <w:p w:rsidR="0054123E" w:rsidRPr="002160D3" w:rsidRDefault="0054123E" w:rsidP="0054123E">
      <w:pPr>
        <w:pStyle w:val="Paragrafi"/>
        <w:rPr>
          <w:lang w:val="sq-AL"/>
        </w:rPr>
      </w:pPr>
      <w:r>
        <w:rPr>
          <w:lang w:val="sq-AL"/>
        </w:rPr>
        <w:t>5</w:t>
      </w:r>
      <w:r w:rsidRPr="002160D3">
        <w:rPr>
          <w:lang w:val="sq-AL"/>
        </w:rPr>
        <w:t xml:space="preserve">. Prodhuesit ose palët e treta që merren me trajtimin: 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a) bëjnë </w:t>
      </w:r>
      <w:proofErr w:type="spellStart"/>
      <w:r w:rsidRPr="002160D3">
        <w:rPr>
          <w:lang w:val="sq-AL"/>
        </w:rPr>
        <w:t>minimalisht</w:t>
      </w:r>
      <w:proofErr w:type="spellEnd"/>
      <w:r w:rsidRPr="002160D3">
        <w:rPr>
          <w:lang w:val="sq-AL"/>
        </w:rPr>
        <w:t xml:space="preserve"> heqjen e të gjitha lëngjeve që përmbahen në MPEE dhe një trajtim të përzgjedhur sipas aneksit II, bashkëlidhur këtij vendimi; 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b) magazinojnë dhe përpunojnë MPEE-të në përputhje me kërkesat teknike të parashikuara në aneksin III, bashkëlidhur këtij vendimi.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6. Akti i miratimit për lejen e mjedisit të kategorisë </w:t>
      </w:r>
      <w:proofErr w:type="spellStart"/>
      <w:r w:rsidRPr="002160D3">
        <w:rPr>
          <w:lang w:val="sq-AL"/>
        </w:rPr>
        <w:t>III.1</w:t>
      </w:r>
      <w:proofErr w:type="spellEnd"/>
      <w:r w:rsidRPr="002160D3">
        <w:rPr>
          <w:lang w:val="sq-AL"/>
        </w:rPr>
        <w:t xml:space="preserve"> dhe licencën e nënkategorisë </w:t>
      </w:r>
      <w:proofErr w:type="spellStart"/>
      <w:r w:rsidRPr="002160D3">
        <w:rPr>
          <w:lang w:val="sq-AL"/>
        </w:rPr>
        <w:t>III.2.B</w:t>
      </w:r>
      <w:proofErr w:type="spellEnd"/>
      <w:r w:rsidRPr="002160D3">
        <w:rPr>
          <w:lang w:val="sq-AL"/>
        </w:rPr>
        <w:t xml:space="preserve"> të fushës III, sipas përcaktimit të bërë në</w:t>
      </w:r>
      <w:r>
        <w:rPr>
          <w:lang w:val="sq-AL"/>
        </w:rPr>
        <w:t xml:space="preserve"> </w:t>
      </w:r>
      <w:r w:rsidRPr="002160D3">
        <w:rPr>
          <w:lang w:val="sq-AL"/>
        </w:rPr>
        <w:t xml:space="preserve">vendimin </w:t>
      </w:r>
      <w:r>
        <w:rPr>
          <w:lang w:val="sq-AL"/>
        </w:rPr>
        <w:t xml:space="preserve">nr. </w:t>
      </w:r>
      <w:r w:rsidRPr="002160D3">
        <w:rPr>
          <w:lang w:val="sq-AL"/>
        </w:rPr>
        <w:t>538, datë 26.5.2009 të Këshillit të Ministrave “Për licencat dhe lejet që trajtohen nga/apo nëpërmjet QKL-së dhe disa rregullime të tjera nënligjore të përbashkëta”, përfshin të gjitha kushtet e nevojshme që plotësojnë kërkesat e pikave 2, 3 dhe 5 të këtij kreu, me qëllim arritjen e objektivave të përcaktuar në kreun VII të këtij vendimi.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7. Ministria dhe ministria përgjegjëse për ekonominë nxitin prodhuesit ose palët e treta të përfshihen në skemat e </w:t>
      </w:r>
      <w:proofErr w:type="spellStart"/>
      <w:r w:rsidRPr="002160D3">
        <w:rPr>
          <w:lang w:val="sq-AL"/>
        </w:rPr>
        <w:t>ekomenaxhimit</w:t>
      </w:r>
      <w:proofErr w:type="spellEnd"/>
      <w:r w:rsidRPr="002160D3">
        <w:rPr>
          <w:lang w:val="sq-AL"/>
        </w:rPr>
        <w:t xml:space="preserve"> dhe </w:t>
      </w:r>
      <w:proofErr w:type="spellStart"/>
      <w:r w:rsidRPr="002160D3">
        <w:rPr>
          <w:lang w:val="sq-AL"/>
        </w:rPr>
        <w:t>ekoauditimit</w:t>
      </w:r>
      <w:proofErr w:type="spellEnd"/>
      <w:r w:rsidRPr="002160D3">
        <w:rPr>
          <w:lang w:val="sq-AL"/>
        </w:rPr>
        <w:t xml:space="preserve"> (EMAS).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8. Ministria dhe ministria përgjegjëse për ekonominë nxitin zhvillimin e teknologjive të reja të trajtimit, riciklimit dhe rikuperimit.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KREU IX</w:t>
      </w: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MONITORIMI I REZULTATEVE DHE RAPORTIMI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1. Objektivat minimalë të detyrueshëm për MPEE-të e grumbulluara në mënyrë të diferencuar dhe të trajtuara sipas kërkesave të kreut VIII nga çdo prodhues, deri më 1 janar të vitit 2015 janë, si më poshtë vijon: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a) Për MPEE-të e kategorive</w:t>
      </w:r>
      <w:r>
        <w:rPr>
          <w:lang w:val="sq-AL"/>
        </w:rPr>
        <w:t xml:space="preserve"> 1 dhe 10 të aneksit IA</w:t>
      </w:r>
      <w:r w:rsidRPr="002160D3">
        <w:rPr>
          <w:lang w:val="sq-AL"/>
        </w:rPr>
        <w:t>: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i)</w:t>
      </w:r>
      <w:r>
        <w:rPr>
          <w:lang w:val="sq-AL"/>
        </w:rPr>
        <w:t xml:space="preserve"> </w:t>
      </w:r>
      <w:r w:rsidRPr="002160D3">
        <w:rPr>
          <w:lang w:val="sq-AL"/>
        </w:rPr>
        <w:t>përqindja e rikuperimit të jetë 80% e peshës mesatare të pajisjes;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ii) përqindja e ripërdorimit dhe riciklimit të pjesëve përbërëse, materialeve dhe substancave </w:t>
      </w:r>
      <w:r w:rsidRPr="002160D3">
        <w:rPr>
          <w:lang w:val="sq-AL"/>
        </w:rPr>
        <w:lastRenderedPageBreak/>
        <w:t xml:space="preserve">të jetë 75% e peshës mesatare të pajisjes; 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b) Për MPEE-të e k</w:t>
      </w:r>
      <w:r>
        <w:rPr>
          <w:lang w:val="sq-AL"/>
        </w:rPr>
        <w:t>ategorive 3 dhe 4 të aneksit IA</w:t>
      </w:r>
      <w:r w:rsidRPr="002160D3">
        <w:rPr>
          <w:lang w:val="sq-AL"/>
        </w:rPr>
        <w:t>: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i) përqindja e rikuperimit</w:t>
      </w:r>
      <w:r>
        <w:rPr>
          <w:lang w:val="sq-AL"/>
        </w:rPr>
        <w:t xml:space="preserve"> </w:t>
      </w:r>
      <w:r w:rsidRPr="002160D3">
        <w:rPr>
          <w:lang w:val="sq-AL"/>
        </w:rPr>
        <w:t>të jetë</w:t>
      </w:r>
      <w:r>
        <w:rPr>
          <w:lang w:val="sq-AL"/>
        </w:rPr>
        <w:t xml:space="preserve"> </w:t>
      </w:r>
      <w:r w:rsidRPr="002160D3">
        <w:rPr>
          <w:lang w:val="sq-AL"/>
        </w:rPr>
        <w:t>75% e peshës mesatare të pajisjes;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ii) përqindja e ripërdorimit dhe riciklimit të pjesëve përbërëse, materialeve dhe substancave të jetë 65% e peshës mesatare të pajisjes.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c) Për MPEE-të e kategorive</w:t>
      </w:r>
      <w:r>
        <w:rPr>
          <w:lang w:val="sq-AL"/>
        </w:rPr>
        <w:t xml:space="preserve"> </w:t>
      </w:r>
      <w:r w:rsidRPr="002160D3">
        <w:rPr>
          <w:lang w:val="sq-AL"/>
        </w:rPr>
        <w:t>2,</w:t>
      </w:r>
      <w:r>
        <w:rPr>
          <w:lang w:val="sq-AL"/>
        </w:rPr>
        <w:t xml:space="preserve"> 5, 6, 7, 8 dhe 9 të aneksit IA</w:t>
      </w:r>
      <w:r w:rsidRPr="002160D3">
        <w:rPr>
          <w:lang w:val="sq-AL"/>
        </w:rPr>
        <w:t>: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i)</w:t>
      </w:r>
      <w:r>
        <w:rPr>
          <w:lang w:val="sq-AL"/>
        </w:rPr>
        <w:t xml:space="preserve"> </w:t>
      </w:r>
      <w:r w:rsidRPr="002160D3">
        <w:rPr>
          <w:lang w:val="sq-AL"/>
        </w:rPr>
        <w:t>përqindja e rikuperimit të jetë 70% e peshës mesatare të pajisjes;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ii) përqindja e ripërdorimit dhe riciklimit të pjesëve përbërëse, materialeve dhe substancave të jetë 50% e peshës mesatare të pajisjes;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ç) Për llambat me përmbajtje gazi, përqindja e ripërdorimit dhe riciklimit të pjesëve përbërëse, materialeve dhe substancave të jetë 80% e peshës së llambës.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2. Prodhuesit ose palët e treta, që veprojnë në emër të tyre, matin dhe regjistrojnë në regjistrat e tyre të krijuar për këtë qëllim peshën e çdo PEE-je, MPEE-je, të pjesëve përbërëse, materialeve ose substancave të tyre kur futen dhe kur dalin nga vendet/impiantet e trajtimit, rikuperimit dhe/ose riciklimit dhe llogaritin përqindjet përkatëse sipas përcaktimeve të bëra në shkronjat</w:t>
      </w:r>
      <w:r>
        <w:rPr>
          <w:lang w:val="sq-AL"/>
        </w:rPr>
        <w:t xml:space="preserve"> </w:t>
      </w:r>
      <w:r w:rsidRPr="002160D3">
        <w:rPr>
          <w:lang w:val="sq-AL"/>
        </w:rPr>
        <w:t>“a”, “b”, “c” dhe “ç” të pikës 1, të realizuara prej tyre.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3. Pajisjet e plota të përmendura në pikën 4 të kreut VII, nuk merren n</w:t>
      </w:r>
      <w:r>
        <w:rPr>
          <w:lang w:val="sq-AL"/>
        </w:rPr>
        <w:t>ë</w:t>
      </w:r>
      <w:r w:rsidRPr="002160D3">
        <w:rPr>
          <w:lang w:val="sq-AL"/>
        </w:rPr>
        <w:t xml:space="preserve"> konsideratë kur llogariten përqindjet e përcaktuara në pikën 1 të këtij kreu.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4. Subjektet e përcaktuara në pikën 2 të këtij kreu, brenda datës 31 janar të çdo viti, raportojnë në njësinë përkatëse të qeverisjes vendore për peshën totale të hyrjeve dhe daljeve të përcaktuara në pikën 2 dhe për përqindjet përkatëse të realizuara prej tyre sipas përcaktimeve të bëra në shkronjat</w:t>
      </w:r>
      <w:r>
        <w:rPr>
          <w:lang w:val="sq-AL"/>
        </w:rPr>
        <w:t xml:space="preserve"> </w:t>
      </w:r>
      <w:r w:rsidRPr="002160D3">
        <w:rPr>
          <w:lang w:val="sq-AL"/>
        </w:rPr>
        <w:t>“a”, “b”, “c” dhe “ç” të pikës 1, për vitin paraardhës.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5. Njësitë e qeverisjes vendore llogaritin peshën totale të hyrjeve dhe daljeve në territorin nën juridiksionin e tyre dhe përqindjet përkatëse sipas përcaktimeve të bëra në shkronjat “a”, “b”, “c” dhe “ç” të pikës 1, gjatë vitit kalendarik paraardhës dhe i regjistrojnë ato në regjistrat e tyre të krijuar për këtë qëllim.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6. Njësitë e qeverisjes vendore raportojnë brenda muajit prill të çdo viti në agjenci për rezultatet e llogaritjeve të bëra për vitin paraardhës sipas pikës 8 të këtij kreu.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7. Drejtoria e Përgjithshme e Doganave raporton brenda muajit mars të çdo viti në agjenci për importet dhe eksportet e PEE-ve dhe eksportet </w:t>
      </w:r>
      <w:r>
        <w:rPr>
          <w:lang w:val="sq-AL"/>
        </w:rPr>
        <w:t xml:space="preserve">e </w:t>
      </w:r>
      <w:r w:rsidRPr="002160D3">
        <w:rPr>
          <w:lang w:val="sq-AL"/>
        </w:rPr>
        <w:t>MPEE-ve për vitin paraardhës sipas legjislacionit në fuqi dhe udhëzimit të përbashkët të Ministrit të Financave dhe ministrit përgjegjës për mjedisin për përcaktimin e kodeve tarifore për aneksin IB, bashkëlidhur këtij vendimi.</w:t>
      </w:r>
    </w:p>
    <w:p w:rsidR="0054123E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8. Agjencia llogarit peshën totale të hyrjeve dhe daljeve të përcaktuara në pikën 2 dhe përqindjet e realizuara sipas shkronjave “a”, “b”, “c” dhe “ç” të</w:t>
      </w:r>
      <w:r>
        <w:rPr>
          <w:lang w:val="sq-AL"/>
        </w:rPr>
        <w:t xml:space="preserve"> </w:t>
      </w:r>
      <w:r w:rsidRPr="002160D3">
        <w:rPr>
          <w:lang w:val="sq-AL"/>
        </w:rPr>
        <w:t>pikës 1, në territorin e Republikës së Shqipërisë dhe i regjistron ato në regjistrat e krijuar për këtë qëllim.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9. Agjencia mban të dhënat vjetore për çdo prodhues, për sasitë dhe kategoritë e PEE-ve të hedhura në treg prej tyre, të grumbulluara sipas mënyrave të ndryshme, të ripërdorura, të ricikluara e të </w:t>
      </w:r>
      <w:proofErr w:type="spellStart"/>
      <w:r w:rsidRPr="002160D3">
        <w:rPr>
          <w:lang w:val="sq-AL"/>
        </w:rPr>
        <w:t>rikuperuara</w:t>
      </w:r>
      <w:proofErr w:type="spellEnd"/>
      <w:r w:rsidRPr="002160D3">
        <w:rPr>
          <w:lang w:val="sq-AL"/>
        </w:rPr>
        <w:t xml:space="preserve"> në territorin e Republikës së Shqipërisë, si dhe për mbetjet e grumbulluara që janë eksportuar.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10. Prodhuesit ose palët e treta që veprojnë në emër të tyre dhe Drejtoria e Përgjithshme e Doganave, kur matja e PEE-ve dhe MPEE-ve në peshë nuk është e mundur, raportojnë në bazë të numrit të tyre. 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KREU X</w:t>
      </w: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KOSTOT E MENAXHIMIT TË MPEE-</w:t>
      </w:r>
      <w:r w:rsidRPr="002160D3">
        <w:rPr>
          <w:caps w:val="0"/>
          <w:lang w:val="sq-AL"/>
        </w:rPr>
        <w:t>ve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1. Kostot e menaxhimit për MPEE-të nga përdoruesit shtëpiakë janë, si më poshtë vijon: 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a) Prodhuesit, deri në</w:t>
      </w:r>
      <w:r>
        <w:rPr>
          <w:lang w:val="sq-AL"/>
        </w:rPr>
        <w:t xml:space="preserve"> </w:t>
      </w:r>
      <w:r w:rsidRPr="002160D3">
        <w:rPr>
          <w:lang w:val="sq-AL"/>
        </w:rPr>
        <w:t xml:space="preserve">fund të muajit gusht 2015 financojnë të paktën grumbullimin e </w:t>
      </w:r>
      <w:r w:rsidRPr="002160D3">
        <w:rPr>
          <w:lang w:val="sq-AL"/>
        </w:rPr>
        <w:lastRenderedPageBreak/>
        <w:t>diferencuar, trajtimin, rikuperimin dhe asgjësimin e sigurt nga pikëpamja e mjedisit të MPEE-ve shtëpiake, të grumbulluara në vendet e grumbullimit</w:t>
      </w:r>
      <w:r>
        <w:rPr>
          <w:lang w:val="sq-AL"/>
        </w:rPr>
        <w:t>,</w:t>
      </w:r>
      <w:r w:rsidRPr="002160D3">
        <w:rPr>
          <w:lang w:val="sq-AL"/>
        </w:rPr>
        <w:t xml:space="preserve"> të krijuara sipas kërkesave të pikës 2 të kreut VII të këtij vendimi.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b)</w:t>
      </w:r>
      <w:r>
        <w:rPr>
          <w:lang w:val="sq-AL"/>
        </w:rPr>
        <w:t xml:space="preserve"> </w:t>
      </w:r>
      <w:r w:rsidRPr="002160D3">
        <w:rPr>
          <w:lang w:val="sq-AL"/>
        </w:rPr>
        <w:t>Për produktet që hidhen në treg pas muajit gusht 2015, prodhuesi financon operacionet e përcaktuara në shkronjën “a” të kësaj pike, për mbetjet e produkteve të veta. Prodhuesi e përmbush këtë detyrim individualisht ose duke iu bashkuar një skeme kolektive.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c) Sa herë që hedh në treg një produkt të ri</w:t>
      </w:r>
      <w:r>
        <w:rPr>
          <w:lang w:val="sq-AL"/>
        </w:rPr>
        <w:t>,</w:t>
      </w:r>
      <w:r w:rsidRPr="002160D3">
        <w:rPr>
          <w:lang w:val="sq-AL"/>
        </w:rPr>
        <w:t xml:space="preserve"> prodhuesi vendos një garanci që siguron dhe garanton se do të financojë menaxhimin e MPEE-ve të tij. Garancia do të vendoset dhe do të garantohet në një nga format e njohura ligjore nga një institucion financiar i licencuar sipas legjislacionit në fuqi ose si një llogari bankare e ngrirë. 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ç) Kur shet produkte të reja, prodhuesi nuk u tregon blerësve kostot e menaxhimit të MPEE-ve të ndara në mënyrë të veçantë.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d) Prodhuesit, në përpjesëtim me kuotën përkatëse</w:t>
      </w:r>
      <w:r>
        <w:rPr>
          <w:lang w:val="sq-AL"/>
        </w:rPr>
        <w:t>,</w:t>
      </w:r>
      <w:r w:rsidRPr="002160D3">
        <w:rPr>
          <w:lang w:val="sq-AL"/>
        </w:rPr>
        <w:t xml:space="preserve"> që kanë aktualisht në treg për çdo lloj pajisjeje, përmes një ose disa sistemeve që krijohen për këtë qëllim, financojnë edhe menaxhimin e MPEE-ve historike të produkteve të ngjashme</w:t>
      </w:r>
      <w:r>
        <w:rPr>
          <w:lang w:val="sq-AL"/>
        </w:rPr>
        <w:t>,</w:t>
      </w:r>
      <w:r w:rsidRPr="002160D3">
        <w:rPr>
          <w:lang w:val="sq-AL"/>
        </w:rPr>
        <w:t xml:space="preserve"> që janë hedhur në treg përpara datës së përcaktuar në shkronjën “a” të kësaj pike, por që trajtohen aktualisht.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2. Kostot e menaxhimit për MPEE-të n</w:t>
      </w:r>
      <w:r>
        <w:rPr>
          <w:lang w:val="sq-AL"/>
        </w:rPr>
        <w:t xml:space="preserve">ga përdoruesit </w:t>
      </w:r>
      <w:proofErr w:type="spellStart"/>
      <w:r>
        <w:rPr>
          <w:lang w:val="sq-AL"/>
        </w:rPr>
        <w:t>joshtëpiakë</w:t>
      </w:r>
      <w:proofErr w:type="spellEnd"/>
      <w:r>
        <w:rPr>
          <w:lang w:val="sq-AL"/>
        </w:rPr>
        <w:t xml:space="preserve"> janë</w:t>
      </w:r>
      <w:r w:rsidRPr="002160D3">
        <w:rPr>
          <w:lang w:val="sq-AL"/>
        </w:rPr>
        <w:t xml:space="preserve"> si më poshtë vijon: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a) Për produktet që hidhen në treg</w:t>
      </w:r>
      <w:r>
        <w:rPr>
          <w:lang w:val="sq-AL"/>
        </w:rPr>
        <w:t>,</w:t>
      </w:r>
      <w:r w:rsidRPr="002160D3">
        <w:rPr>
          <w:lang w:val="sq-AL"/>
        </w:rPr>
        <w:t xml:space="preserve"> duke filluar pas fundit të muajit gusht 2015, prodhuesit financojnë </w:t>
      </w:r>
      <w:proofErr w:type="spellStart"/>
      <w:r w:rsidRPr="002160D3">
        <w:rPr>
          <w:lang w:val="sq-AL"/>
        </w:rPr>
        <w:t>minimalisht</w:t>
      </w:r>
      <w:proofErr w:type="spellEnd"/>
      <w:r w:rsidRPr="002160D3">
        <w:rPr>
          <w:lang w:val="sq-AL"/>
        </w:rPr>
        <w:t xml:space="preserve"> kostot e grumbullimit, trajtimit, rikuperimit dhe asgjësimit të sigurt, që vijnë nga MPEE-të nga përdoruesit </w:t>
      </w:r>
      <w:proofErr w:type="spellStart"/>
      <w:r w:rsidRPr="002160D3">
        <w:rPr>
          <w:lang w:val="sq-AL"/>
        </w:rPr>
        <w:t>joshtëpiakë</w:t>
      </w:r>
      <w:proofErr w:type="spellEnd"/>
      <w:r w:rsidRPr="002160D3">
        <w:rPr>
          <w:lang w:val="sq-AL"/>
        </w:rPr>
        <w:t>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b) Për MPEE-të nga produktet e hedhura në treg përpara muajit gusht 2015 (mbetje historike), financimi i kostove të menaxhimit do të jetë: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i) </w:t>
      </w:r>
      <w:r>
        <w:rPr>
          <w:lang w:val="sq-AL"/>
        </w:rPr>
        <w:t>Prodhuesit</w:t>
      </w:r>
      <w:r w:rsidRPr="002160D3">
        <w:rPr>
          <w:lang w:val="sq-AL"/>
        </w:rPr>
        <w:t xml:space="preserve"> që hedhin në treg produkte PEE, që zëvendësojnë produktet e hedhura në treg përpara muajit gusht 2015 me produkte të reja ekuivalente apo që përmbushin të njëjtat funksione, financojnë kostot e menaxhimit të mbetjeve historike</w:t>
      </w:r>
      <w:r>
        <w:rPr>
          <w:lang w:val="sq-AL"/>
        </w:rPr>
        <w:t>,</w:t>
      </w:r>
      <w:r w:rsidRPr="002160D3">
        <w:rPr>
          <w:lang w:val="sq-AL"/>
        </w:rPr>
        <w:t xml:space="preserve"> individualisht, së bashku me përdoruesit </w:t>
      </w:r>
      <w:proofErr w:type="spellStart"/>
      <w:r w:rsidRPr="002160D3">
        <w:rPr>
          <w:lang w:val="sq-AL"/>
        </w:rPr>
        <w:t>joshtëpiakë</w:t>
      </w:r>
      <w:proofErr w:type="spellEnd"/>
      <w:r w:rsidRPr="002160D3">
        <w:rPr>
          <w:lang w:val="sq-AL"/>
        </w:rPr>
        <w:t xml:space="preserve"> të tyre ose u kërkojnë këtyre të fundit pagimin e plotë të kostove të menaxhimit. 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ii) Përdoruesit </w:t>
      </w:r>
      <w:proofErr w:type="spellStart"/>
      <w:r w:rsidRPr="002160D3">
        <w:rPr>
          <w:lang w:val="sq-AL"/>
        </w:rPr>
        <w:t>joshtëpiakë</w:t>
      </w:r>
      <w:proofErr w:type="spellEnd"/>
      <w:r w:rsidRPr="002160D3">
        <w:rPr>
          <w:lang w:val="sq-AL"/>
        </w:rPr>
        <w:t xml:space="preserve"> financojnë kostot e mbetjeve të tjera historike</w:t>
      </w:r>
      <w:r>
        <w:rPr>
          <w:lang w:val="sq-AL"/>
        </w:rPr>
        <w:t>,</w:t>
      </w:r>
      <w:r w:rsidRPr="002160D3">
        <w:rPr>
          <w:lang w:val="sq-AL"/>
        </w:rPr>
        <w:t xml:space="preserve"> që nuk përcaktohen në shkronjën “i”.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c) Prodhuesit dhe përdoruesit, pavarësisht nga kërkesat e këtij vendimi, negociojnë sipas rastit marrëveshje që përcaktojnë edhe metoda të tjera financimi.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KREU XI</w:t>
      </w: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INFORMIMI I PËRDORUESVE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1.</w:t>
      </w:r>
      <w:r>
        <w:rPr>
          <w:lang w:val="sq-AL"/>
        </w:rPr>
        <w:t xml:space="preserve"> </w:t>
      </w:r>
      <w:r w:rsidRPr="002160D3">
        <w:rPr>
          <w:lang w:val="sq-AL"/>
        </w:rPr>
        <w:t>Prodhuesit e PEE-ve për përdorime shtëpiake informojnë përdoruesit në lidhje me: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a) kërkesat për të mos hedhur MPEE si mbetje shtëpiake të pandara dhe që këto MPEE të grumbullohen në mënyrë të diferencuar;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b) sistemet e kthimit dhe të grumbullimit që janë në dispozicion të tyre;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c) rolin dhe kontributin e tyre në ripërdorimin, riciklimin dhe forma të tjera rikuperimi të MPEE-ve;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ç) efektet potenciale në mjedis dhe në shëndet</w:t>
      </w:r>
      <w:r>
        <w:rPr>
          <w:lang w:val="sq-AL"/>
        </w:rPr>
        <w:t>,</w:t>
      </w:r>
      <w:r w:rsidRPr="002160D3">
        <w:rPr>
          <w:lang w:val="sq-AL"/>
        </w:rPr>
        <w:t xml:space="preserve"> si rezultat i prezencës së substancave të rrezikshme që gjenden në PEE;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d) kuptimin e simbolit siç tregohet në aneksin IV, bashkëlidhur këtij vendimi.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2. Prodhuesit, për produktet e hedhura në treg pas muajit gusht 2015, me qëllim që të minimizojnë asgjësimin e MPEE-ve si mbetje bashkiake e pandarë dhe për të lehtësuar grumbullimin e tyre të diferencuar, vendosin mbi PEE simbolin e treguar në aneksin IV, bashkëlidhur këtij vendimi.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 3. Prodhuesit, në</w:t>
      </w:r>
      <w:r>
        <w:rPr>
          <w:lang w:val="sq-AL"/>
        </w:rPr>
        <w:t xml:space="preserve"> </w:t>
      </w:r>
      <w:r w:rsidRPr="002160D3">
        <w:rPr>
          <w:lang w:val="sq-AL"/>
        </w:rPr>
        <w:t xml:space="preserve">mënyrë </w:t>
      </w:r>
      <w:proofErr w:type="spellStart"/>
      <w:r w:rsidRPr="002160D3">
        <w:rPr>
          <w:lang w:val="sq-AL"/>
        </w:rPr>
        <w:t>përjashtimore</w:t>
      </w:r>
      <w:proofErr w:type="spellEnd"/>
      <w:r w:rsidRPr="002160D3">
        <w:rPr>
          <w:lang w:val="sq-AL"/>
        </w:rPr>
        <w:t>,</w:t>
      </w:r>
      <w:r>
        <w:rPr>
          <w:lang w:val="sq-AL"/>
        </w:rPr>
        <w:t xml:space="preserve"> </w:t>
      </w:r>
      <w:r w:rsidRPr="002160D3">
        <w:rPr>
          <w:lang w:val="sq-AL"/>
        </w:rPr>
        <w:t>e</w:t>
      </w:r>
      <w:r>
        <w:rPr>
          <w:lang w:val="sq-AL"/>
        </w:rPr>
        <w:t xml:space="preserve"> </w:t>
      </w:r>
      <w:r w:rsidRPr="002160D3">
        <w:rPr>
          <w:lang w:val="sq-AL"/>
        </w:rPr>
        <w:t xml:space="preserve">vendosin simbolin e treguar në aneksin IV mbi ambalazhin e produktit, në instruksionin e përdorimit dhe mbi garancinë e PEE-së, kur një gjë e tillë </w:t>
      </w:r>
      <w:r w:rsidRPr="002160D3">
        <w:rPr>
          <w:lang w:val="sq-AL"/>
        </w:rPr>
        <w:lastRenderedPageBreak/>
        <w:t>është e kushtëzuar nga përmasat ose funksioni i produktit.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4. Prodhuesit e japin këtë informacion në formë audioje, vizuale, elektronike, me shkrim, në pikat e shitjes, në instruksionin e përdorimit ose në ndonjë mënyrë tjetër.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5. Prodhuesit, në bashkëpunim me njësitë e qeverisjes vendore, marrin masat e nevojshme që konsumatorët të marrin pjesë në grumbullimin e diferencuar të MPEE-ve dhe i nxitin ata të lehtësojnë procesin e ripërdorimit, trajtimit dhe rikuperimit.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KREU XII</w:t>
      </w: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INFORMACION PËR VENDET E TRAJTIMIT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ab/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1. Prodhuesit, me qëllim që të lehtësojnë ripërdorimin dhe trajtimin e saktë dhe të padëmshëm të MPEE-ve nga pikëpamja e mjedisit, përfshirë mirëmbajtjen, përmirësimin, rinovimin/ristrukturimin dhe riciklimin dhe për të plotësuar kërkesat e këtij vendimi, një vit pasi çdo pa</w:t>
      </w:r>
      <w:r>
        <w:rPr>
          <w:lang w:val="sq-AL"/>
        </w:rPr>
        <w:t>jisje e re është hedhur në treg</w:t>
      </w:r>
      <w:r w:rsidRPr="002160D3">
        <w:rPr>
          <w:lang w:val="sq-AL"/>
        </w:rPr>
        <w:t>, ofrojnë për personat përgjegjës për vendet e magazinimit të përkohshëm dhe vendet e menaxhimit të mbetjeve informacion për mundësitë e ripërdorimit e të trajtimit të tyre.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2. Në informacionin sipas pikës 1 identifikohen përbërësit dhe materialet e ndryshme të PEE-ve</w:t>
      </w:r>
      <w:r>
        <w:rPr>
          <w:lang w:val="sq-AL"/>
        </w:rPr>
        <w:t>,</w:t>
      </w:r>
      <w:r w:rsidRPr="002160D3">
        <w:rPr>
          <w:lang w:val="sq-AL"/>
        </w:rPr>
        <w:t xml:space="preserve"> si dhe vendndodhja e substancave dhe preparateve të PEE-ve.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 xml:space="preserve">3. Informacioni ofrohet në formën e manualeve ose nëpërmjet </w:t>
      </w:r>
      <w:proofErr w:type="spellStart"/>
      <w:r w:rsidRPr="002160D3">
        <w:rPr>
          <w:lang w:val="sq-AL"/>
        </w:rPr>
        <w:t>medias</w:t>
      </w:r>
      <w:proofErr w:type="spellEnd"/>
      <w:r w:rsidRPr="002160D3">
        <w:rPr>
          <w:lang w:val="sq-AL"/>
        </w:rPr>
        <w:t xml:space="preserve"> elektronike (p.sh. CD-ROM, shërbime përmes internetit etj</w:t>
      </w:r>
      <w:r>
        <w:rPr>
          <w:lang w:val="sq-AL"/>
        </w:rPr>
        <w:t>.</w:t>
      </w:r>
      <w:r w:rsidRPr="002160D3">
        <w:rPr>
          <w:lang w:val="sq-AL"/>
        </w:rPr>
        <w:t>).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4. Prodhuesi i PEE-ve të hedhura në treg pas muajit gusht 2015 vendos mbi pajisje markën e vet për t’u identifikuar, si dhe një shënim që tregon se pajisja</w:t>
      </w:r>
      <w:r>
        <w:rPr>
          <w:lang w:val="sq-AL"/>
        </w:rPr>
        <w:t xml:space="preserve"> </w:t>
      </w:r>
      <w:r w:rsidRPr="002160D3">
        <w:rPr>
          <w:lang w:val="sq-AL"/>
        </w:rPr>
        <w:t xml:space="preserve">është hedhur në treg pas asaj date. 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KREU XIII</w:t>
      </w:r>
    </w:p>
    <w:p w:rsidR="0054123E" w:rsidRPr="002160D3" w:rsidRDefault="0054123E" w:rsidP="0054123E">
      <w:pPr>
        <w:pStyle w:val="TitulliTitull"/>
        <w:rPr>
          <w:lang w:val="sq-AL"/>
        </w:rPr>
      </w:pPr>
      <w:r w:rsidRPr="002160D3">
        <w:rPr>
          <w:lang w:val="sq-AL"/>
        </w:rPr>
        <w:t>ORGANET PËRGJEGJËSE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1. Ngarkohen ministria, ministria përgjegjëse për ekonominë, Agjencia Kombëtare e Mjedisit, Inspektorati Shtetëror i Mjedisit, Drejtoria e Përgjithshme e Doganave, njësitë e qeverisjes vendore dhe të gjithë personat, fizikë ose juridikë, të përmendur më lart, për zbatimin e këtij vendimi.</w:t>
      </w:r>
    </w:p>
    <w:p w:rsidR="0054123E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2. Ngarkohet struktura përgjegjëse për mbikëqyrjen e tregut, që për detyrimin e vendosjes në treg të pajisjeve elektrike dhe elektronike</w:t>
      </w:r>
      <w:r>
        <w:rPr>
          <w:lang w:val="sq-AL"/>
        </w:rPr>
        <w:t>,</w:t>
      </w:r>
      <w:r w:rsidRPr="002160D3">
        <w:rPr>
          <w:lang w:val="sq-AL"/>
        </w:rPr>
        <w:t xml:space="preserve"> sipas kërkesa</w:t>
      </w:r>
      <w:r>
        <w:rPr>
          <w:lang w:val="sq-AL"/>
        </w:rPr>
        <w:t xml:space="preserve">ve të këtij vendimi, të marrë </w:t>
      </w:r>
      <w:r w:rsidRPr="002160D3">
        <w:rPr>
          <w:lang w:val="sq-AL"/>
        </w:rPr>
        <w:t xml:space="preserve">masat e duhura sipas parashikimeve të ligjit </w:t>
      </w:r>
      <w:r>
        <w:rPr>
          <w:lang w:val="sq-AL"/>
        </w:rPr>
        <w:t xml:space="preserve">nr. </w:t>
      </w:r>
      <w:r w:rsidRPr="002160D3">
        <w:rPr>
          <w:lang w:val="sq-AL"/>
        </w:rPr>
        <w:t>10</w:t>
      </w:r>
      <w:r>
        <w:rPr>
          <w:lang w:val="sq-AL"/>
        </w:rPr>
        <w:t xml:space="preserve"> </w:t>
      </w:r>
      <w:r w:rsidRPr="002160D3">
        <w:rPr>
          <w:lang w:val="sq-AL"/>
        </w:rPr>
        <w:t>489, datë 15.12.2001 “Për tregtimin dhe mbikëqyrjen e tregut të produkteve joushqimore”.</w:t>
      </w:r>
    </w:p>
    <w:p w:rsidR="0054123E" w:rsidRPr="002160D3" w:rsidRDefault="0054123E" w:rsidP="0054123E">
      <w:pPr>
        <w:pStyle w:val="Paragrafi"/>
        <w:rPr>
          <w:lang w:val="sq-AL"/>
        </w:rPr>
      </w:pPr>
      <w:r w:rsidRPr="002160D3">
        <w:rPr>
          <w:lang w:val="sq-AL"/>
        </w:rPr>
        <w:t>Ky vendim hyn në fuqi pas botimit në Fletoren Zyrtare.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Autoriteti"/>
        <w:rPr>
          <w:lang w:val="sq-AL"/>
        </w:rPr>
      </w:pPr>
      <w:r w:rsidRPr="002160D3">
        <w:rPr>
          <w:lang w:val="sq-AL"/>
        </w:rPr>
        <w:t>Kryeministri</w:t>
      </w:r>
    </w:p>
    <w:p w:rsidR="0054123E" w:rsidRPr="002160D3" w:rsidRDefault="0054123E" w:rsidP="0054123E">
      <w:pPr>
        <w:pStyle w:val="AutoritetiEmer"/>
        <w:rPr>
          <w:lang w:val="sq-AL"/>
        </w:rPr>
      </w:pPr>
      <w:proofErr w:type="spellStart"/>
      <w:r w:rsidRPr="002160D3">
        <w:rPr>
          <w:lang w:val="sq-AL"/>
        </w:rPr>
        <w:t>Sali</w:t>
      </w:r>
      <w:proofErr w:type="spellEnd"/>
      <w:r w:rsidRPr="002160D3">
        <w:rPr>
          <w:lang w:val="sq-AL"/>
        </w:rPr>
        <w:t xml:space="preserve"> Berisha</w:t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758180" cy="327469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27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sz w:val="4"/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882005" cy="7957820"/>
            <wp:effectExtent l="1905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46" t="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05" cy="795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ind w:firstLine="0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758180" cy="810577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23E" w:rsidRPr="002160D3" w:rsidRDefault="0054123E" w:rsidP="0054123E">
      <w:pPr>
        <w:pStyle w:val="Paragrafi"/>
        <w:ind w:firstLine="0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918835" cy="8130540"/>
            <wp:effectExtent l="1905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835" cy="813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23E" w:rsidRPr="002160D3" w:rsidRDefault="0054123E" w:rsidP="0054123E">
      <w:pPr>
        <w:pStyle w:val="Paragrafi"/>
        <w:ind w:firstLine="0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758180" cy="522668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522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ind w:firstLine="0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758180" cy="6796405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806" b="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679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23E" w:rsidRPr="002160D3" w:rsidRDefault="0054123E" w:rsidP="0054123E">
      <w:pPr>
        <w:pStyle w:val="Paragrafi"/>
        <w:ind w:firstLine="0"/>
        <w:rPr>
          <w:lang w:val="sq-AL"/>
        </w:rPr>
      </w:pPr>
      <w:r>
        <w:rPr>
          <w:noProof/>
        </w:rPr>
        <w:drawing>
          <wp:inline distT="0" distB="0" distL="0" distR="0">
            <wp:extent cx="5721350" cy="140843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23" t="4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140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23E" w:rsidRPr="002160D3" w:rsidRDefault="0054123E" w:rsidP="0054123E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647055" cy="4460875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2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055" cy="446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23E" w:rsidRPr="002160D3" w:rsidRDefault="0054123E" w:rsidP="0054123E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drawing>
          <wp:inline distT="0" distB="0" distL="0" distR="0">
            <wp:extent cx="5659120" cy="3669665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294" b="2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366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ind w:firstLine="0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ind w:firstLine="0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ind w:firstLine="0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  <w:sectPr w:rsidR="0054123E" w:rsidRPr="002160D3" w:rsidSect="006C14EF">
          <w:headerReference w:type="even" r:id="rId15"/>
          <w:headerReference w:type="default" r:id="rId16"/>
          <w:footerReference w:type="even" r:id="rId17"/>
          <w:footerReference w:type="default" r:id="rId18"/>
          <w:pgSz w:w="11907" w:h="16840" w:code="9"/>
          <w:pgMar w:top="1418" w:right="1418" w:bottom="1418" w:left="1418" w:header="1588" w:footer="1134" w:gutter="0"/>
          <w:pgNumType w:start="11397"/>
          <w:cols w:space="720"/>
          <w:docGrid w:linePitch="360"/>
        </w:sect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  <w:sectPr w:rsidR="0054123E" w:rsidRPr="002160D3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54123E" w:rsidRPr="002160D3" w:rsidRDefault="0054123E" w:rsidP="0054123E">
      <w:pPr>
        <w:pStyle w:val="Paragrafi"/>
        <w:rPr>
          <w:lang w:val="sq-AL"/>
        </w:rPr>
      </w:pPr>
    </w:p>
    <w:p w:rsidR="00000000" w:rsidRDefault="0054123E"/>
    <w:sectPr w:rsidR="00000000" w:rsidSect="00AC76A2">
      <w:headerReference w:type="even" r:id="rId19"/>
      <w:headerReference w:type="default" r:id="rId20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23E" w:rsidRDefault="0054123E" w:rsidP="0054123E">
      <w:pPr>
        <w:spacing w:after="0" w:line="240" w:lineRule="auto"/>
      </w:pPr>
      <w:r>
        <w:separator/>
      </w:r>
    </w:p>
  </w:endnote>
  <w:endnote w:type="continuationSeparator" w:id="1">
    <w:p w:rsidR="0054123E" w:rsidRDefault="0054123E" w:rsidP="00541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23E" w:rsidRPr="006C14EF" w:rsidRDefault="0054123E">
    <w:pPr>
      <w:pStyle w:val="Footer"/>
      <w:rPr>
        <w:rFonts w:ascii="CG Times" w:hAnsi="CG Times"/>
        <w:sz w:val="22"/>
        <w:szCs w:val="22"/>
      </w:rPr>
    </w:pPr>
    <w:r w:rsidRPr="006C14EF">
      <w:rPr>
        <w:rFonts w:ascii="CG Times" w:hAnsi="CG Times"/>
        <w:sz w:val="22"/>
        <w:szCs w:val="22"/>
      </w:rPr>
      <w:fldChar w:fldCharType="begin"/>
    </w:r>
    <w:r w:rsidRPr="006C14EF">
      <w:rPr>
        <w:rFonts w:ascii="CG Times" w:hAnsi="CG Times"/>
        <w:sz w:val="22"/>
        <w:szCs w:val="22"/>
      </w:rPr>
      <w:instrText xml:space="preserve"> PAGE   \* MERGEFORMAT </w:instrText>
    </w:r>
    <w:r w:rsidRPr="006C14EF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2</w:t>
    </w:r>
    <w:r w:rsidRPr="006C14EF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23E" w:rsidRPr="006C14EF" w:rsidRDefault="0054123E">
    <w:pPr>
      <w:pStyle w:val="Footer"/>
      <w:jc w:val="right"/>
      <w:rPr>
        <w:rFonts w:ascii="CG Times" w:hAnsi="CG Times"/>
        <w:sz w:val="22"/>
        <w:szCs w:val="22"/>
      </w:rPr>
    </w:pPr>
    <w:r w:rsidRPr="006C14EF">
      <w:rPr>
        <w:rFonts w:ascii="CG Times" w:hAnsi="CG Times"/>
        <w:sz w:val="22"/>
        <w:szCs w:val="22"/>
      </w:rPr>
      <w:fldChar w:fldCharType="begin"/>
    </w:r>
    <w:r w:rsidRPr="006C14EF">
      <w:rPr>
        <w:rFonts w:ascii="CG Times" w:hAnsi="CG Times"/>
        <w:sz w:val="22"/>
        <w:szCs w:val="22"/>
      </w:rPr>
      <w:instrText xml:space="preserve"> PAGE   \* MERGEFORMAT </w:instrText>
    </w:r>
    <w:r w:rsidRPr="006C14EF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11397</w:t>
    </w:r>
    <w:r w:rsidRPr="006C14EF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23E" w:rsidRDefault="0054123E" w:rsidP="0054123E">
      <w:pPr>
        <w:spacing w:after="0" w:line="240" w:lineRule="auto"/>
      </w:pPr>
      <w:r>
        <w:separator/>
      </w:r>
    </w:p>
  </w:footnote>
  <w:footnote w:type="continuationSeparator" w:id="1">
    <w:p w:rsidR="0054123E" w:rsidRDefault="0054123E" w:rsidP="0054123E">
      <w:pPr>
        <w:spacing w:after="0" w:line="240" w:lineRule="auto"/>
      </w:pPr>
      <w:r>
        <w:continuationSeparator/>
      </w:r>
    </w:p>
  </w:footnote>
  <w:footnote w:id="2">
    <w:p w:rsidR="0054123E" w:rsidRPr="00B5775E" w:rsidRDefault="0054123E" w:rsidP="0054123E">
      <w:pPr>
        <w:jc w:val="both"/>
        <w:rPr>
          <w:sz w:val="16"/>
          <w:szCs w:val="16"/>
        </w:rPr>
      </w:pPr>
      <w:r>
        <w:rPr>
          <w:rStyle w:val="FootnoteReference"/>
        </w:rPr>
        <w:footnoteRef/>
      </w:r>
      <w:r w:rsidRPr="002D1A75"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16"/>
          <w:szCs w:val="16"/>
        </w:rPr>
        <w:t>Projektvendimi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transponon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</w:t>
      </w:r>
      <w:r w:rsidRPr="00B5775E">
        <w:rPr>
          <w:sz w:val="16"/>
          <w:szCs w:val="16"/>
        </w:rPr>
        <w:t>irektivën</w:t>
      </w:r>
      <w:proofErr w:type="spellEnd"/>
      <w:r>
        <w:rPr>
          <w:sz w:val="16"/>
          <w:szCs w:val="16"/>
        </w:rPr>
        <w:t xml:space="preserve"> </w:t>
      </w:r>
      <w:r w:rsidRPr="00B5775E">
        <w:rPr>
          <w:sz w:val="16"/>
          <w:szCs w:val="16"/>
        </w:rPr>
        <w:t>2002/96/EC</w:t>
      </w:r>
      <w:r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t</w:t>
      </w:r>
      <w:r w:rsidRPr="00B5775E">
        <w:rPr>
          <w:sz w:val="16"/>
          <w:szCs w:val="16"/>
          <w:lang w:eastAsia="ja-JP"/>
        </w:rPr>
        <w:t>ë</w:t>
      </w:r>
      <w:proofErr w:type="spellEnd"/>
      <w:r>
        <w:rPr>
          <w:sz w:val="16"/>
          <w:szCs w:val="16"/>
          <w:lang w:eastAsia="ja-JP"/>
        </w:rPr>
        <w:t xml:space="preserve"> </w:t>
      </w:r>
      <w:proofErr w:type="spellStart"/>
      <w:r w:rsidRPr="00B5775E">
        <w:rPr>
          <w:sz w:val="16"/>
          <w:szCs w:val="16"/>
        </w:rPr>
        <w:t>Parlamentit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dhe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Këshillit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Europian</w:t>
      </w:r>
      <w:proofErr w:type="spellEnd"/>
      <w:r w:rsidRPr="00B5775E">
        <w:rPr>
          <w:sz w:val="16"/>
          <w:szCs w:val="16"/>
        </w:rPr>
        <w:t xml:space="preserve">, e </w:t>
      </w:r>
      <w:proofErr w:type="spellStart"/>
      <w:r w:rsidRPr="00B5775E">
        <w:rPr>
          <w:sz w:val="16"/>
          <w:szCs w:val="16"/>
        </w:rPr>
        <w:t>datës</w:t>
      </w:r>
      <w:proofErr w:type="spellEnd"/>
      <w:r w:rsidRPr="00B5775E">
        <w:rPr>
          <w:sz w:val="16"/>
          <w:szCs w:val="16"/>
        </w:rPr>
        <w:t xml:space="preserve"> 27 </w:t>
      </w:r>
      <w:proofErr w:type="spellStart"/>
      <w:r w:rsidRPr="00B5775E">
        <w:rPr>
          <w:sz w:val="16"/>
          <w:szCs w:val="16"/>
        </w:rPr>
        <w:t>janar</w:t>
      </w:r>
      <w:proofErr w:type="spellEnd"/>
      <w:r w:rsidRPr="00B5775E">
        <w:rPr>
          <w:sz w:val="16"/>
          <w:szCs w:val="16"/>
        </w:rPr>
        <w:t xml:space="preserve"> 2003 “</w:t>
      </w:r>
      <w:proofErr w:type="spellStart"/>
      <w:r w:rsidRPr="00B5775E">
        <w:rPr>
          <w:sz w:val="16"/>
          <w:szCs w:val="16"/>
        </w:rPr>
        <w:t>Për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mbetjet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nga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pajisjet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elektrike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dhe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elektronike</w:t>
      </w:r>
      <w:proofErr w:type="spellEnd"/>
      <w:r w:rsidRPr="00B5775E">
        <w:rPr>
          <w:sz w:val="16"/>
          <w:szCs w:val="16"/>
        </w:rPr>
        <w:t xml:space="preserve"> (MPEE)” CELEX </w:t>
      </w:r>
      <w:r>
        <w:rPr>
          <w:sz w:val="16"/>
          <w:szCs w:val="16"/>
        </w:rPr>
        <w:t>nr.</w:t>
      </w:r>
      <w:proofErr w:type="gramEnd"/>
      <w:r>
        <w:rPr>
          <w:sz w:val="16"/>
          <w:szCs w:val="16"/>
        </w:rPr>
        <w:t xml:space="preserve"> </w:t>
      </w:r>
      <w:r w:rsidRPr="00B5775E">
        <w:rPr>
          <w:sz w:val="16"/>
          <w:szCs w:val="16"/>
        </w:rPr>
        <w:t>32006L0066;</w:t>
      </w:r>
      <w:r>
        <w:rPr>
          <w:sz w:val="16"/>
          <w:szCs w:val="16"/>
        </w:rPr>
        <w:t xml:space="preserve"> e </w:t>
      </w:r>
      <w:proofErr w:type="spellStart"/>
      <w:r>
        <w:rPr>
          <w:sz w:val="16"/>
          <w:szCs w:val="16"/>
        </w:rPr>
        <w:t>amenduar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nga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</w:t>
      </w:r>
      <w:r w:rsidRPr="00B5775E">
        <w:rPr>
          <w:sz w:val="16"/>
          <w:szCs w:val="16"/>
        </w:rPr>
        <w:t>irektiva</w:t>
      </w:r>
      <w:proofErr w:type="spellEnd"/>
      <w:r w:rsidRPr="00B5775E">
        <w:rPr>
          <w:sz w:val="16"/>
          <w:szCs w:val="16"/>
        </w:rPr>
        <w:t xml:space="preserve"> 2003/108/EC e </w:t>
      </w:r>
      <w:proofErr w:type="spellStart"/>
      <w:r w:rsidRPr="00B5775E">
        <w:rPr>
          <w:sz w:val="16"/>
          <w:szCs w:val="16"/>
        </w:rPr>
        <w:t>Parlamentit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Europian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dhe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Këshillit</w:t>
      </w:r>
      <w:proofErr w:type="spellEnd"/>
      <w:r w:rsidRPr="00B5775E">
        <w:rPr>
          <w:sz w:val="16"/>
          <w:szCs w:val="16"/>
        </w:rPr>
        <w:t xml:space="preserve"> e </w:t>
      </w:r>
      <w:proofErr w:type="spellStart"/>
      <w:r w:rsidRPr="00B5775E">
        <w:rPr>
          <w:sz w:val="16"/>
          <w:szCs w:val="16"/>
        </w:rPr>
        <w:t>datës</w:t>
      </w:r>
      <w:proofErr w:type="spellEnd"/>
      <w:r w:rsidRPr="00B5775E">
        <w:rPr>
          <w:sz w:val="16"/>
          <w:szCs w:val="16"/>
        </w:rPr>
        <w:t xml:space="preserve"> 8 </w:t>
      </w:r>
      <w:proofErr w:type="spellStart"/>
      <w:r w:rsidRPr="00B5775E">
        <w:rPr>
          <w:sz w:val="16"/>
          <w:szCs w:val="16"/>
        </w:rPr>
        <w:t>dhjetor</w:t>
      </w:r>
      <w:proofErr w:type="spellEnd"/>
      <w:r w:rsidRPr="00B5775E">
        <w:rPr>
          <w:sz w:val="16"/>
          <w:szCs w:val="16"/>
        </w:rPr>
        <w:t xml:space="preserve"> 2003.</w:t>
      </w:r>
    </w:p>
    <w:p w:rsidR="0054123E" w:rsidRPr="00B5775E" w:rsidRDefault="0054123E" w:rsidP="0054123E">
      <w:pPr>
        <w:jc w:val="both"/>
        <w:rPr>
          <w:sz w:val="16"/>
          <w:szCs w:val="16"/>
        </w:rPr>
      </w:pPr>
      <w:r w:rsidRPr="00B5775E">
        <w:rPr>
          <w:sz w:val="16"/>
          <w:szCs w:val="16"/>
        </w:rPr>
        <w:t xml:space="preserve"> </w:t>
      </w:r>
      <w:r w:rsidRPr="00523047">
        <w:rPr>
          <w:sz w:val="16"/>
          <w:szCs w:val="16"/>
        </w:rPr>
        <w:t xml:space="preserve">(CELEX </w:t>
      </w:r>
      <w:r>
        <w:rPr>
          <w:sz w:val="16"/>
          <w:szCs w:val="16"/>
        </w:rPr>
        <w:t xml:space="preserve">nr. </w:t>
      </w:r>
      <w:r w:rsidRPr="00523047">
        <w:rPr>
          <w:sz w:val="16"/>
          <w:szCs w:val="16"/>
        </w:rPr>
        <w:t>32003L0108);</w:t>
      </w:r>
      <w:r w:rsidRPr="00B5775E">
        <w:rPr>
          <w:sz w:val="16"/>
          <w:szCs w:val="16"/>
        </w:rPr>
        <w:t xml:space="preserve"> </w:t>
      </w:r>
    </w:p>
    <w:p w:rsidR="0054123E" w:rsidRPr="00B5775E" w:rsidRDefault="0054123E" w:rsidP="0054123E">
      <w:pPr>
        <w:jc w:val="both"/>
        <w:rPr>
          <w:sz w:val="16"/>
          <w:szCs w:val="16"/>
        </w:rPr>
      </w:pPr>
      <w:proofErr w:type="spellStart"/>
      <w:proofErr w:type="gramStart"/>
      <w:r w:rsidRPr="00B5775E">
        <w:rPr>
          <w:sz w:val="16"/>
          <w:szCs w:val="16"/>
        </w:rPr>
        <w:t>Direktiva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ësht</w:t>
      </w:r>
      <w:r w:rsidRPr="00B5775E">
        <w:rPr>
          <w:sz w:val="16"/>
          <w:szCs w:val="16"/>
          <w:lang w:eastAsia="ja-JP"/>
        </w:rPr>
        <w:t>ë</w:t>
      </w:r>
      <w:proofErr w:type="spellEnd"/>
      <w:r w:rsidRPr="00B5775E">
        <w:rPr>
          <w:sz w:val="16"/>
          <w:szCs w:val="16"/>
          <w:lang w:eastAsia="ja-JP"/>
        </w:rPr>
        <w:t xml:space="preserve"> </w:t>
      </w:r>
      <w:proofErr w:type="spellStart"/>
      <w:r w:rsidRPr="00B5775E">
        <w:rPr>
          <w:sz w:val="16"/>
          <w:szCs w:val="16"/>
          <w:lang w:eastAsia="ja-JP"/>
        </w:rPr>
        <w:t>m</w:t>
      </w:r>
      <w:r w:rsidRPr="00B5775E">
        <w:rPr>
          <w:sz w:val="16"/>
          <w:szCs w:val="16"/>
        </w:rPr>
        <w:t>iratuar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dhe</w:t>
      </w:r>
      <w:proofErr w:type="spellEnd"/>
      <w:r w:rsidRPr="00B5775E">
        <w:rPr>
          <w:sz w:val="16"/>
          <w:szCs w:val="16"/>
        </w:rPr>
        <w:t xml:space="preserve"> ka </w:t>
      </w:r>
      <w:proofErr w:type="spellStart"/>
      <w:r w:rsidRPr="00B5775E">
        <w:rPr>
          <w:sz w:val="16"/>
          <w:szCs w:val="16"/>
        </w:rPr>
        <w:t>hyrë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në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fuqi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në</w:t>
      </w:r>
      <w:proofErr w:type="spellEnd"/>
      <w:r w:rsidRPr="00B5775E">
        <w:rPr>
          <w:sz w:val="16"/>
          <w:szCs w:val="16"/>
        </w:rPr>
        <w:t xml:space="preserve"> </w:t>
      </w:r>
      <w:proofErr w:type="spellStart"/>
      <w:r w:rsidRPr="00B5775E">
        <w:rPr>
          <w:sz w:val="16"/>
          <w:szCs w:val="16"/>
        </w:rPr>
        <w:t>datë</w:t>
      </w:r>
      <w:r>
        <w:rPr>
          <w:sz w:val="16"/>
          <w:szCs w:val="16"/>
        </w:rPr>
        <w:t>n</w:t>
      </w:r>
      <w:proofErr w:type="spellEnd"/>
      <w:r>
        <w:rPr>
          <w:sz w:val="16"/>
          <w:szCs w:val="16"/>
        </w:rPr>
        <w:t xml:space="preserve"> 26.9.</w:t>
      </w:r>
      <w:r w:rsidRPr="00B5775E">
        <w:rPr>
          <w:sz w:val="16"/>
          <w:szCs w:val="16"/>
        </w:rPr>
        <w:t>2003</w:t>
      </w:r>
      <w:r>
        <w:rPr>
          <w:sz w:val="16"/>
          <w:szCs w:val="16"/>
        </w:rPr>
        <w:t>.</w:t>
      </w:r>
      <w:proofErr w:type="gramEnd"/>
    </w:p>
    <w:p w:rsidR="0054123E" w:rsidRPr="00B5775E" w:rsidRDefault="0054123E" w:rsidP="0054123E">
      <w:pPr>
        <w:pStyle w:val="FootnoteTex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23E" w:rsidRDefault="0054123E" w:rsidP="00FA48F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7" type="#_x0000_t75" style="width:125.5pt;height:31.15pt">
          <v:imagedata r:id="rId1" o:title="Flet Zyrt" croptop="1977f" cropbottom="3264f"/>
        </v:shape>
      </w:pict>
    </w:r>
  </w:p>
  <w:p w:rsidR="0054123E" w:rsidRPr="00AE7784" w:rsidRDefault="0054123E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23E" w:rsidRDefault="0054123E" w:rsidP="00A0512E">
    <w:pPr>
      <w:pStyle w:val="Header"/>
      <w:tabs>
        <w:tab w:val="clear" w:pos="4680"/>
        <w:tab w:val="clear" w:pos="9360"/>
      </w:tabs>
      <w:ind w:right="1134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3.15pt;height:31.15pt">
          <v:imagedata r:id="rId1" o:title="QBZ Logo" croptop="-7402f"/>
        </v:shape>
      </w:pict>
    </w:r>
  </w:p>
  <w:p w:rsidR="0054123E" w:rsidRPr="00213FDE" w:rsidRDefault="0054123E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C1E" w:rsidRDefault="0054123E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C1E" w:rsidRDefault="0054123E" w:rsidP="0039754A">
    <w:pPr>
      <w:pStyle w:val="Header"/>
      <w:ind w:left="-141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123E"/>
    <w:rsid w:val="00541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4123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54123E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54123E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54123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4123E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54123E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54123E"/>
    <w:rPr>
      <w:rFonts w:ascii="CG Times" w:eastAsia="MS Mincho" w:hAnsi="CG Times" w:cs="CG Times"/>
    </w:rPr>
  </w:style>
  <w:style w:type="paragraph" w:customStyle="1" w:styleId="TitulliTitull">
    <w:name w:val="Titulli_Titull"/>
    <w:link w:val="TitulliTitullChar"/>
    <w:rsid w:val="0054123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caps/>
      <w:lang w:val="en-GB"/>
    </w:rPr>
  </w:style>
  <w:style w:type="paragraph" w:styleId="Footer">
    <w:name w:val="footer"/>
    <w:basedOn w:val="Normal"/>
    <w:link w:val="FooterChar"/>
    <w:uiPriority w:val="99"/>
    <w:rsid w:val="0054123E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customStyle="1" w:styleId="FooterChar">
    <w:name w:val="Footer Char"/>
    <w:basedOn w:val="DefaultParagraphFont"/>
    <w:link w:val="Footer"/>
    <w:uiPriority w:val="99"/>
    <w:rsid w:val="0054123E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rsid w:val="0054123E"/>
    <w:pPr>
      <w:tabs>
        <w:tab w:val="center" w:pos="4680"/>
        <w:tab w:val="right" w:pos="936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customStyle="1" w:styleId="HeaderChar">
    <w:name w:val="Header Char"/>
    <w:basedOn w:val="DefaultParagraphFont"/>
    <w:link w:val="Header"/>
    <w:uiPriority w:val="99"/>
    <w:rsid w:val="0054123E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rsid w:val="0054123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123E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rsid w:val="0054123E"/>
    <w:rPr>
      <w:vertAlign w:val="superscript"/>
    </w:rPr>
  </w:style>
  <w:style w:type="character" w:customStyle="1" w:styleId="TitulliTitullChar">
    <w:name w:val="Titulli_Titull Char"/>
    <w:basedOn w:val="DefaultParagraphFont"/>
    <w:link w:val="TitulliTitull"/>
    <w:rsid w:val="0054123E"/>
    <w:rPr>
      <w:rFonts w:ascii="CG Times" w:eastAsia="MS Mincho" w:hAnsi="CG Times" w:cs="CG Times"/>
      <w:caps/>
      <w:lang w:val="en-GB"/>
    </w:rPr>
  </w:style>
  <w:style w:type="paragraph" w:customStyle="1" w:styleId="Numri">
    <w:name w:val="Numri"/>
    <w:aliases w:val="data"/>
    <w:rsid w:val="0054123E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after="0" w:line="270" w:lineRule="atLeast"/>
      <w:jc w:val="center"/>
    </w:pPr>
    <w:rPr>
      <w:rFonts w:ascii="CG Times" w:eastAsia="Times New Roman" w:hAnsi="CG Times" w:cs="CG Times"/>
      <w:b/>
      <w:bCs/>
    </w:rPr>
  </w:style>
  <w:style w:type="character" w:customStyle="1" w:styleId="AutoritetiChar">
    <w:name w:val="Autoriteti Char"/>
    <w:basedOn w:val="DefaultParagraphFont"/>
    <w:link w:val="Autoriteti"/>
    <w:locked/>
    <w:rsid w:val="0054123E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54123E"/>
    <w:rPr>
      <w:rFonts w:ascii="CG Times" w:eastAsia="MS Mincho" w:hAnsi="CG Times" w:cs="CG Times"/>
      <w:b/>
      <w:bCs/>
      <w:caps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1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2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3625</Words>
  <Characters>20663</Characters>
  <Application>Microsoft Office Word</Application>
  <DocSecurity>0</DocSecurity>
  <Lines>172</Lines>
  <Paragraphs>48</Paragraphs>
  <ScaleCrop>false</ScaleCrop>
  <Company>Grizli777</Company>
  <LinksUpToDate>false</LinksUpToDate>
  <CharactersWithSpaces>24240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2014-09-04T13:51:00Z</dcterms:created>
  <dcterms:modified xsi:type="dcterms:W3CDTF">2014-09-04T13:51:00Z</dcterms:modified>
</cp:coreProperties>
</file>