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DF3" w:rsidRPr="002618E4" w:rsidRDefault="00526DF3" w:rsidP="00526DF3">
      <w:pPr>
        <w:pStyle w:val="Akti"/>
        <w:rPr>
          <w:lang w:val="sq-AL"/>
        </w:rPr>
      </w:pPr>
      <w:bookmarkStart w:id="0" w:name="_GoBack"/>
      <w:bookmarkEnd w:id="0"/>
      <w:r w:rsidRPr="002618E4">
        <w:rPr>
          <w:lang w:val="sq-AL"/>
        </w:rPr>
        <w:t>Vendim</w:t>
      </w:r>
    </w:p>
    <w:p w:rsidR="00526DF3" w:rsidRPr="00712122" w:rsidRDefault="00526DF3" w:rsidP="00712122">
      <w:pPr>
        <w:pStyle w:val="NumriData"/>
      </w:pPr>
      <w:r w:rsidRPr="00712122">
        <w:t>Nr. 19, datë 9.1.2013</w:t>
      </w:r>
    </w:p>
    <w:p w:rsidR="00526DF3" w:rsidRPr="002618E4" w:rsidRDefault="00526DF3" w:rsidP="00526DF3">
      <w:pPr>
        <w:pStyle w:val="Paragrafi"/>
        <w:rPr>
          <w:lang w:val="sq-AL"/>
        </w:rPr>
      </w:pPr>
    </w:p>
    <w:p w:rsidR="00526DF3" w:rsidRPr="002618E4" w:rsidRDefault="00526DF3" w:rsidP="00526DF3">
      <w:pPr>
        <w:pStyle w:val="Titulli"/>
        <w:rPr>
          <w:lang w:val="sq-AL"/>
        </w:rPr>
      </w:pPr>
      <w:r w:rsidRPr="002618E4">
        <w:rPr>
          <w:lang w:val="sq-AL"/>
        </w:rPr>
        <w:t>Për disa ndryshime në vendimin nr. 383, datë 19.5.2010 të këshillit të ministrave “Për përcaktimin e procedurave të shpërndarjes së fondit të kompensimit në vlerë për pronarët e pasurive të paluajtshme, pronë private, që preken nga ndërtimet informale”, të ndryshuar</w:t>
      </w:r>
    </w:p>
    <w:p w:rsidR="00526DF3" w:rsidRPr="002618E4" w:rsidRDefault="00526DF3" w:rsidP="00526DF3">
      <w:pPr>
        <w:pStyle w:val="Paragrafi"/>
        <w:rPr>
          <w:lang w:val="sq-AL"/>
        </w:rPr>
      </w:pP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Në mbështetje të nenit 100 të Kushtetutës, të neneve 6 e 8 të ligjit nr. 10 239, datë 25.2.2010 “Për krijimin e fondit special të kompensimit të pronave”, të nenit 15/1 të ligjit nr. 9482, datë 3.4.2006 “Për legalizimin, urbanizimin dhe integrimin e ndërtimeve pa leje”, të ndryshuar, dhe të ligjit nr. 9235, datë 29.7.2004 “Për kthimin dhe kompensimin e pronës”, të ndryshuar, me propozimin e Ministrit të Drejtësisë, Këshilli i Ministrave</w:t>
      </w:r>
    </w:p>
    <w:p w:rsidR="00526DF3" w:rsidRPr="002618E4" w:rsidRDefault="00526DF3" w:rsidP="00526DF3">
      <w:pPr>
        <w:pStyle w:val="Paragrafi"/>
        <w:rPr>
          <w:lang w:val="sq-AL"/>
        </w:rPr>
      </w:pPr>
    </w:p>
    <w:p w:rsidR="00526DF3" w:rsidRPr="002618E4" w:rsidRDefault="00526DF3" w:rsidP="00526DF3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526DF3" w:rsidRPr="002618E4" w:rsidRDefault="00526DF3" w:rsidP="00526DF3">
      <w:pPr>
        <w:pStyle w:val="Paragrafi"/>
        <w:rPr>
          <w:lang w:val="sq-AL"/>
        </w:rPr>
      </w:pP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1. Në vendimin nr. 383, datë 19.5.2010 të Këshillit të Ministrave, të ndryshuar, bëhen këto ndryshime:</w:t>
      </w: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a) Pika 10 ndryshohet, si më poshtë vijon:</w:t>
      </w: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“10. AKKP-ja, brenda 5 ditëve nga miratimi i kërkesës dhe listës së subjekteve që kompensohen, kryen veprimet me degën e thesarit dhe bankën e nivelit të dytë për derdhjen e shumës në depozitën bankare, të hapur për këtë qëllim nga subjekti përfitues, në përputhje me procedurat e përcaktuara në legjislacionin në fuqi për kryerjen e pagesave nga Buxheti i Shtetit.</w:t>
      </w: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Për marrjen e kësteve në vijimësi, subjekti përfitues nuk duhet të paraqesë kërkesë të re për përfitim. AKKP-ja, në varësi të kritereve të shpërndarjes së fondit të kompensimit dhe gjendjes së tij, bën derdhjen e shumës përkatëse në depozitën bankare, të hapur për këtë qëllim nga subjekti përfitues, duke e njoftuar atë për veprimin bankar të kryer”.</w:t>
      </w: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b) Pika 11 ndryshohet, si më poshtë vijon:</w:t>
      </w: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“11.AKKP-ja realizon ndarjen e fondit të kompensimit të pronave në vlerë proporcionale me masën përkatëse të parashikuar në listat bashkëlidhur vendimeve të Këshillit të Ministrave, që përcaktojnë shpërblimin e pronarëve për pasuri, të cilat preken nga ndërtimet informale, deri në të njëjtën masë të përfituar në këstin e parë nga subjektet e kompensuara më parë.</w:t>
      </w: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Pjesa e fondit, e mbetur pa u shpërndarë, si pasojë e mosaplikimit të subjekteve përkatëse, shpërndahet nga AKKP-ja në vlerë proporcionale, për këstet e mbetura të subjekteve që kanë përfituar të drejtën e shpërblimit më parë në kohë. Fillimisht, nëse pjesa e mbetur e fondit është e mjaftueshme, AKKP-ja procedon me shpërndarjen deri në masën e plotë të shpërblimit për subjektet, të cilëve u ka lindur e drejta e kompensimit njëkohësisht dhe më parë në kohë, krahasuar me subjektet e tjera, referuar datës së vendimit të Këshillit të Ministrave, që përcakton shpërblimin e pronarëve për pasuri të cilat preken nga ndërtimet informale.</w:t>
      </w: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Në këtë mënyrë vijohet deri në shpërndarjen e vlerës së plotë të shpërblimit për të gjitha subjektet që e kanë përfituar këtë të drejtë me vendime të Këshillit të Ministrave, që përcaktojnë shpërblimin e pronarëve për pasuri të cilat preken nga ndërtimet informale.”.</w:t>
      </w: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2. Ngarkohen Ministria e Drejtësisë dhe Agjencia e Kthimit dhe Kompensimit të Pronave për zbatimin e këtij vendimi.</w:t>
      </w:r>
    </w:p>
    <w:p w:rsidR="00526DF3" w:rsidRPr="002618E4" w:rsidRDefault="00526DF3" w:rsidP="00526DF3">
      <w:pPr>
        <w:pStyle w:val="Paragrafi"/>
        <w:rPr>
          <w:lang w:val="sq-AL"/>
        </w:rPr>
      </w:pPr>
      <w:r w:rsidRPr="002618E4">
        <w:rPr>
          <w:lang w:val="sq-AL"/>
        </w:rPr>
        <w:t>Ky vendim hyn në fuqi pas botimit në Fletoren Zyrtare.</w:t>
      </w:r>
    </w:p>
    <w:p w:rsidR="00526DF3" w:rsidRPr="002618E4" w:rsidRDefault="00526DF3" w:rsidP="00526DF3">
      <w:pPr>
        <w:pStyle w:val="Paragrafi"/>
        <w:rPr>
          <w:lang w:val="sq-AL"/>
        </w:rPr>
      </w:pPr>
    </w:p>
    <w:p w:rsidR="00526DF3" w:rsidRPr="002618E4" w:rsidRDefault="00526DF3" w:rsidP="00526DF3">
      <w:pPr>
        <w:pStyle w:val="Autoriteti"/>
        <w:rPr>
          <w:lang w:val="sq-AL"/>
        </w:rPr>
      </w:pPr>
      <w:r w:rsidRPr="002618E4">
        <w:rPr>
          <w:lang w:val="sq-AL"/>
        </w:rPr>
        <w:t>Kryeministri</w:t>
      </w:r>
    </w:p>
    <w:p w:rsidR="00526DF3" w:rsidRPr="002618E4" w:rsidRDefault="00526DF3" w:rsidP="00526DF3">
      <w:pPr>
        <w:pStyle w:val="AutoritetiEmer"/>
        <w:rPr>
          <w:lang w:val="sq-AL"/>
        </w:rPr>
      </w:pPr>
      <w:r w:rsidRPr="002618E4">
        <w:rPr>
          <w:lang w:val="sq-AL"/>
        </w:rPr>
        <w:t>Sali Berisha</w:t>
      </w:r>
    </w:p>
    <w:sectPr w:rsidR="00526DF3" w:rsidRPr="002618E4" w:rsidSect="006C6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6DF3"/>
    <w:rsid w:val="00526DF3"/>
    <w:rsid w:val="006C6DF7"/>
    <w:rsid w:val="00712122"/>
    <w:rsid w:val="00FD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0EE4CF-74DD-47C0-8B78-F4F84E42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D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26D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26DF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26DF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26D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26DF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26DF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26DF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26DF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26D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26D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26DF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26D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26D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2019-03-18T13:05:00Z</dcterms:created>
  <dcterms:modified xsi:type="dcterms:W3CDTF">2019-03-18T13:05:00Z</dcterms:modified>
</cp:coreProperties>
</file>