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BC" w:rsidRDefault="00230DBC" w:rsidP="00230DBC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230DBC" w:rsidRDefault="00230DBC" w:rsidP="00230DBC">
      <w:pPr>
        <w:pStyle w:val="NumriData"/>
        <w:keepNext w:val="0"/>
        <w:rPr>
          <w:lang w:val="sq-AL"/>
        </w:rPr>
      </w:pPr>
      <w:r>
        <w:rPr>
          <w:lang w:val="sq-AL"/>
        </w:rPr>
        <w:t>Nr. 26, datë 9.1.2013</w:t>
      </w:r>
    </w:p>
    <w:p w:rsidR="00230DBC" w:rsidRDefault="00230DBC" w:rsidP="00230DBC">
      <w:pPr>
        <w:pStyle w:val="Paragrafi"/>
        <w:rPr>
          <w:lang w:val="sq-AL"/>
        </w:rPr>
      </w:pPr>
    </w:p>
    <w:p w:rsidR="00230DBC" w:rsidRDefault="00230DBC" w:rsidP="00230DBC">
      <w:pPr>
        <w:pStyle w:val="Titulli"/>
        <w:keepNext w:val="0"/>
        <w:rPr>
          <w:lang w:val="sq-AL"/>
        </w:rPr>
      </w:pPr>
      <w:r>
        <w:rPr>
          <w:lang w:val="sq-AL"/>
        </w:rPr>
        <w:t>PËR MIRATIMIN E RAPORTIT PËRFUNDIMTAR TË VLERËSIMIT TË OFERTAVE DHE TË KANDIDATIT FITUES PËR PRIVATIZIMIN E SHOQËRISË “HEC BISTRICA 1 DHE BISTRICA 2” SHA</w:t>
      </w:r>
    </w:p>
    <w:p w:rsidR="00230DBC" w:rsidRDefault="00230DBC" w:rsidP="00230DBC">
      <w:pPr>
        <w:pStyle w:val="Paragrafi"/>
        <w:rPr>
          <w:lang w:val="sq-AL"/>
        </w:rPr>
      </w:pP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Në mbështetje të nenit 100 të Kushtetutës të nenit 7 të ligjit nr. 8306, datë 14.3.1998 “Për strategjinë e privatizimit të sektorëve me rëndësi të veçantë”, të ndryshuar dhe të neneve 3, 5 e 8 të ligjit nr. 10 430, datë 9.6.2011 “Për krijimin e shoqërive “HEC Ulëz - Shkopet” sh.a. “HEC Tiranë, Lanabregas” sh.a. dhe “HEC Bistrica 1 dhe Bistrica 2” sh.a. dhe përcaktimin e formës e të strukturës së formulës së privatizimit të shoqërive “HEC Ulëz - Shkopet” sh.a. dhe “HEC Bistrica 1 dhe Bistrica 2” sh.a.” me propozimin e Zëvendëskryeministrit dhe Ministër i Ekonomisë, Tregtisë dhe Energjetikës, Këshilli i Ministrave</w:t>
      </w:r>
    </w:p>
    <w:p w:rsidR="00230DBC" w:rsidRDefault="00230DBC" w:rsidP="00230DBC">
      <w:pPr>
        <w:pStyle w:val="Paragrafi"/>
        <w:rPr>
          <w:lang w:val="sq-AL"/>
        </w:rPr>
      </w:pPr>
    </w:p>
    <w:p w:rsidR="00230DBC" w:rsidRDefault="00230DBC" w:rsidP="00230DBC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230DBC" w:rsidRDefault="00230DBC" w:rsidP="00230DBC">
      <w:pPr>
        <w:pStyle w:val="Paragrafi"/>
        <w:rPr>
          <w:lang w:val="sq-AL"/>
        </w:rPr>
      </w:pP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1. Miratimin e raportit përfundimtar të vlerësimit të ofertave, paraqitur nga Komisioni i Vlerësimit të Ofertave, për privatizimin e shoqërisë “HEC Bistrica 1 dhe Bistrica 2” sh.a., që i bashkëlidhet këtij vendimi.</w:t>
      </w: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2. Miratimin e ofertës së shoqërisë “Kurum International” sh.a., si fituese për blerjen e 100 për qind të aksioneve të shoqërisë “HEC Bistrica 1 dhe Bistrica 2” sh.a., me vlerë 52 000 000 (pesëdhjetë e dy milionë) euro.</w:t>
      </w: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3. Ngarkohet Ministria e Ekonomisë, Tregtisë dhe Energjetikës të negociojë dhe të nënshkruajë kontratën me kandidatin fitues, shoqërinë “Kurum International” sh.a.</w:t>
      </w: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4. Ngarkohet Ministria e Financave, që, nëpërmjet Drejtorisë së Përgjithshme të Tatimeve, të bëjë identifikimin e vlerës së TVSH-së së rimbursueshme për shoqërinë “Kurum International” sh.a., përpara firmosjes së kontratës.</w:t>
      </w: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>5. Ngarkohet Ministria e Ekonomisë, Tregtisë dhe Energjetikës për zbatimin e këtij vendimi.</w:t>
      </w:r>
    </w:p>
    <w:p w:rsidR="00230DBC" w:rsidRDefault="00230DBC" w:rsidP="00230DBC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 dhe botohet në </w:t>
      </w:r>
      <w:r>
        <w:rPr>
          <w:szCs w:val="18"/>
          <w:lang w:val="sq-AL"/>
        </w:rPr>
        <w:t>Fletoren Zyrtare.</w:t>
      </w:r>
    </w:p>
    <w:p w:rsidR="00230DBC" w:rsidRDefault="00230DBC" w:rsidP="00230DBC">
      <w:pPr>
        <w:pStyle w:val="Paragrafi"/>
        <w:rPr>
          <w:lang w:val="sq-AL"/>
        </w:rPr>
      </w:pPr>
    </w:p>
    <w:p w:rsidR="00230DBC" w:rsidRDefault="00230DBC" w:rsidP="00230DBC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230DBC" w:rsidRDefault="00230DBC" w:rsidP="00230DBC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230DBC" w:rsidRDefault="00A76AA8" w:rsidP="00230DBC">
      <w:pPr>
        <w:pStyle w:val="Akti"/>
        <w:keepNext w:val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762625" cy="7477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A76AA8" w:rsidP="00230DBC">
      <w:pPr>
        <w:pStyle w:val="Akti"/>
        <w:keepNext w:val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762625" cy="7277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230DBC" w:rsidP="00230DBC">
      <w:pPr>
        <w:pStyle w:val="Akti"/>
        <w:keepNext w:val="0"/>
        <w:rPr>
          <w:lang w:val="sq-AL"/>
        </w:rPr>
      </w:pPr>
    </w:p>
    <w:p w:rsidR="00230DBC" w:rsidRDefault="00A76AA8" w:rsidP="00230DBC">
      <w:pPr>
        <w:pStyle w:val="Akti"/>
        <w:keepNext w:val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753100" cy="3905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BC" w:rsidRDefault="00230DBC" w:rsidP="00230DBC">
      <w:pPr>
        <w:pStyle w:val="Akti"/>
        <w:keepNext w:val="0"/>
        <w:jc w:val="left"/>
        <w:rPr>
          <w:lang w:val="sq-AL"/>
        </w:rPr>
      </w:pPr>
    </w:p>
    <w:p w:rsidR="00230DBC" w:rsidRDefault="00230DBC" w:rsidP="00230DBC">
      <w:pPr>
        <w:pStyle w:val="Akti"/>
        <w:keepNext w:val="0"/>
        <w:jc w:val="left"/>
        <w:rPr>
          <w:b w:val="0"/>
          <w:lang w:val="sq-AL"/>
        </w:rPr>
      </w:pPr>
      <w:r>
        <w:rPr>
          <w:b w:val="0"/>
          <w:lang w:val="sq-AL"/>
        </w:rPr>
        <w:t xml:space="preserve">  KOMISIONI I VLERËSIMIT TË OFERTAVE</w:t>
      </w:r>
    </w:p>
    <w:p w:rsidR="00230DBC" w:rsidRDefault="00230DBC" w:rsidP="00230DBC">
      <w:pPr>
        <w:pStyle w:val="Akti"/>
        <w:keepNext w:val="0"/>
        <w:jc w:val="both"/>
        <w:rPr>
          <w:b w:val="0"/>
          <w:lang w:val="sq-AL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1842"/>
      </w:tblGrid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Z.Sokol Dervishaj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kryetar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Z.Alfred Rushaj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Z.Dael Dervishi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Z.Majlind Lazimi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Z.Genti Minarolli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Z.Zamir Stefani Moçka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Z.Fatmir Isufaj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Z.Agim Bregasi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Znj.Dhurata Hoxha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anëtare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Z.Petrit Gjoni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Z.Eduart Elezi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Znj.Doris Çarçani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  <w:tr w:rsidR="00230DBC" w:rsidTr="00230DBC">
        <w:tc>
          <w:tcPr>
            <w:tcW w:w="3119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</w:rPr>
              <w:t>Z.Gazment Bardhi</w:t>
            </w:r>
          </w:p>
        </w:tc>
        <w:tc>
          <w:tcPr>
            <w:tcW w:w="1842" w:type="dxa"/>
            <w:hideMark/>
          </w:tcPr>
          <w:p w:rsidR="00230DBC" w:rsidRDefault="00230DBC">
            <w:pPr>
              <w:widowControl w:val="0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anëtar</w:t>
            </w:r>
          </w:p>
        </w:tc>
      </w:tr>
    </w:tbl>
    <w:p w:rsidR="007D4AB1" w:rsidRPr="00230DBC" w:rsidRDefault="007D4AB1" w:rsidP="00230DBC"/>
    <w:sectPr w:rsidR="007D4AB1" w:rsidRPr="00230DBC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4AB1"/>
    <w:rsid w:val="00230DBC"/>
    <w:rsid w:val="007D4AB1"/>
    <w:rsid w:val="00A76AA8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75A41C-4783-4E6E-9138-F1259255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4A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D4AB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D4AB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4A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7D4AB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4AB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7D4AB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D4AB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4AB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7D4A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7D4A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7D4A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7D4AB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2019-03-18T13:07:00Z</dcterms:created>
  <dcterms:modified xsi:type="dcterms:W3CDTF">2019-03-18T13:07:00Z</dcterms:modified>
</cp:coreProperties>
</file>