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B3B" w:rsidRDefault="001D6B3B" w:rsidP="001D6B3B">
      <w:pPr>
        <w:pStyle w:val="Akti"/>
        <w:keepNext w:val="0"/>
        <w:rPr>
          <w:lang w:val="sq-AL"/>
        </w:rPr>
      </w:pPr>
      <w:bookmarkStart w:id="0" w:name="_GoBack"/>
      <w:bookmarkEnd w:id="0"/>
      <w:r>
        <w:rPr>
          <w:lang w:val="sq-AL"/>
        </w:rPr>
        <w:t>Vendim</w:t>
      </w:r>
    </w:p>
    <w:p w:rsidR="001D6B3B" w:rsidRDefault="001D6B3B" w:rsidP="001D6B3B">
      <w:pPr>
        <w:pStyle w:val="NumriData"/>
        <w:keepNext w:val="0"/>
        <w:rPr>
          <w:rFonts w:eastAsia="Times New Roman"/>
          <w:lang w:val="sq-AL"/>
        </w:rPr>
      </w:pPr>
      <w:r>
        <w:rPr>
          <w:lang w:val="sq-AL"/>
        </w:rPr>
        <w:t>Nr. 27, datë 9.1.2013</w:t>
      </w:r>
    </w:p>
    <w:p w:rsidR="001D6B3B" w:rsidRDefault="001D6B3B" w:rsidP="001D6B3B">
      <w:pPr>
        <w:pStyle w:val="Paragrafi"/>
        <w:rPr>
          <w:rFonts w:eastAsia="Times New Roman"/>
          <w:lang w:val="sq-AL"/>
        </w:rPr>
      </w:pPr>
    </w:p>
    <w:p w:rsidR="001D6B3B" w:rsidRDefault="001D6B3B" w:rsidP="001D6B3B">
      <w:pPr>
        <w:pStyle w:val="Titulli"/>
        <w:keepNext w:val="0"/>
        <w:rPr>
          <w:lang w:val="sq-AL"/>
        </w:rPr>
      </w:pPr>
      <w:r>
        <w:rPr>
          <w:lang w:val="sq-AL"/>
        </w:rPr>
        <w:t>PËR</w:t>
      </w:r>
      <w:r>
        <w:rPr>
          <w:rFonts w:eastAsia="Times New Roman"/>
          <w:lang w:val="sq-AL"/>
        </w:rPr>
        <w:t xml:space="preserve"> </w:t>
      </w:r>
      <w:r>
        <w:rPr>
          <w:lang w:val="sq-AL"/>
        </w:rPr>
        <w:t xml:space="preserve">MIRATIMIN E RAPORTIT PËRFUNDIMTAR TË VLERËSIMIT TË OFERTAVE DHE TË KANDIDATIT FITUES PËR PRIVATIZIMIN E SHOQËRISË </w:t>
      </w:r>
    </w:p>
    <w:p w:rsidR="001D6B3B" w:rsidRDefault="001D6B3B" w:rsidP="001D6B3B">
      <w:pPr>
        <w:pStyle w:val="Titulli"/>
        <w:keepNext w:val="0"/>
        <w:rPr>
          <w:lang w:val="sq-AL"/>
        </w:rPr>
      </w:pPr>
      <w:r>
        <w:rPr>
          <w:lang w:val="sq-AL"/>
        </w:rPr>
        <w:t>“HEC ULËZ - SHKOPET” SHA</w:t>
      </w:r>
    </w:p>
    <w:p w:rsidR="001D6B3B" w:rsidRDefault="001D6B3B" w:rsidP="001D6B3B">
      <w:pPr>
        <w:pStyle w:val="Paragrafi"/>
        <w:rPr>
          <w:rFonts w:eastAsia="Times New Roman"/>
          <w:lang w:val="sq-AL"/>
        </w:rPr>
      </w:pPr>
    </w:p>
    <w:p w:rsidR="001D6B3B" w:rsidRDefault="001D6B3B" w:rsidP="001D6B3B">
      <w:pPr>
        <w:pStyle w:val="Paragrafi"/>
        <w:rPr>
          <w:rFonts w:eastAsia="Times New Roman"/>
          <w:lang w:val="sq-AL"/>
        </w:rPr>
      </w:pPr>
      <w:r>
        <w:rPr>
          <w:szCs w:val="18"/>
          <w:lang w:val="sq-AL"/>
        </w:rPr>
        <w:t>Në mbështetje të nenit 100 të Kushtetutës të nenit 7 të ligjit nr. 8306, datë 14.3.1998 “Për strategjinë e privatizimit të sektorëve me rëndësi të veçantë”, të ndryshuar dhe të neneve 3, 5 e 8 të ligjit nr. 10 430, datë 9.6.2011 “Për krijimin e shoqërive “HEC Ulëz - Shkopet” sh.a., “HEC Tiranë, Lanabregas” sh.a. dhe “HEC Bistrica 1 dhe Bistrica 2” sh.a. dhe përcaktimin e formës dhe të strukturës së formulës së privatizimit të shoqërive “HEC Ulëz - Shkopet” sh.a. dhe “HEC Bistrica 1 dhe Bistrica 2” sh.a.”, me propozimin e Zëvendëskryeministrit dhe Ministër i Ekonomisë, Tregtisë dhe Energjetikës, Këshilli i Ministrave</w:t>
      </w:r>
    </w:p>
    <w:p w:rsidR="001D6B3B" w:rsidRDefault="001D6B3B" w:rsidP="001D6B3B">
      <w:pPr>
        <w:pStyle w:val="Paragrafi"/>
        <w:rPr>
          <w:rFonts w:eastAsia="Times New Roman"/>
          <w:lang w:val="sq-AL"/>
        </w:rPr>
      </w:pPr>
    </w:p>
    <w:p w:rsidR="001D6B3B" w:rsidRDefault="001D6B3B" w:rsidP="001D6B3B">
      <w:pPr>
        <w:pStyle w:val="VENDOSI"/>
        <w:keepNext w:val="0"/>
        <w:rPr>
          <w:lang w:val="sq-AL"/>
        </w:rPr>
      </w:pPr>
      <w:r>
        <w:rPr>
          <w:lang w:val="sq-AL"/>
        </w:rPr>
        <w:t>VENDOSI:</w:t>
      </w:r>
    </w:p>
    <w:p w:rsidR="001D6B3B" w:rsidRDefault="001D6B3B" w:rsidP="001D6B3B">
      <w:pPr>
        <w:widowControl w:val="0"/>
        <w:rPr>
          <w:lang w:val="sq-AL"/>
        </w:rPr>
      </w:pPr>
    </w:p>
    <w:p w:rsidR="001D6B3B" w:rsidRDefault="001D6B3B" w:rsidP="001D6B3B">
      <w:pPr>
        <w:pStyle w:val="Paragrafi"/>
        <w:rPr>
          <w:szCs w:val="18"/>
          <w:lang w:val="sq-AL"/>
        </w:rPr>
      </w:pPr>
      <w:r>
        <w:rPr>
          <w:szCs w:val="18"/>
          <w:lang w:val="sq-AL"/>
        </w:rPr>
        <w:t>1. Miratimin e raportit përfundimtar të vlerësimit të ofertave, paraqitur nga Komisioni i Vlerësimit të Ofertave për privatizimin e shoqërisë “HEC Ulëz - Shkopet” sh.a., i cili i bashkëlidhet këtij vendimi.</w:t>
      </w:r>
    </w:p>
    <w:p w:rsidR="001D6B3B" w:rsidRDefault="001D6B3B" w:rsidP="001D6B3B">
      <w:pPr>
        <w:pStyle w:val="Paragrafi"/>
        <w:rPr>
          <w:szCs w:val="18"/>
          <w:lang w:val="sq-AL"/>
        </w:rPr>
      </w:pPr>
      <w:r>
        <w:rPr>
          <w:szCs w:val="18"/>
          <w:lang w:val="sq-AL"/>
        </w:rPr>
        <w:t>2. Miratimin e ofertës së shoqërisë “Kurum International” sh.a., si fituese, për blerjen e 100 për qind të aksioneve të shoqërisë “HEC Ulëz - Shkopet” sh.a., me vlerë 57 500 000 (pesëdhjetë e shtatë milionë e pesëqind mijë) euro.</w:t>
      </w:r>
    </w:p>
    <w:p w:rsidR="001D6B3B" w:rsidRDefault="001D6B3B" w:rsidP="001D6B3B">
      <w:pPr>
        <w:pStyle w:val="Paragrafi"/>
        <w:rPr>
          <w:szCs w:val="18"/>
          <w:lang w:val="sq-AL"/>
        </w:rPr>
      </w:pPr>
      <w:r>
        <w:rPr>
          <w:szCs w:val="18"/>
          <w:lang w:val="sq-AL"/>
        </w:rPr>
        <w:t>3. Ngarkohet Ministria e Ekonomisë, Tregtisë dhe Energjetikës të negociojë dhe të nënshkruajë kontratën me kandidatin fitues, shoqërinë “Kurum International” sh.a.</w:t>
      </w:r>
    </w:p>
    <w:p w:rsidR="001D6B3B" w:rsidRDefault="001D6B3B" w:rsidP="001D6B3B">
      <w:pPr>
        <w:pStyle w:val="Paragrafi"/>
        <w:rPr>
          <w:szCs w:val="18"/>
          <w:lang w:val="sq-AL"/>
        </w:rPr>
      </w:pPr>
      <w:r>
        <w:rPr>
          <w:szCs w:val="18"/>
          <w:lang w:val="sq-AL"/>
        </w:rPr>
        <w:t>4. Ngarkohet Ministria e Financave, që, nëpërmjet Drejtorisë së Përgjithshme të Tatimeve, të bëjë identifikimin e vlerës së TVSH-së së rimbursueshme për shoqërinë “Kurum International” sh.a., përpara nënshkrimit të kontratës.</w:t>
      </w:r>
    </w:p>
    <w:p w:rsidR="001D6B3B" w:rsidRDefault="001D6B3B" w:rsidP="001D6B3B">
      <w:pPr>
        <w:pStyle w:val="Paragrafi"/>
        <w:rPr>
          <w:szCs w:val="18"/>
          <w:lang w:val="sq-AL"/>
        </w:rPr>
      </w:pPr>
      <w:r>
        <w:rPr>
          <w:szCs w:val="18"/>
          <w:lang w:val="sq-AL"/>
        </w:rPr>
        <w:t>5. Ngarkohet Ministria e Ekonomisë, Tregtisë dhe Energjetikës për zbatimin e këtij vendimi.</w:t>
      </w:r>
    </w:p>
    <w:p w:rsidR="001D6B3B" w:rsidRDefault="001D6B3B" w:rsidP="001D6B3B">
      <w:pPr>
        <w:pStyle w:val="Paragrafi"/>
        <w:rPr>
          <w:szCs w:val="18"/>
          <w:lang w:val="sq-AL"/>
        </w:rPr>
      </w:pPr>
      <w:r>
        <w:rPr>
          <w:szCs w:val="18"/>
          <w:lang w:val="sq-AL"/>
        </w:rPr>
        <w:t>Ky vendim hyn në fuqi menjëherë dhe botohet në Fletoren Zyrtare.</w:t>
      </w:r>
    </w:p>
    <w:p w:rsidR="001D6B3B" w:rsidRDefault="001D6B3B" w:rsidP="001D6B3B">
      <w:pPr>
        <w:widowControl w:val="0"/>
        <w:rPr>
          <w:lang w:val="sq-AL"/>
        </w:rPr>
      </w:pPr>
    </w:p>
    <w:p w:rsidR="001D6B3B" w:rsidRDefault="001D6B3B" w:rsidP="001D6B3B">
      <w:pPr>
        <w:pStyle w:val="Autoriteti"/>
        <w:keepNext w:val="0"/>
        <w:rPr>
          <w:lang w:val="sq-AL"/>
        </w:rPr>
      </w:pPr>
      <w:r>
        <w:rPr>
          <w:lang w:val="sq-AL"/>
        </w:rPr>
        <w:t>Kryeministri</w:t>
      </w:r>
    </w:p>
    <w:p w:rsidR="001D6B3B" w:rsidRDefault="001D6B3B" w:rsidP="001D6B3B">
      <w:pPr>
        <w:pStyle w:val="AutoritetiEmer"/>
        <w:rPr>
          <w:lang w:val="sq-AL"/>
        </w:rPr>
      </w:pPr>
      <w:r>
        <w:rPr>
          <w:lang w:val="sq-AL"/>
        </w:rPr>
        <w:t>Sali Berisha</w:t>
      </w:r>
    </w:p>
    <w:p w:rsidR="001D6B3B" w:rsidRDefault="00306C55" w:rsidP="001D6B3B">
      <w:pPr>
        <w:pStyle w:val="Paragrafi"/>
        <w:ind w:firstLine="0"/>
        <w:rPr>
          <w:lang w:val="sq-AL"/>
        </w:rPr>
      </w:pPr>
      <w:r>
        <w:rPr>
          <w:noProof/>
        </w:rPr>
        <w:drawing>
          <wp:inline distT="0" distB="0" distL="0" distR="0">
            <wp:extent cx="5762625" cy="79152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B3B" w:rsidRDefault="001D6B3B" w:rsidP="001D6B3B">
      <w:pPr>
        <w:widowControl w:val="0"/>
        <w:rPr>
          <w:lang w:val="sq-AL"/>
        </w:rPr>
      </w:pPr>
    </w:p>
    <w:p w:rsidR="001D6B3B" w:rsidRDefault="00306C55" w:rsidP="001D6B3B">
      <w:pPr>
        <w:widowControl w:val="0"/>
        <w:rPr>
          <w:lang w:val="sq-AL"/>
        </w:rPr>
      </w:pPr>
      <w:r>
        <w:rPr>
          <w:noProof/>
        </w:rPr>
        <w:drawing>
          <wp:inline distT="0" distB="0" distL="0" distR="0">
            <wp:extent cx="5753100" cy="69818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98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B3B" w:rsidRDefault="001D6B3B" w:rsidP="001D6B3B">
      <w:pPr>
        <w:widowControl w:val="0"/>
        <w:rPr>
          <w:lang w:val="sq-AL"/>
        </w:rPr>
      </w:pPr>
    </w:p>
    <w:p w:rsidR="001D6B3B" w:rsidRDefault="001D6B3B" w:rsidP="001D6B3B">
      <w:pPr>
        <w:widowControl w:val="0"/>
        <w:rPr>
          <w:lang w:val="sq-AL"/>
        </w:rPr>
      </w:pPr>
    </w:p>
    <w:p w:rsidR="001D6B3B" w:rsidRDefault="001D6B3B" w:rsidP="001D6B3B">
      <w:pPr>
        <w:widowControl w:val="0"/>
        <w:rPr>
          <w:lang w:val="sq-AL"/>
        </w:rPr>
      </w:pPr>
    </w:p>
    <w:p w:rsidR="001D6B3B" w:rsidRDefault="001D6B3B" w:rsidP="001D6B3B">
      <w:pPr>
        <w:widowControl w:val="0"/>
        <w:rPr>
          <w:lang w:val="sq-AL"/>
        </w:rPr>
      </w:pPr>
    </w:p>
    <w:p w:rsidR="001D6B3B" w:rsidRDefault="001D6B3B" w:rsidP="001D6B3B">
      <w:pPr>
        <w:widowControl w:val="0"/>
        <w:rPr>
          <w:lang w:val="sq-AL"/>
        </w:rPr>
      </w:pPr>
    </w:p>
    <w:p w:rsidR="001D6B3B" w:rsidRDefault="001D6B3B" w:rsidP="001D6B3B">
      <w:pPr>
        <w:widowControl w:val="0"/>
        <w:rPr>
          <w:lang w:val="sq-AL"/>
        </w:rPr>
      </w:pPr>
    </w:p>
    <w:p w:rsidR="001D6B3B" w:rsidRDefault="001D6B3B" w:rsidP="001D6B3B">
      <w:pPr>
        <w:widowControl w:val="0"/>
        <w:rPr>
          <w:lang w:val="sq-AL"/>
        </w:rPr>
      </w:pPr>
    </w:p>
    <w:p w:rsidR="001D6B3B" w:rsidRDefault="001D6B3B" w:rsidP="001D6B3B">
      <w:pPr>
        <w:pStyle w:val="Akti"/>
        <w:keepNext w:val="0"/>
        <w:jc w:val="left"/>
        <w:rPr>
          <w:b w:val="0"/>
          <w:lang w:val="sq-AL"/>
        </w:rPr>
      </w:pPr>
      <w:r>
        <w:rPr>
          <w:b w:val="0"/>
          <w:lang w:val="sq-AL"/>
        </w:rPr>
        <w:t>KOMISIONI I VLERËSIMIT TË OFERTAVE</w:t>
      </w:r>
    </w:p>
    <w:p w:rsidR="001D6B3B" w:rsidRDefault="001D6B3B" w:rsidP="001D6B3B">
      <w:pPr>
        <w:pStyle w:val="Akti"/>
        <w:keepNext w:val="0"/>
        <w:jc w:val="both"/>
        <w:rPr>
          <w:b w:val="0"/>
          <w:lang w:val="sq-AL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3119"/>
        <w:gridCol w:w="1842"/>
      </w:tblGrid>
      <w:tr w:rsidR="001D6B3B" w:rsidTr="001D6B3B">
        <w:tc>
          <w:tcPr>
            <w:tcW w:w="3119" w:type="dxa"/>
            <w:hideMark/>
          </w:tcPr>
          <w:p w:rsidR="001D6B3B" w:rsidRDefault="001D6B3B">
            <w:pPr>
              <w:widowControl w:val="0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Z.Sokol Dervishaj</w:t>
            </w:r>
          </w:p>
        </w:tc>
        <w:tc>
          <w:tcPr>
            <w:tcW w:w="1842" w:type="dxa"/>
            <w:hideMark/>
          </w:tcPr>
          <w:p w:rsidR="001D6B3B" w:rsidRDefault="001D6B3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>
              <w:rPr>
                <w:rFonts w:ascii="CG Times" w:hAnsi="CG Times"/>
                <w:sz w:val="22"/>
                <w:szCs w:val="22"/>
              </w:rPr>
              <w:t>kryetar</w:t>
            </w:r>
          </w:p>
        </w:tc>
      </w:tr>
      <w:tr w:rsidR="001D6B3B" w:rsidTr="001D6B3B">
        <w:tc>
          <w:tcPr>
            <w:tcW w:w="3119" w:type="dxa"/>
            <w:hideMark/>
          </w:tcPr>
          <w:p w:rsidR="001D6B3B" w:rsidRDefault="001D6B3B">
            <w:pPr>
              <w:widowControl w:val="0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Z.Alfred Rushaj</w:t>
            </w:r>
          </w:p>
        </w:tc>
        <w:tc>
          <w:tcPr>
            <w:tcW w:w="1842" w:type="dxa"/>
            <w:hideMark/>
          </w:tcPr>
          <w:p w:rsidR="001D6B3B" w:rsidRDefault="001D6B3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>
              <w:rPr>
                <w:rFonts w:ascii="CG Times" w:hAnsi="CG Times"/>
                <w:sz w:val="22"/>
                <w:szCs w:val="22"/>
              </w:rPr>
              <w:t>anëtar</w:t>
            </w:r>
          </w:p>
        </w:tc>
      </w:tr>
      <w:tr w:rsidR="001D6B3B" w:rsidTr="001D6B3B">
        <w:tc>
          <w:tcPr>
            <w:tcW w:w="3119" w:type="dxa"/>
            <w:hideMark/>
          </w:tcPr>
          <w:p w:rsidR="001D6B3B" w:rsidRDefault="001D6B3B">
            <w:pPr>
              <w:widowControl w:val="0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Z.Dael Dervishi</w:t>
            </w:r>
          </w:p>
        </w:tc>
        <w:tc>
          <w:tcPr>
            <w:tcW w:w="1842" w:type="dxa"/>
            <w:hideMark/>
          </w:tcPr>
          <w:p w:rsidR="001D6B3B" w:rsidRDefault="001D6B3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>
              <w:rPr>
                <w:rFonts w:ascii="CG Times" w:hAnsi="CG Times"/>
                <w:sz w:val="22"/>
                <w:szCs w:val="22"/>
              </w:rPr>
              <w:t>anëtar</w:t>
            </w:r>
          </w:p>
        </w:tc>
      </w:tr>
      <w:tr w:rsidR="001D6B3B" w:rsidTr="001D6B3B">
        <w:tc>
          <w:tcPr>
            <w:tcW w:w="3119" w:type="dxa"/>
            <w:hideMark/>
          </w:tcPr>
          <w:p w:rsidR="001D6B3B" w:rsidRDefault="001D6B3B">
            <w:pPr>
              <w:widowControl w:val="0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Z.Majlind Lazimi</w:t>
            </w:r>
          </w:p>
        </w:tc>
        <w:tc>
          <w:tcPr>
            <w:tcW w:w="1842" w:type="dxa"/>
            <w:hideMark/>
          </w:tcPr>
          <w:p w:rsidR="001D6B3B" w:rsidRDefault="001D6B3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>
              <w:rPr>
                <w:rFonts w:ascii="CG Times" w:hAnsi="CG Times"/>
                <w:sz w:val="22"/>
                <w:szCs w:val="22"/>
              </w:rPr>
              <w:t>anëtar</w:t>
            </w:r>
          </w:p>
        </w:tc>
      </w:tr>
      <w:tr w:rsidR="001D6B3B" w:rsidTr="001D6B3B">
        <w:tc>
          <w:tcPr>
            <w:tcW w:w="3119" w:type="dxa"/>
            <w:hideMark/>
          </w:tcPr>
          <w:p w:rsidR="001D6B3B" w:rsidRDefault="001D6B3B">
            <w:pPr>
              <w:widowControl w:val="0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Z.Genti Minarolli</w:t>
            </w:r>
          </w:p>
        </w:tc>
        <w:tc>
          <w:tcPr>
            <w:tcW w:w="1842" w:type="dxa"/>
            <w:hideMark/>
          </w:tcPr>
          <w:p w:rsidR="001D6B3B" w:rsidRDefault="001D6B3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>
              <w:rPr>
                <w:rFonts w:ascii="CG Times" w:hAnsi="CG Times"/>
                <w:sz w:val="22"/>
                <w:szCs w:val="22"/>
              </w:rPr>
              <w:t>anëtar</w:t>
            </w:r>
          </w:p>
        </w:tc>
      </w:tr>
      <w:tr w:rsidR="001D6B3B" w:rsidTr="001D6B3B">
        <w:tc>
          <w:tcPr>
            <w:tcW w:w="3119" w:type="dxa"/>
            <w:hideMark/>
          </w:tcPr>
          <w:p w:rsidR="001D6B3B" w:rsidRDefault="001D6B3B">
            <w:pPr>
              <w:widowControl w:val="0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Z.Zamir Stefani Moçka</w:t>
            </w:r>
          </w:p>
        </w:tc>
        <w:tc>
          <w:tcPr>
            <w:tcW w:w="1842" w:type="dxa"/>
            <w:hideMark/>
          </w:tcPr>
          <w:p w:rsidR="001D6B3B" w:rsidRDefault="001D6B3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>
              <w:rPr>
                <w:rFonts w:ascii="CG Times" w:hAnsi="CG Times"/>
                <w:sz w:val="22"/>
                <w:szCs w:val="22"/>
              </w:rPr>
              <w:t>anëtar</w:t>
            </w:r>
          </w:p>
        </w:tc>
      </w:tr>
      <w:tr w:rsidR="001D6B3B" w:rsidTr="001D6B3B">
        <w:tc>
          <w:tcPr>
            <w:tcW w:w="3119" w:type="dxa"/>
            <w:hideMark/>
          </w:tcPr>
          <w:p w:rsidR="001D6B3B" w:rsidRDefault="001D6B3B">
            <w:pPr>
              <w:widowControl w:val="0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Z.Fatmir Isufaj</w:t>
            </w:r>
          </w:p>
        </w:tc>
        <w:tc>
          <w:tcPr>
            <w:tcW w:w="1842" w:type="dxa"/>
            <w:hideMark/>
          </w:tcPr>
          <w:p w:rsidR="001D6B3B" w:rsidRDefault="001D6B3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>
              <w:rPr>
                <w:rFonts w:ascii="CG Times" w:hAnsi="CG Times"/>
                <w:sz w:val="22"/>
                <w:szCs w:val="22"/>
              </w:rPr>
              <w:t>anëtar</w:t>
            </w:r>
          </w:p>
        </w:tc>
      </w:tr>
      <w:tr w:rsidR="001D6B3B" w:rsidTr="001D6B3B">
        <w:tc>
          <w:tcPr>
            <w:tcW w:w="3119" w:type="dxa"/>
            <w:hideMark/>
          </w:tcPr>
          <w:p w:rsidR="001D6B3B" w:rsidRDefault="001D6B3B">
            <w:pPr>
              <w:widowControl w:val="0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Z.Agim Bregasi</w:t>
            </w:r>
          </w:p>
        </w:tc>
        <w:tc>
          <w:tcPr>
            <w:tcW w:w="1842" w:type="dxa"/>
            <w:hideMark/>
          </w:tcPr>
          <w:p w:rsidR="001D6B3B" w:rsidRDefault="001D6B3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>
              <w:rPr>
                <w:rFonts w:ascii="CG Times" w:hAnsi="CG Times"/>
                <w:sz w:val="22"/>
                <w:szCs w:val="22"/>
              </w:rPr>
              <w:t>anëtar</w:t>
            </w:r>
          </w:p>
        </w:tc>
      </w:tr>
      <w:tr w:rsidR="001D6B3B" w:rsidTr="001D6B3B">
        <w:tc>
          <w:tcPr>
            <w:tcW w:w="3119" w:type="dxa"/>
            <w:hideMark/>
          </w:tcPr>
          <w:p w:rsidR="001D6B3B" w:rsidRDefault="001D6B3B">
            <w:pPr>
              <w:widowControl w:val="0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Znj.Dhurata Hoxha</w:t>
            </w:r>
          </w:p>
        </w:tc>
        <w:tc>
          <w:tcPr>
            <w:tcW w:w="1842" w:type="dxa"/>
            <w:hideMark/>
          </w:tcPr>
          <w:p w:rsidR="001D6B3B" w:rsidRDefault="001D6B3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>
              <w:rPr>
                <w:rFonts w:ascii="CG Times" w:hAnsi="CG Times"/>
                <w:sz w:val="22"/>
                <w:szCs w:val="22"/>
              </w:rPr>
              <w:t>anëtare</w:t>
            </w:r>
          </w:p>
        </w:tc>
      </w:tr>
      <w:tr w:rsidR="001D6B3B" w:rsidTr="001D6B3B">
        <w:tc>
          <w:tcPr>
            <w:tcW w:w="3119" w:type="dxa"/>
            <w:hideMark/>
          </w:tcPr>
          <w:p w:rsidR="001D6B3B" w:rsidRDefault="001D6B3B">
            <w:pPr>
              <w:widowControl w:val="0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Z.Petrit Gjoni</w:t>
            </w:r>
          </w:p>
        </w:tc>
        <w:tc>
          <w:tcPr>
            <w:tcW w:w="1842" w:type="dxa"/>
            <w:hideMark/>
          </w:tcPr>
          <w:p w:rsidR="001D6B3B" w:rsidRDefault="001D6B3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>
              <w:rPr>
                <w:rFonts w:ascii="CG Times" w:hAnsi="CG Times"/>
                <w:sz w:val="22"/>
                <w:szCs w:val="22"/>
              </w:rPr>
              <w:t>anëtar</w:t>
            </w:r>
          </w:p>
        </w:tc>
      </w:tr>
      <w:tr w:rsidR="001D6B3B" w:rsidTr="001D6B3B">
        <w:tc>
          <w:tcPr>
            <w:tcW w:w="3119" w:type="dxa"/>
            <w:hideMark/>
          </w:tcPr>
          <w:p w:rsidR="001D6B3B" w:rsidRDefault="001D6B3B">
            <w:pPr>
              <w:widowControl w:val="0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Z.Eduart Elezi</w:t>
            </w:r>
          </w:p>
        </w:tc>
        <w:tc>
          <w:tcPr>
            <w:tcW w:w="1842" w:type="dxa"/>
            <w:hideMark/>
          </w:tcPr>
          <w:p w:rsidR="001D6B3B" w:rsidRDefault="001D6B3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>
              <w:rPr>
                <w:rFonts w:ascii="CG Times" w:hAnsi="CG Times"/>
                <w:sz w:val="22"/>
                <w:szCs w:val="22"/>
              </w:rPr>
              <w:t>anëtar</w:t>
            </w:r>
          </w:p>
        </w:tc>
      </w:tr>
      <w:tr w:rsidR="001D6B3B" w:rsidTr="001D6B3B">
        <w:tc>
          <w:tcPr>
            <w:tcW w:w="3119" w:type="dxa"/>
            <w:hideMark/>
          </w:tcPr>
          <w:p w:rsidR="001D6B3B" w:rsidRDefault="001D6B3B">
            <w:pPr>
              <w:widowControl w:val="0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Znj.Doris Çarçani</w:t>
            </w:r>
          </w:p>
        </w:tc>
        <w:tc>
          <w:tcPr>
            <w:tcW w:w="1842" w:type="dxa"/>
            <w:hideMark/>
          </w:tcPr>
          <w:p w:rsidR="001D6B3B" w:rsidRDefault="001D6B3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>
              <w:rPr>
                <w:rFonts w:ascii="CG Times" w:hAnsi="CG Times"/>
                <w:sz w:val="22"/>
                <w:szCs w:val="22"/>
              </w:rPr>
              <w:t>anëtar</w:t>
            </w:r>
          </w:p>
        </w:tc>
      </w:tr>
      <w:tr w:rsidR="001D6B3B" w:rsidTr="001D6B3B">
        <w:tc>
          <w:tcPr>
            <w:tcW w:w="3119" w:type="dxa"/>
            <w:hideMark/>
          </w:tcPr>
          <w:p w:rsidR="001D6B3B" w:rsidRDefault="001D6B3B">
            <w:pPr>
              <w:widowControl w:val="0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Z.Gazment Bardhi</w:t>
            </w:r>
          </w:p>
        </w:tc>
        <w:tc>
          <w:tcPr>
            <w:tcW w:w="1842" w:type="dxa"/>
            <w:hideMark/>
          </w:tcPr>
          <w:p w:rsidR="001D6B3B" w:rsidRDefault="001D6B3B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>
              <w:rPr>
                <w:rFonts w:ascii="CG Times" w:hAnsi="CG Times"/>
                <w:sz w:val="22"/>
                <w:szCs w:val="22"/>
              </w:rPr>
              <w:t>anëtar</w:t>
            </w:r>
          </w:p>
        </w:tc>
      </w:tr>
    </w:tbl>
    <w:p w:rsidR="001D6B3B" w:rsidRDefault="001D6B3B" w:rsidP="001D6B3B">
      <w:pPr>
        <w:pStyle w:val="Akti"/>
        <w:keepNext w:val="0"/>
        <w:jc w:val="left"/>
        <w:rPr>
          <w:lang w:val="sq-AL"/>
        </w:rPr>
      </w:pPr>
    </w:p>
    <w:p w:rsidR="00841FB6" w:rsidRPr="001D6B3B" w:rsidRDefault="00841FB6" w:rsidP="001D6B3B"/>
    <w:sectPr w:rsidR="00841FB6" w:rsidRPr="001D6B3B" w:rsidSect="00DE0F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41FB6"/>
    <w:rsid w:val="001D6B3B"/>
    <w:rsid w:val="00306C55"/>
    <w:rsid w:val="00841FB6"/>
    <w:rsid w:val="00DE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27317A2-52A9-4A19-A189-E6451A4BA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1FB6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41FB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841FB6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841FB6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841FB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link w:val="NumriData"/>
    <w:locked/>
    <w:rsid w:val="00841FB6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841FB6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link w:val="Paragrafi"/>
    <w:locked/>
    <w:rsid w:val="00841FB6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841FB6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841FB6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link w:val="VENDOSI"/>
    <w:locked/>
    <w:rsid w:val="00841FB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link w:val="Titulli"/>
    <w:rsid w:val="00841FB6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link w:val="Autoriteti"/>
    <w:locked/>
    <w:rsid w:val="00841FB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link w:val="Akti"/>
    <w:rsid w:val="00841FB6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1F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41FB6"/>
    <w:rPr>
      <w:rFonts w:ascii="Tahoma" w:eastAsia="MS Mincho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28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QBZ Admin</cp:lastModifiedBy>
  <cp:revision>2</cp:revision>
  <dcterms:created xsi:type="dcterms:W3CDTF">2019-03-18T13:07:00Z</dcterms:created>
  <dcterms:modified xsi:type="dcterms:W3CDTF">2019-03-18T13:07:00Z</dcterms:modified>
</cp:coreProperties>
</file>