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ACA" w:rsidRPr="00B02D41" w:rsidRDefault="00991ACA" w:rsidP="00991ACA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B02D41">
        <w:rPr>
          <w:b/>
          <w:lang w:val="sq-AL"/>
        </w:rPr>
        <w:t>VENDIM</w:t>
      </w:r>
    </w:p>
    <w:p w:rsidR="00991ACA" w:rsidRPr="00B02D41" w:rsidRDefault="00991ACA" w:rsidP="00991ACA">
      <w:pPr>
        <w:pStyle w:val="Paragrafi"/>
        <w:ind w:firstLine="0"/>
        <w:jc w:val="center"/>
        <w:rPr>
          <w:b/>
          <w:lang w:val="sq-AL"/>
        </w:rPr>
      </w:pPr>
      <w:r w:rsidRPr="00B02D41">
        <w:rPr>
          <w:b/>
          <w:lang w:val="sq-AL"/>
        </w:rPr>
        <w:t>Nr. 117, datë 13.2.2013</w:t>
      </w:r>
    </w:p>
    <w:p w:rsidR="00991ACA" w:rsidRPr="00B02D41" w:rsidRDefault="00991ACA" w:rsidP="00991ACA">
      <w:pPr>
        <w:pStyle w:val="Paragrafi"/>
        <w:jc w:val="center"/>
        <w:rPr>
          <w:b/>
          <w:lang w:val="sq-AL"/>
        </w:rPr>
      </w:pPr>
    </w:p>
    <w:p w:rsidR="00991ACA" w:rsidRPr="00B02D41" w:rsidRDefault="00991ACA" w:rsidP="00991ACA">
      <w:pPr>
        <w:pStyle w:val="Paragrafi"/>
        <w:ind w:firstLine="0"/>
        <w:jc w:val="center"/>
        <w:rPr>
          <w:b/>
          <w:lang w:val="sq-AL"/>
        </w:rPr>
      </w:pPr>
      <w:r w:rsidRPr="00B02D41">
        <w:rPr>
          <w:b/>
          <w:lang w:val="sq-AL"/>
        </w:rPr>
        <w:t>PËR KRITERET</w:t>
      </w:r>
      <w:r>
        <w:rPr>
          <w:b/>
          <w:lang w:val="sq-AL"/>
        </w:rPr>
        <w:t>,</w:t>
      </w:r>
      <w:r w:rsidRPr="00B02D41">
        <w:rPr>
          <w:b/>
          <w:lang w:val="sq-AL"/>
        </w:rPr>
        <w:t xml:space="preserve"> NË BAZË TË TË CILAVE PËRCAKTOHET KUR DISA TIPA TË METALIT SKRAP PUSHOJNË SË QENI MBETJE</w:t>
      </w:r>
      <w:r w:rsidRPr="00B02D41">
        <w:rPr>
          <w:b/>
          <w:vertAlign w:val="superscript"/>
          <w:lang w:val="sq-AL"/>
        </w:rPr>
        <w:footnoteReference w:id="1"/>
      </w:r>
    </w:p>
    <w:p w:rsidR="00991ACA" w:rsidRPr="00B02D41" w:rsidRDefault="00991ACA" w:rsidP="00991ACA">
      <w:pPr>
        <w:pStyle w:val="Paragrafi"/>
        <w:rPr>
          <w:lang w:val="sq-AL"/>
        </w:rPr>
      </w:pP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Në mbështetje të nenit 100 të Kushtetutës dhe të nenit 8 të ligjit nr. 10 463, datë 22.9.2011 “Për menaxhimin e integruar të mbetjeve”, me propozimin e Ministrit të Mjedisit, Pyjeve dhe Administrimit të Ujërave, Këshilli i Ministrave</w:t>
      </w:r>
    </w:p>
    <w:p w:rsidR="00991ACA" w:rsidRPr="00B02D41" w:rsidRDefault="00991ACA" w:rsidP="00991ACA">
      <w:pPr>
        <w:pStyle w:val="Paragrafi"/>
        <w:rPr>
          <w:lang w:val="sq-AL"/>
        </w:rPr>
      </w:pPr>
    </w:p>
    <w:p w:rsidR="00991ACA" w:rsidRPr="00B02D41" w:rsidRDefault="00991ACA" w:rsidP="00991ACA">
      <w:pPr>
        <w:pStyle w:val="Paragrafi"/>
        <w:ind w:firstLine="0"/>
        <w:jc w:val="center"/>
        <w:rPr>
          <w:lang w:val="sq-AL"/>
        </w:rPr>
      </w:pPr>
      <w:r w:rsidRPr="00B02D41">
        <w:rPr>
          <w:lang w:val="sq-AL"/>
        </w:rPr>
        <w:t>VENDOSI:</w:t>
      </w:r>
    </w:p>
    <w:p w:rsidR="00991ACA" w:rsidRPr="00B02D41" w:rsidRDefault="00991ACA" w:rsidP="00991ACA">
      <w:pPr>
        <w:pStyle w:val="Paragrafi"/>
        <w:rPr>
          <w:lang w:val="sq-AL"/>
        </w:rPr>
      </w:pPr>
    </w:p>
    <w:p w:rsidR="00991ACA" w:rsidRPr="00B02D41" w:rsidRDefault="00991ACA" w:rsidP="00991ACA">
      <w:pPr>
        <w:pStyle w:val="Paragrafi"/>
        <w:rPr>
          <w:lang w:val="sq-AL"/>
        </w:rPr>
      </w:pPr>
      <w:r>
        <w:rPr>
          <w:lang w:val="sq-AL"/>
        </w:rPr>
        <w:t>I. Për qëllimet e këtij vendimi,</w:t>
      </w:r>
      <w:r w:rsidRPr="00B02D41">
        <w:rPr>
          <w:lang w:val="sq-AL"/>
        </w:rPr>
        <w:t xml:space="preserve"> do të përdoren, përveç termave të ligjit “Për menaxhimin e integruar të mbetjeve”, edhe përkufizimet e mëposhtme: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 xml:space="preserve">a)  “Skrapi i hekurit dhe </w:t>
      </w:r>
      <w:r>
        <w:rPr>
          <w:lang w:val="sq-AL"/>
        </w:rPr>
        <w:t xml:space="preserve">i </w:t>
      </w:r>
      <w:r w:rsidRPr="00B02D41">
        <w:rPr>
          <w:lang w:val="sq-AL"/>
        </w:rPr>
        <w:t>çelikut”, skrap, i cili përbëhet kryesisht nga metal hekuri dhe çeliku;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b) “Skrap alumini”, skrapi i cili përbëhet kryesisht nga metal alumini dhe aliazhet e tij;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c)  “Mbajtës”, një person, fizik ose juridik, i cili posedon l (një) skrap;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ç) “Prodhues”, mbajtësi që transferon skrap te një mbajtës tjetër për herë të parë, si skrap i cili ka pushuar së qeni mbetje;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 xml:space="preserve"> d) “Importues”, çdo person, fizik ose juridik, i licencuar sipas legjislacionit në fuqi, i cili importon skrap, që ka pushuar së qeni mbetje në vendin nga i cili importohet;</w:t>
      </w:r>
    </w:p>
    <w:p w:rsidR="00991ACA" w:rsidRPr="00B02D41" w:rsidRDefault="00991ACA" w:rsidP="00991ACA">
      <w:pPr>
        <w:pStyle w:val="Paragrafi"/>
        <w:rPr>
          <w:lang w:val="sq-AL"/>
        </w:rPr>
      </w:pPr>
      <w:r>
        <w:rPr>
          <w:lang w:val="sq-AL"/>
        </w:rPr>
        <w:t>dh) “Staf i kualifikuar”, staf,</w:t>
      </w:r>
      <w:r w:rsidRPr="00B02D41">
        <w:rPr>
          <w:lang w:val="sq-AL"/>
        </w:rPr>
        <w:t xml:space="preserve"> i cili është kualifikuar nga përvoja ose trajnimi për të monitoruar dhe vlerësuar cilësitë e skrapit;</w:t>
      </w:r>
    </w:p>
    <w:p w:rsidR="00991ACA" w:rsidRPr="00B02D41" w:rsidRDefault="00991ACA" w:rsidP="00991ACA">
      <w:pPr>
        <w:pStyle w:val="Paragrafi"/>
        <w:rPr>
          <w:lang w:val="sq-AL"/>
        </w:rPr>
      </w:pPr>
      <w:r>
        <w:rPr>
          <w:lang w:val="sq-AL"/>
        </w:rPr>
        <w:t xml:space="preserve">e) </w:t>
      </w:r>
      <w:r w:rsidRPr="00B02D41">
        <w:rPr>
          <w:lang w:val="sq-AL"/>
        </w:rPr>
        <w:t>“Inspektim vizual”, inspektim i skrapit, që mbulon të gjitha pjesët e një dërgese dhe që përdor shqisat njerëzore ose ndonjë pajisje të paspecializuar;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ë) “Dërgesë”, një sasi skrapi</w:t>
      </w:r>
      <w:r>
        <w:rPr>
          <w:lang w:val="sq-AL"/>
        </w:rPr>
        <w:t>, i cili synohet për li</w:t>
      </w:r>
      <w:r w:rsidRPr="00B02D41">
        <w:rPr>
          <w:lang w:val="sq-AL"/>
        </w:rPr>
        <w:t>vrim nga një prodhues te një mbajtës tjetër dhe që mund të përmbahet në një ose disa njësi transporti, si konte</w:t>
      </w:r>
      <w:r>
        <w:rPr>
          <w:lang w:val="sq-AL"/>
        </w:rPr>
        <w:t>j</w:t>
      </w:r>
      <w:r w:rsidRPr="00B02D41">
        <w:rPr>
          <w:lang w:val="sq-AL"/>
        </w:rPr>
        <w:t>nerët.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II. Kriteret</w:t>
      </w:r>
      <w:r>
        <w:rPr>
          <w:lang w:val="sq-AL"/>
        </w:rPr>
        <w:t>,</w:t>
      </w:r>
      <w:r w:rsidRPr="00B02D41">
        <w:rPr>
          <w:lang w:val="sq-AL"/>
        </w:rPr>
        <w:t xml:space="preserve"> në bazë të të cilave përcaktohet kur </w:t>
      </w:r>
      <w:r>
        <w:rPr>
          <w:lang w:val="sq-AL"/>
        </w:rPr>
        <w:t>pushojnë së qeni mbetje skrapi i</w:t>
      </w:r>
      <w:r w:rsidRPr="00B02D41">
        <w:rPr>
          <w:lang w:val="sq-AL"/>
        </w:rPr>
        <w:t xml:space="preserve"> hekurit dhe </w:t>
      </w:r>
      <w:r>
        <w:rPr>
          <w:lang w:val="sq-AL"/>
        </w:rPr>
        <w:t>i</w:t>
      </w:r>
      <w:r w:rsidRPr="00B02D41">
        <w:rPr>
          <w:lang w:val="sq-AL"/>
        </w:rPr>
        <w:t xml:space="preserve"> çelikut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Skrapi i hekurit dhe i çelikut do të pushojë së qeni mbetje aty ku, me transferimin nga prodhuesi te një mbajtës tjetër, plotësohen të gjitha kushtet e mëposhtme: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a) mbetjet e përdorura si input për operacionin e rikuperimit janë në përputhje me kriteret e parashkruara në seksionin 2 të aneksit I, bashkëlidhur këtij vendimi;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b) mbetjet e përdorura si input për operacionin e rikuperimit janë trajtuar në përputhje me kriteret e parashikuara në seksionin 2 të aneksit I, bashkëlidhur këtij vendimi;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c) skrapi i hekurit dhe i çelikut, që rezulton nga operacioni i rikuperimit, janë në përputhje me kriteret e parashikuara në seksionin 1 të aneksit I, bashkëlidhur këtij vendimi;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ç) prodhuesi ka plotësuar kërkesat e parashikuara në pikat 5 dhe 6 të kreut V të këtij vendimi.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III. Kriteret</w:t>
      </w:r>
      <w:r>
        <w:rPr>
          <w:lang w:val="sq-AL"/>
        </w:rPr>
        <w:t>,</w:t>
      </w:r>
      <w:r w:rsidRPr="00B02D41">
        <w:rPr>
          <w:lang w:val="sq-AL"/>
        </w:rPr>
        <w:t xml:space="preserve"> në bazë të të cilave përcaktohet kur pushon së qeni mbetje skrapi i aluminit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Skrapi i aluminit, që përfshin skrapin e aliazheve të aluminit, do të pushojë së qeni mbetje aty ku, me transferimin nga prodhuesi te një mbajtës tjetër, plotësohen të gjitha kushtet e mëposhtme: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a) mbetja e përdorur si input në operacionin e rikuperimit është në përputhje me kriteret e parashikuara në seksionin 2 të aneksit II, bashkëlidhur këtij vendimi;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b) mbetjet e përdorura si input në operacionin e rikuperimit janë trajtuar në përputhje me kriteret e parashikuara në seksionin 2, të aneksit II, bashkëlidhur këtij vendimi;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c) skrapi i aluminit, që rezulton nga operacioni i rikuperimit, është në përputhje me kriteret e parashikuara në seksionin 1 të aneksit II, bashkëlidhur këtij vendimi;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ç) prodhuesi ka plotësuar kërkesat e parashikuara në pikat 5 dhe 6 të kreut V të këtij vendimi.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IV. Deklarata e konformitetit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1. Prodhuesi ose importuesi do të lëshojë, për çdo dërgesë të metalit skrap, një deklaratë të konformitetit, në përputhje me modelin e parashikuar në aneksin 3, bashkëlidhur këtij vendimi.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 xml:space="preserve">2. Prodhuesi ose importuesi do ta transmetojë deklaratën e konformitetit te mbajtësi tjetër i dërgesës së metalit skrap. Prodhuesi ose importuesi do të mbajë një kopje të </w:t>
      </w:r>
      <w:r>
        <w:rPr>
          <w:lang w:val="sq-AL"/>
        </w:rPr>
        <w:t>deklaratës së konformitetit, për të paktën</w:t>
      </w:r>
      <w:r w:rsidRPr="00B02D41">
        <w:rPr>
          <w:lang w:val="sq-AL"/>
        </w:rPr>
        <w:t xml:space="preserve"> një vit pas datës së lëshimit dhe do ta vërë atë në dispozicion të autoriteteve kompetente sipas kërkesës së tyre. 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3. Deklarata e konformitetit mund të jetë në formë elektronike.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V. Menaxhimi i cilësisë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1. Një prodhues do të implementojë një sistem të menaxhimit të cilësisë</w:t>
      </w:r>
      <w:r>
        <w:rPr>
          <w:lang w:val="sq-AL"/>
        </w:rPr>
        <w:t>,</w:t>
      </w:r>
      <w:r w:rsidRPr="00B02D41">
        <w:rPr>
          <w:lang w:val="sq-AL"/>
        </w:rPr>
        <w:t xml:space="preserve"> të përshtatshëm për të demonstruar përputhshmërinë me kriteret që janë përcaktuar në krerët 3 dhe 4 të këtij vendimi. 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2. Sistemi i menaxhimit të cilësisë do të përfshijë disa procedura të dokumentuara</w:t>
      </w:r>
      <w:r>
        <w:rPr>
          <w:lang w:val="sq-AL"/>
        </w:rPr>
        <w:t>,</w:t>
      </w:r>
      <w:r w:rsidRPr="00B02D41">
        <w:rPr>
          <w:lang w:val="sq-AL"/>
        </w:rPr>
        <w:t xml:space="preserve"> që kanë të bëjnë me: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a) kontrollin e pranimit të mbetjeve që përdoren si input për operacionin e rikuperimit, siç parashikohet në seksionin 2 të anekseve I dhe II të këtij vendimi;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b) monitorimin e proceseve të trajtimit dhe teknikave të përshkruara në seksionin 3.3 të anekseve I dhe II të këtij vendimi;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 xml:space="preserve">c) </w:t>
      </w:r>
      <w:r>
        <w:rPr>
          <w:lang w:val="sq-AL"/>
        </w:rPr>
        <w:t>monitorimin e</w:t>
      </w:r>
      <w:r w:rsidRPr="00B02D41">
        <w:rPr>
          <w:lang w:val="sq-AL"/>
        </w:rPr>
        <w:t xml:space="preserve"> cilësisë së metalit skrap, që rezulton nga operacioni i rikuperimit, siç parashikohet në seksionin 1 të anekseve I dhe II (duke përfshirë marrjen e mostrave dhe analizën);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ç) efektivitetin e monitorimit të radiacionit, siç parashikohet në seksionin 1.5 të anekseve I dhe II të këtij vendimi;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d) vlerësimin, nga klientët, në lidhje me përputhshmërinë e cilësisë së metalit skrap;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dh) mbajtjen e të dhënave të rezultateve të monitorimit të kryer, sipas shkronjave “a” deri në “d” të kësaj pike;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e) rishikimin dhe përmirësimin e sistemit të menaxhimit të cilësisë;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ë) trajnimin e stafit.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3. Sistemi i menaxhimit të cilësisë, gjithashtu, do të parashkruajë kërkesat e monitorimit specifik të parashkruara për çdo kriter në anekset I dhe II të këtij vendimi.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4. Kur ndonjë trajtim që përmendet në seksionin 3.3 të aneksit I ose në seksionin 3.3 të aneksit II, kryhet nga një mbajtës i mëparshëm, prodhuesi do të sigurojë që furnizuesi të zbatojë një sistem menaxhimi cilësie, i cili të përputhet me kërkesat e këtij kreu.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 xml:space="preserve">5. Inspektorati Shtetëror për Mjedisin është përgjegjës për të verifikuar që sistemi i menaxhimit dhe </w:t>
      </w:r>
      <w:r>
        <w:rPr>
          <w:lang w:val="sq-AL"/>
        </w:rPr>
        <w:t xml:space="preserve">i </w:t>
      </w:r>
      <w:r w:rsidRPr="00B02D41">
        <w:rPr>
          <w:lang w:val="sq-AL"/>
        </w:rPr>
        <w:t>cilësisë përputhet me kërkesat e kësaj pike. Verifikimet duhet të kryhen vazhdimisht nga Inspektorati Qendror Teknik, në përputhje me nenet 9 dhe 31 të ligjit nr. 10 480, datë 17.11.2011 “Për sigurinë e përgjithshme të produkteve joushqimore”. Autoritetet doganore, për sasitë e importuara, duhet të verifikojnë cilësinë e produkteve (lëndëve të para skrap që pushojnë së qeni mbetje) në laboratorë të akredituar nga Drejtoria e Përgjithshme e Standardeve.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6. Importuesi do t’u kërkojë furnizuesve të tij të zbatojnë një sistem menaxhimi cilësie, i cili të përputhet me kërkesat e pikav</w:t>
      </w:r>
      <w:r>
        <w:rPr>
          <w:lang w:val="sq-AL"/>
        </w:rPr>
        <w:t>e 1, 2 e 3 të këtij kreu</w:t>
      </w:r>
      <w:r w:rsidRPr="00B02D41">
        <w:rPr>
          <w:lang w:val="sq-AL"/>
        </w:rPr>
        <w:t xml:space="preserve"> dhe të verifikuar nga një verifikues i pavarur i jashtëm.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7. Prodhuesi do t’i japë Inspektoratit Shtetëror për Mjedisin akses për sistemin e menaxhimit të cilësisë, me kërkesë të tij.</w:t>
      </w:r>
    </w:p>
    <w:p w:rsidR="00991ACA" w:rsidRPr="00B02D41" w:rsidRDefault="00991ACA" w:rsidP="00991ACA">
      <w:pPr>
        <w:pStyle w:val="Paragrafi"/>
        <w:rPr>
          <w:lang w:val="sq-AL"/>
        </w:rPr>
      </w:pPr>
      <w:r>
        <w:rPr>
          <w:lang w:val="sq-AL"/>
        </w:rPr>
        <w:t xml:space="preserve">VI. </w:t>
      </w:r>
      <w:r w:rsidRPr="00B02D41">
        <w:rPr>
          <w:lang w:val="sq-AL"/>
        </w:rPr>
        <w:t>Hyrja në fuqi</w:t>
      </w:r>
    </w:p>
    <w:p w:rsidR="00991ACA" w:rsidRPr="00B02D41" w:rsidRDefault="00991ACA" w:rsidP="00991ACA">
      <w:pPr>
        <w:pStyle w:val="Paragrafi"/>
        <w:rPr>
          <w:lang w:val="sq-AL"/>
        </w:rPr>
      </w:pPr>
      <w:r w:rsidRPr="00B02D41">
        <w:rPr>
          <w:lang w:val="sq-AL"/>
        </w:rPr>
        <w:t>Ky vendim hyn në fuqi pas botimit në Fletoren Zyrtare.</w:t>
      </w:r>
    </w:p>
    <w:p w:rsidR="00991ACA" w:rsidRPr="00B02D41" w:rsidRDefault="00991ACA" w:rsidP="00991ACA">
      <w:pPr>
        <w:pStyle w:val="Paragrafi"/>
        <w:rPr>
          <w:lang w:val="sq-AL"/>
        </w:rPr>
      </w:pPr>
    </w:p>
    <w:p w:rsidR="00991ACA" w:rsidRPr="00B02D41" w:rsidRDefault="00991ACA" w:rsidP="00991ACA">
      <w:pPr>
        <w:pStyle w:val="Paragrafi"/>
        <w:jc w:val="right"/>
        <w:rPr>
          <w:lang w:val="sq-AL"/>
        </w:rPr>
      </w:pPr>
      <w:r w:rsidRPr="00B02D41">
        <w:rPr>
          <w:lang w:val="sq-AL"/>
        </w:rPr>
        <w:t>KRYEMINISTRI</w:t>
      </w:r>
    </w:p>
    <w:p w:rsidR="00991ACA" w:rsidRPr="00B02D41" w:rsidRDefault="00991ACA" w:rsidP="00991ACA">
      <w:pPr>
        <w:pStyle w:val="Paragrafi"/>
        <w:jc w:val="right"/>
        <w:rPr>
          <w:b/>
          <w:lang w:val="sq-AL"/>
        </w:rPr>
      </w:pPr>
      <w:r w:rsidRPr="00B02D41">
        <w:rPr>
          <w:b/>
          <w:lang w:val="sq-AL"/>
        </w:rPr>
        <w:t>Sali Berisha</w:t>
      </w:r>
    </w:p>
    <w:sectPr w:rsidR="00991ACA" w:rsidRPr="00B02D41" w:rsidSect="00CA6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4E2" w:rsidRDefault="007764E2" w:rsidP="00991ACA">
      <w:r>
        <w:separator/>
      </w:r>
    </w:p>
  </w:endnote>
  <w:endnote w:type="continuationSeparator" w:id="0">
    <w:p w:rsidR="007764E2" w:rsidRDefault="007764E2" w:rsidP="0099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4E2" w:rsidRDefault="007764E2" w:rsidP="00991ACA">
      <w:r>
        <w:separator/>
      </w:r>
    </w:p>
  </w:footnote>
  <w:footnote w:type="continuationSeparator" w:id="0">
    <w:p w:rsidR="007764E2" w:rsidRDefault="007764E2" w:rsidP="00991ACA">
      <w:r>
        <w:continuationSeparator/>
      </w:r>
    </w:p>
  </w:footnote>
  <w:footnote w:id="1">
    <w:p w:rsidR="00991ACA" w:rsidRPr="00206EE8" w:rsidRDefault="00991ACA" w:rsidP="00991ACA">
      <w:pPr>
        <w:ind w:firstLine="720"/>
        <w:jc w:val="both"/>
        <w:rPr>
          <w:rFonts w:ascii="CG Times" w:hAnsi="CG Times"/>
          <w:sz w:val="20"/>
          <w:szCs w:val="20"/>
        </w:rPr>
      </w:pPr>
      <w:r w:rsidRPr="00206EE8">
        <w:rPr>
          <w:rStyle w:val="FootnoteReference"/>
          <w:rFonts w:ascii="CG Times" w:hAnsi="CG Times"/>
        </w:rPr>
        <w:footnoteRef/>
      </w:r>
      <w:r w:rsidRPr="00206EE8">
        <w:rPr>
          <w:rFonts w:ascii="CG Times" w:hAnsi="CG Times"/>
          <w:sz w:val="20"/>
          <w:szCs w:val="20"/>
        </w:rPr>
        <w:t>Ky vendim transpozon plotësisht rregulloren e Këshillit (BE) nr.</w:t>
      </w:r>
      <w:r>
        <w:rPr>
          <w:rFonts w:ascii="CG Times" w:hAnsi="CG Times"/>
          <w:sz w:val="20"/>
          <w:szCs w:val="20"/>
        </w:rPr>
        <w:t xml:space="preserve"> </w:t>
      </w:r>
      <w:r w:rsidRPr="00206EE8">
        <w:rPr>
          <w:rFonts w:ascii="CG Times" w:hAnsi="CG Times"/>
          <w:sz w:val="20"/>
          <w:szCs w:val="20"/>
        </w:rPr>
        <w:t>333/2011 të 31 marsit 2011, që vendos kriteret që përcaktojnë</w:t>
      </w:r>
      <w:r>
        <w:rPr>
          <w:rFonts w:ascii="CG Times" w:hAnsi="CG Times"/>
          <w:sz w:val="20"/>
          <w:szCs w:val="20"/>
        </w:rPr>
        <w:t>,</w:t>
      </w:r>
      <w:r w:rsidRPr="00206EE8">
        <w:rPr>
          <w:rFonts w:ascii="CG Times" w:hAnsi="CG Times"/>
          <w:sz w:val="20"/>
          <w:szCs w:val="20"/>
        </w:rPr>
        <w:t xml:space="preserve"> kur disa tipa të metalit skrap pushojnë së qeni mbetje, sipas direktivës 2008/98/EC të Parlamentit Europian dhe të Këshillit.</w:t>
      </w:r>
    </w:p>
    <w:p w:rsidR="00991ACA" w:rsidRPr="00206EE8" w:rsidRDefault="00991ACA" w:rsidP="00991ACA">
      <w:pPr>
        <w:pStyle w:val="FootnoteText"/>
        <w:rPr>
          <w:rFonts w:ascii="CG Times" w:hAnsi="CG Time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1ACA"/>
    <w:rsid w:val="00382C45"/>
    <w:rsid w:val="007764E2"/>
    <w:rsid w:val="00991ACA"/>
    <w:rsid w:val="00CA63D7"/>
    <w:rsid w:val="00E8409C"/>
    <w:rsid w:val="00F4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1556C8-300D-4BA3-8D59-CA4E5F01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ACA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91AC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91AC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styleId="FootnoteText">
    <w:name w:val="footnote text"/>
    <w:basedOn w:val="Normal"/>
    <w:link w:val="FootnoteTextChar"/>
    <w:uiPriority w:val="99"/>
    <w:rsid w:val="00991AC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1AC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rsid w:val="00991A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