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BA9" w:rsidRPr="002E055C" w:rsidRDefault="00300BA9" w:rsidP="00300BA9">
      <w:pPr>
        <w:pStyle w:val="Akti"/>
        <w:rPr>
          <w:lang w:val="sq-AL"/>
        </w:rPr>
      </w:pPr>
      <w:bookmarkStart w:id="0" w:name="_GoBack"/>
      <w:bookmarkEnd w:id="0"/>
      <w:r w:rsidRPr="002E055C">
        <w:rPr>
          <w:lang w:val="sq-AL"/>
        </w:rPr>
        <w:t>VENDIM</w:t>
      </w:r>
    </w:p>
    <w:p w:rsidR="00300BA9" w:rsidRPr="002E055C" w:rsidRDefault="00300BA9" w:rsidP="00300BA9">
      <w:pPr>
        <w:pStyle w:val="NumriData"/>
        <w:rPr>
          <w:szCs w:val="17"/>
          <w:lang w:val="sq-AL"/>
        </w:rPr>
      </w:pPr>
      <w:r w:rsidRPr="002E055C">
        <w:rPr>
          <w:lang w:val="sq-AL"/>
        </w:rPr>
        <w:t>Nr. 180, datë 13.2.</w:t>
      </w:r>
      <w:r w:rsidRPr="002E055C">
        <w:rPr>
          <w:szCs w:val="17"/>
          <w:lang w:val="sq-AL"/>
        </w:rPr>
        <w:t>2013</w:t>
      </w:r>
    </w:p>
    <w:p w:rsidR="00300BA9" w:rsidRPr="001979DF" w:rsidRDefault="00300BA9" w:rsidP="00300BA9">
      <w:pPr>
        <w:pStyle w:val="Paragrafi"/>
        <w:rPr>
          <w:szCs w:val="25"/>
          <w:lang w:val="sq-AL"/>
        </w:rPr>
      </w:pPr>
    </w:p>
    <w:p w:rsidR="00300BA9" w:rsidRPr="002E055C" w:rsidRDefault="00300BA9" w:rsidP="00300BA9">
      <w:pPr>
        <w:pStyle w:val="Titulli"/>
        <w:rPr>
          <w:lang w:val="sq-AL"/>
        </w:rPr>
      </w:pPr>
      <w:r w:rsidRPr="002E055C">
        <w:rPr>
          <w:lang w:val="sq-AL"/>
        </w:rPr>
        <w:t>PËR PËRCAKTIMIN E LISTËS SË MAKINERIVE E TË PAJISJEVE QË JANË DREJTPËRDREJT TË LIDHURA ME INVESTIMIN DHE TË PROCEDURAVE TË PËRJASHTIMEVE E TË KRITEREVE PËRKATËSE</w:t>
      </w:r>
    </w:p>
    <w:p w:rsidR="00300BA9" w:rsidRPr="001979DF" w:rsidRDefault="00300BA9" w:rsidP="00300BA9">
      <w:pPr>
        <w:pStyle w:val="Paragrafi"/>
        <w:rPr>
          <w:szCs w:val="25"/>
          <w:lang w:val="sq-AL"/>
        </w:rPr>
      </w:pPr>
    </w:p>
    <w:p w:rsidR="00300BA9" w:rsidRPr="002E055C" w:rsidRDefault="00300BA9" w:rsidP="00300BA9">
      <w:pPr>
        <w:pStyle w:val="Paragrafi"/>
        <w:rPr>
          <w:szCs w:val="25"/>
          <w:lang w:val="sq-AL"/>
        </w:rPr>
      </w:pPr>
      <w:r w:rsidRPr="002E055C">
        <w:rPr>
          <w:szCs w:val="25"/>
          <w:lang w:val="sq-AL"/>
        </w:rPr>
        <w:t xml:space="preserve">Në mbështetje të nenit 100 të Kushtetutës dhe të shkronjave </w:t>
      </w:r>
      <w:r>
        <w:rPr>
          <w:szCs w:val="25"/>
          <w:lang w:val="sq-AL"/>
        </w:rPr>
        <w:t>“</w:t>
      </w:r>
      <w:r w:rsidRPr="002E055C">
        <w:rPr>
          <w:szCs w:val="25"/>
          <w:lang w:val="sq-AL"/>
        </w:rPr>
        <w:t>g</w:t>
      </w:r>
      <w:r>
        <w:rPr>
          <w:szCs w:val="25"/>
          <w:lang w:val="sq-AL"/>
        </w:rPr>
        <w:t>”</w:t>
      </w:r>
      <w:r w:rsidRPr="002E055C">
        <w:rPr>
          <w:szCs w:val="25"/>
          <w:lang w:val="sq-AL"/>
        </w:rPr>
        <w:t xml:space="preserve">, </w:t>
      </w:r>
      <w:r>
        <w:rPr>
          <w:szCs w:val="25"/>
          <w:lang w:val="sq-AL"/>
        </w:rPr>
        <w:t>“</w:t>
      </w:r>
      <w:r w:rsidRPr="002E055C">
        <w:rPr>
          <w:szCs w:val="25"/>
          <w:lang w:val="sq-AL"/>
        </w:rPr>
        <w:t>gj</w:t>
      </w:r>
      <w:r>
        <w:rPr>
          <w:szCs w:val="25"/>
          <w:lang w:val="sq-AL"/>
        </w:rPr>
        <w:t>”</w:t>
      </w:r>
      <w:r w:rsidRPr="002E055C">
        <w:rPr>
          <w:szCs w:val="25"/>
          <w:lang w:val="sq-AL"/>
        </w:rPr>
        <w:t xml:space="preserve"> e </w:t>
      </w:r>
      <w:r>
        <w:rPr>
          <w:szCs w:val="25"/>
          <w:lang w:val="sq-AL"/>
        </w:rPr>
        <w:t>“</w:t>
      </w:r>
      <w:r w:rsidRPr="002E055C">
        <w:rPr>
          <w:szCs w:val="25"/>
          <w:lang w:val="sq-AL"/>
        </w:rPr>
        <w:t>i</w:t>
      </w:r>
      <w:r>
        <w:rPr>
          <w:szCs w:val="25"/>
          <w:lang w:val="sq-AL"/>
        </w:rPr>
        <w:t>”</w:t>
      </w:r>
      <w:r w:rsidRPr="002E055C">
        <w:rPr>
          <w:szCs w:val="25"/>
          <w:lang w:val="sq-AL"/>
        </w:rPr>
        <w:t xml:space="preserve"> të nenit 261</w:t>
      </w:r>
      <w:r>
        <w:rPr>
          <w:szCs w:val="25"/>
          <w:lang w:val="sq-AL"/>
        </w:rPr>
        <w:t>/</w:t>
      </w:r>
      <w:r w:rsidRPr="002E055C">
        <w:rPr>
          <w:szCs w:val="25"/>
          <w:lang w:val="sq-AL"/>
        </w:rPr>
        <w:t xml:space="preserve">1 të </w:t>
      </w:r>
      <w:r>
        <w:rPr>
          <w:szCs w:val="25"/>
          <w:lang w:val="sq-AL"/>
        </w:rPr>
        <w:t>l</w:t>
      </w:r>
      <w:r w:rsidRPr="002E055C">
        <w:rPr>
          <w:szCs w:val="25"/>
          <w:lang w:val="sq-AL"/>
        </w:rPr>
        <w:t xml:space="preserve">igjit nr. 7928, datë 27.4.1995 </w:t>
      </w:r>
      <w:r>
        <w:rPr>
          <w:szCs w:val="25"/>
          <w:lang w:val="sq-AL"/>
        </w:rPr>
        <w:t>“</w:t>
      </w:r>
      <w:r w:rsidRPr="002E055C">
        <w:rPr>
          <w:szCs w:val="25"/>
          <w:lang w:val="sq-AL"/>
        </w:rPr>
        <w:t>Për tatimin mbi vlerën e shtuar</w:t>
      </w:r>
      <w:r>
        <w:rPr>
          <w:szCs w:val="25"/>
          <w:lang w:val="sq-AL"/>
        </w:rPr>
        <w:t>”</w:t>
      </w:r>
      <w:r w:rsidRPr="002E055C">
        <w:rPr>
          <w:szCs w:val="25"/>
          <w:lang w:val="sq-AL"/>
        </w:rPr>
        <w:t>, të ndryshuar, me propozimin e Ministrit të Financave, Këshilli i Ministrave</w:t>
      </w:r>
    </w:p>
    <w:p w:rsidR="00300BA9" w:rsidRPr="001979DF" w:rsidRDefault="00300BA9" w:rsidP="00300BA9">
      <w:pPr>
        <w:pStyle w:val="Paragrafi"/>
        <w:ind w:firstLine="0"/>
        <w:rPr>
          <w:sz w:val="20"/>
          <w:szCs w:val="25"/>
          <w:lang w:val="sq-AL"/>
        </w:rPr>
      </w:pPr>
    </w:p>
    <w:p w:rsidR="00300BA9" w:rsidRPr="002E055C" w:rsidRDefault="00300BA9" w:rsidP="00300BA9">
      <w:pPr>
        <w:pStyle w:val="VENDOSI"/>
        <w:rPr>
          <w:lang w:val="sq-AL"/>
        </w:rPr>
      </w:pPr>
      <w:r w:rsidRPr="002E055C">
        <w:rPr>
          <w:lang w:val="sq-AL"/>
        </w:rPr>
        <w:t>VENDOSI:</w:t>
      </w:r>
    </w:p>
    <w:p w:rsidR="00300BA9" w:rsidRPr="001979DF" w:rsidRDefault="00300BA9" w:rsidP="00300BA9">
      <w:pPr>
        <w:pStyle w:val="Paragrafi"/>
        <w:rPr>
          <w:szCs w:val="25"/>
          <w:lang w:val="sq-AL"/>
        </w:rPr>
      </w:pPr>
    </w:p>
    <w:p w:rsidR="00300BA9" w:rsidRPr="002E055C" w:rsidRDefault="00300BA9" w:rsidP="00300BA9">
      <w:pPr>
        <w:pStyle w:val="Paragrafi"/>
        <w:rPr>
          <w:szCs w:val="25"/>
          <w:lang w:val="sq-AL"/>
        </w:rPr>
      </w:pPr>
      <w:r w:rsidRPr="002E055C">
        <w:rPr>
          <w:szCs w:val="25"/>
          <w:lang w:val="sq-AL"/>
        </w:rPr>
        <w:t xml:space="preserve">1. Në zbatim të shkronjave </w:t>
      </w:r>
      <w:r>
        <w:rPr>
          <w:szCs w:val="25"/>
          <w:lang w:val="sq-AL"/>
        </w:rPr>
        <w:t>“</w:t>
      </w:r>
      <w:r w:rsidRPr="002E055C">
        <w:rPr>
          <w:szCs w:val="25"/>
          <w:lang w:val="sq-AL"/>
        </w:rPr>
        <w:t>g</w:t>
      </w:r>
      <w:r>
        <w:rPr>
          <w:szCs w:val="25"/>
          <w:lang w:val="sq-AL"/>
        </w:rPr>
        <w:t>”</w:t>
      </w:r>
      <w:r w:rsidRPr="002E055C">
        <w:rPr>
          <w:szCs w:val="25"/>
          <w:lang w:val="sq-AL"/>
        </w:rPr>
        <w:t xml:space="preserve">, </w:t>
      </w:r>
      <w:r>
        <w:rPr>
          <w:szCs w:val="25"/>
          <w:lang w:val="sq-AL"/>
        </w:rPr>
        <w:t>“</w:t>
      </w:r>
      <w:r w:rsidRPr="002E055C">
        <w:rPr>
          <w:szCs w:val="25"/>
          <w:lang w:val="sq-AL"/>
        </w:rPr>
        <w:t>gj</w:t>
      </w:r>
      <w:r>
        <w:rPr>
          <w:szCs w:val="25"/>
          <w:lang w:val="sq-AL"/>
        </w:rPr>
        <w:t>”</w:t>
      </w:r>
      <w:r w:rsidRPr="002E055C">
        <w:rPr>
          <w:szCs w:val="25"/>
          <w:lang w:val="sq-AL"/>
        </w:rPr>
        <w:t xml:space="preserve"> e </w:t>
      </w:r>
      <w:r>
        <w:rPr>
          <w:szCs w:val="25"/>
          <w:lang w:val="sq-AL"/>
        </w:rPr>
        <w:t>“</w:t>
      </w:r>
      <w:r w:rsidRPr="002E055C">
        <w:rPr>
          <w:szCs w:val="25"/>
          <w:lang w:val="sq-AL"/>
        </w:rPr>
        <w:t>i</w:t>
      </w:r>
      <w:r>
        <w:rPr>
          <w:szCs w:val="25"/>
          <w:lang w:val="sq-AL"/>
        </w:rPr>
        <w:t>”</w:t>
      </w:r>
      <w:r w:rsidRPr="002E055C">
        <w:rPr>
          <w:szCs w:val="25"/>
          <w:lang w:val="sq-AL"/>
        </w:rPr>
        <w:t xml:space="preserve"> të nenit 26.1 të ligjit nr. 7928, datë 27.4.1995, të ndryshuar, subjekt i këtij vendimi</w:t>
      </w:r>
      <w:r>
        <w:rPr>
          <w:szCs w:val="25"/>
          <w:lang w:val="sq-AL"/>
        </w:rPr>
        <w:t xml:space="preserve"> </w:t>
      </w:r>
      <w:r w:rsidRPr="002E055C">
        <w:rPr>
          <w:szCs w:val="25"/>
          <w:lang w:val="sq-AL"/>
        </w:rPr>
        <w:t xml:space="preserve">janë: </w:t>
      </w:r>
    </w:p>
    <w:p w:rsidR="00300BA9" w:rsidRPr="002E055C" w:rsidRDefault="00300BA9" w:rsidP="00300BA9">
      <w:pPr>
        <w:pStyle w:val="Paragrafi"/>
        <w:rPr>
          <w:szCs w:val="25"/>
          <w:lang w:val="sq-AL"/>
        </w:rPr>
      </w:pPr>
      <w:r w:rsidRPr="002E055C">
        <w:rPr>
          <w:szCs w:val="25"/>
          <w:lang w:val="sq-AL"/>
        </w:rPr>
        <w:t xml:space="preserve">a) tatimpaguesit që importojnë makineri dhe pajisje në funksion të realizimit të kontratave të investimit me vlerë në ose mbi 50 000 000 (pesëdhjetë milionë) lekë; </w:t>
      </w:r>
    </w:p>
    <w:p w:rsidR="00300BA9" w:rsidRPr="002E055C" w:rsidRDefault="00300BA9" w:rsidP="00300BA9">
      <w:pPr>
        <w:pStyle w:val="Paragrafi"/>
        <w:rPr>
          <w:szCs w:val="25"/>
          <w:lang w:val="sq-AL"/>
        </w:rPr>
      </w:pPr>
      <w:r w:rsidRPr="002E055C">
        <w:rPr>
          <w:szCs w:val="25"/>
          <w:lang w:val="sq-AL"/>
        </w:rPr>
        <w:t>b) tatimpaguesit që importojnë makineri dhe pajisje në funksion të realizimit të kontratave të investimit në sektorin e përpunimit aktiv, pavarësisht nga vlera e investimit;</w:t>
      </w:r>
    </w:p>
    <w:p w:rsidR="00300BA9" w:rsidRPr="002E055C" w:rsidRDefault="00300BA9" w:rsidP="00300BA9">
      <w:pPr>
        <w:pStyle w:val="Paragrafi"/>
        <w:rPr>
          <w:szCs w:val="25"/>
          <w:lang w:val="sq-AL"/>
        </w:rPr>
      </w:pPr>
      <w:r w:rsidRPr="002E055C">
        <w:rPr>
          <w:szCs w:val="25"/>
          <w:lang w:val="sq-AL"/>
        </w:rPr>
        <w:t>c) tatimpaguesit (përfshirë fermerin) që importojnë makineri dhe pajisje në funksion të realizimit të kontratave të investimit në sektorin e agrobiznesit, pavarësisht nga vlera e investimit;</w:t>
      </w:r>
    </w:p>
    <w:p w:rsidR="00300BA9" w:rsidRPr="002E055C" w:rsidRDefault="00300BA9" w:rsidP="00300BA9">
      <w:pPr>
        <w:pStyle w:val="Paragrafi"/>
        <w:rPr>
          <w:szCs w:val="25"/>
          <w:lang w:val="sq-AL"/>
        </w:rPr>
      </w:pPr>
      <w:r>
        <w:rPr>
          <w:szCs w:val="25"/>
          <w:lang w:val="sq-AL"/>
        </w:rPr>
        <w:t>ç</w:t>
      </w:r>
      <w:r w:rsidRPr="002E055C">
        <w:rPr>
          <w:szCs w:val="25"/>
          <w:lang w:val="sq-AL"/>
        </w:rPr>
        <w:t>) tatimpaguesit, subjekt i taksës së biznesit të vogël, të cilët importojnë makineri prodhuese në funksion të realizimit të kontratave të investimit të tyre.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2. Importimi i makinerive dhe pajisjeve të kryera nga tatimpaguesit e përcaktuar në pikën 1 të këtij vendimi, është furnizim i përjashtuar nga TVSH-ja, vetëm në rastet kur të tilla makineri dhe pajisje importohen në funksion të realizimit të kontratave të investimeve dhe importimi kryhet nga vetë tatimpaguesit, pa nënkontraktim.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Lista e makinerive dhe pajisjeve që janë drejtpërdrejt të lidhura me investimin është e përcaktuar në aneksin 1, që i bashkëlidhet këtij vendimi.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3. Tatimpaguesit e përcaktuar në pikën 1 të këtij vendimi, të cilët importojnë makineri dhe pajisje për të përfituar përjashtimin nga tatimi mbi vlerën e shtuar, duhet të pajisen me autorizimin e përjashtimit nga TVSH-ja nga Drejtoria e Përgjithshme e Doganave (DPD). Për marrjen e këtij autorizimi, subjektet duhet të paraqesin në DPD dokumentet, si më poshtë vijo</w:t>
      </w:r>
      <w:r>
        <w:rPr>
          <w:lang w:val="sq-AL"/>
        </w:rPr>
        <w:t>n</w:t>
      </w:r>
      <w:r w:rsidRPr="002E055C">
        <w:rPr>
          <w:lang w:val="sq-AL"/>
        </w:rPr>
        <w:t>: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3.1</w:t>
      </w:r>
      <w:r w:rsidRPr="002E055C">
        <w:rPr>
          <w:lang w:val="sq-AL"/>
        </w:rPr>
        <w:t xml:space="preserve"> Tatimpaguesit e përcaktuar në shkronjën </w:t>
      </w:r>
      <w:r>
        <w:rPr>
          <w:lang w:val="sq-AL"/>
        </w:rPr>
        <w:t>“</w:t>
      </w:r>
      <w:r w:rsidRPr="002E055C">
        <w:rPr>
          <w:lang w:val="sq-AL"/>
        </w:rPr>
        <w:t>a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vendimi, paraqesin: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një kërkesë me shkrim, së cilës, kur kryhen veprime për herë të parë pranë autoriteteve doganore, i bashkëngjitet edhe një f</w:t>
      </w:r>
      <w:r>
        <w:rPr>
          <w:lang w:val="sq-AL"/>
        </w:rPr>
        <w:t>otokopje e certifikatës së NUIS/</w:t>
      </w:r>
      <w:r w:rsidRPr="002E055C">
        <w:rPr>
          <w:lang w:val="sq-AL"/>
        </w:rPr>
        <w:t>NIPT-it;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b) kopje të marrëveshjes me Këshillin e Ministrave, me anë të së cilës është miratuar kontrata e investimit, ku të jetë e specifikuar v</w:t>
      </w:r>
      <w:r>
        <w:rPr>
          <w:lang w:val="sq-AL"/>
        </w:rPr>
        <w:t>l</w:t>
      </w:r>
      <w:r w:rsidRPr="002E055C">
        <w:rPr>
          <w:lang w:val="sq-AL"/>
        </w:rPr>
        <w:t>era e investimit në ose mbi 50 000 000 (pesëdhjetë milionë) lekë (nëse ka një marrëveshje të tillë), ose, në raste të investimeve tërësisht private, kopje të lejes/licencës/autorizimit (vetëm për kërkesën e parë);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c) kopje të planit të investimit, përfshirë preventivin, ku të jetë e përcaktuar se v</w:t>
      </w:r>
      <w:r>
        <w:rPr>
          <w:lang w:val="sq-AL"/>
        </w:rPr>
        <w:t>l</w:t>
      </w:r>
      <w:r w:rsidRPr="002E055C">
        <w:rPr>
          <w:lang w:val="sq-AL"/>
        </w:rPr>
        <w:t>era e invest</w:t>
      </w:r>
      <w:r>
        <w:rPr>
          <w:lang w:val="sq-AL"/>
        </w:rPr>
        <w:t>i</w:t>
      </w:r>
      <w:r w:rsidRPr="002E055C">
        <w:rPr>
          <w:lang w:val="sq-AL"/>
        </w:rPr>
        <w:t>m</w:t>
      </w:r>
      <w:r>
        <w:rPr>
          <w:lang w:val="sq-AL"/>
        </w:rPr>
        <w:t>i</w:t>
      </w:r>
      <w:r w:rsidRPr="002E055C">
        <w:rPr>
          <w:lang w:val="sq-AL"/>
        </w:rPr>
        <w:t>t është në ose mbi 50 000 000 (pesëdhjetë milionë) lekë, si dhe kohëzgjatja e investimit;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ç</w:t>
      </w:r>
      <w:r w:rsidRPr="002E055C">
        <w:rPr>
          <w:lang w:val="sq-AL"/>
        </w:rPr>
        <w:t>) kopje të planit të investimit, përfshirë preventivin, për vitin kur kryhen importet;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d) të dhëna për llojin dhe sasinë e makinerive e t</w:t>
      </w:r>
      <w:r>
        <w:rPr>
          <w:lang w:val="sq-AL"/>
        </w:rPr>
        <w:t>ë</w:t>
      </w:r>
      <w:r w:rsidRPr="002E055C">
        <w:rPr>
          <w:lang w:val="sq-AL"/>
        </w:rPr>
        <w:t xml:space="preserve"> pajisjeve që do të importohen dhe periudhën e instalimit</w:t>
      </w:r>
      <w:r>
        <w:rPr>
          <w:lang w:val="sq-AL"/>
        </w:rPr>
        <w:t>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dh) kopje të aktit të pronësisë apo të marrjes me qira t</w:t>
      </w:r>
      <w:r>
        <w:rPr>
          <w:lang w:val="sq-AL"/>
        </w:rPr>
        <w:t>ë</w:t>
      </w:r>
      <w:r w:rsidRPr="002E055C">
        <w:rPr>
          <w:lang w:val="sq-AL"/>
        </w:rPr>
        <w:t xml:space="preserve"> ambienteve ku do të bëhet investimi;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e) përshkrimin skematik dhe narrativ të skemës teknologjike për </w:t>
      </w:r>
      <w:r>
        <w:rPr>
          <w:lang w:val="sq-AL"/>
        </w:rPr>
        <w:t>ç</w:t>
      </w:r>
      <w:r w:rsidRPr="002E055C">
        <w:rPr>
          <w:lang w:val="sq-AL"/>
        </w:rPr>
        <w:t>do element të saj.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3.2 Tatimpaguesit e përcaktuar në shkronjën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vendimi, paraqesin:</w:t>
      </w:r>
    </w:p>
    <w:p w:rsidR="00300BA9" w:rsidRDefault="00300BA9" w:rsidP="00300BA9">
      <w:pPr>
        <w:pStyle w:val="Paragrafi"/>
        <w:rPr>
          <w:lang w:val="sq-AL"/>
        </w:rPr>
      </w:pP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një kërkesë me shkrim, së cilës, kur kryhen veprime për herë të parë pranë autoriteteve doganore, i bashkëngjitet edhe një fotokopje e certifikatës së NUIS</w:t>
      </w:r>
      <w:r>
        <w:rPr>
          <w:lang w:val="sq-AL"/>
        </w:rPr>
        <w:t>/</w:t>
      </w:r>
      <w:r w:rsidRPr="002E055C">
        <w:rPr>
          <w:lang w:val="sq-AL"/>
        </w:rPr>
        <w:t>NIPT-it;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b) kopje të ekstraktit të Qendrës Kombëtare të Regjistrimit (QKR), ku të jetë specifikuar se aktiviteti ekonomik është në fushën e përpunimit aktiv. Verifikimi nëse ka ose jo autorizimin e lëshuar nga autoriteti doganor si tatimpagues në regjimin e përpunimit aktiv kryhet brenda strukturave doganore;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c) kopje të planit të investimit, përfshirë preventivin, për të gjithë kohëzgjatjen e investimit;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ç</w:t>
      </w:r>
      <w:r w:rsidRPr="002E055C">
        <w:rPr>
          <w:lang w:val="sq-AL"/>
        </w:rPr>
        <w:t>) kopje të planit të investimit, përfshirë preventivin, për vitin kur kryhen importet;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d) të dhëna për llojin dhe sasinë e makinerive e të pajisjeve që do të importohen dhe për periudhën e instalimit;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dh) kopje të aktit të pronësisë apo të marrjes me qira të ambienteve ku do të bëhet investimi;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e) përshkrimin skematik dhe narrativ të skemës teknologjike për çdo element të saj.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3.3</w:t>
      </w:r>
      <w:r w:rsidRPr="002E055C">
        <w:rPr>
          <w:lang w:val="sq-AL"/>
        </w:rPr>
        <w:t xml:space="preserve"> Tatimpaguesit e përcaktuar në shkronjën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vendimi, paraqesin: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një kërkesë me shkrim, së cilës, kur kryhen veprime për herë të parë pranë autoriteteve doganore, i bashkëngjitet edhe një f</w:t>
      </w:r>
      <w:r>
        <w:rPr>
          <w:lang w:val="sq-AL"/>
        </w:rPr>
        <w:t>otokopje e certifikatës së NUIS/</w:t>
      </w:r>
      <w:r w:rsidRPr="002E055C">
        <w:rPr>
          <w:lang w:val="sq-AL"/>
        </w:rPr>
        <w:t>NIPT-it;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b) kopje të ekstraktit të QKR-së, ku të jetë specifikuar se aktiviteti ekonomik është në fushën e agrobiznesit;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c) kopje të planit të investimit, përfshirë preventivin dhe kohëzgjatjen e investimit;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ç</w:t>
      </w:r>
      <w:r w:rsidRPr="002E055C">
        <w:rPr>
          <w:lang w:val="sq-AL"/>
        </w:rPr>
        <w:t>) kopje të planit të investimit, përfshirë preventivin, për vitin kur kryhen importet;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d) të dhëna për llojin dhe sasinë e makinerive e të pajisjeve që do të importohen dhe për periudhën e instalimit;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dh) kopje të aktit të pronësisë apo të marrjes me qira të ambienteve ku do të bëhet investimi;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e) përshkrimin skematik dhe narrativ të skemës teknologjike për çdo element të saj.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3.3.1 Në rastin e importit nga fermeri, tatimpaguesit paraqes</w:t>
      </w:r>
      <w:r>
        <w:rPr>
          <w:lang w:val="sq-AL"/>
        </w:rPr>
        <w:t>in</w:t>
      </w:r>
      <w:r w:rsidRPr="002E055C">
        <w:rPr>
          <w:lang w:val="sq-AL"/>
        </w:rPr>
        <w:t xml:space="preserve"> dokumentacionin e mëposhtëm: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Një kërkesë me shkrim, kur kryhen veprime për herë të parë pranë autoriteteve doganore.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b) Vërtetim nga drejtoria rajonale e bujqësisë se është fermë.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c) Kopje të aktit të pronësisë apo të marrjes me qira të tokës.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ç</w:t>
      </w:r>
      <w:r w:rsidRPr="002E055C">
        <w:rPr>
          <w:lang w:val="sq-AL"/>
        </w:rPr>
        <w:t>) Të dhëna për llojin dhe sasinë e makinerive e të pajisjeve që do të importohen dhe për periudhën e importimit.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3.4</w:t>
      </w:r>
      <w:r w:rsidRPr="002E055C">
        <w:rPr>
          <w:lang w:val="sq-AL"/>
        </w:rPr>
        <w:t xml:space="preserve"> Tatimpaguesit e përcaktuar në shkronjën </w:t>
      </w:r>
      <w:r>
        <w:rPr>
          <w:lang w:val="sq-AL"/>
        </w:rPr>
        <w:t>“</w:t>
      </w:r>
      <w:r w:rsidRPr="002E055C">
        <w:rPr>
          <w:lang w:val="sq-AL"/>
        </w:rPr>
        <w:t>9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vendimi, paraqesin: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një kërkesë me shkrim, së cilës, kur kryhen veprime për herë të parë pranë autoriteteve doganore, i bashkëngjitet edhe një fotokopje e certifikatës</w:t>
      </w:r>
      <w:r>
        <w:rPr>
          <w:lang w:val="sq-AL"/>
        </w:rPr>
        <w:t xml:space="preserve"> së NUIS/</w:t>
      </w:r>
      <w:r w:rsidRPr="002E055C">
        <w:rPr>
          <w:lang w:val="sq-AL"/>
        </w:rPr>
        <w:t>NIPT-it;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b) vërtetim nga bashkia ose komuna se është subjekt i taksës së biznesit të vogël dhe ushtron aktivitet prodhues;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c) vërtetim nga drejtoria rajonale tatimore se është subjekt i taksës së biznesit të vogël;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ç</w:t>
      </w:r>
      <w:r w:rsidRPr="002E055C">
        <w:rPr>
          <w:lang w:val="sq-AL"/>
        </w:rPr>
        <w:t>) kopje të ekstraktit të QKR-së;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d) të dhëna për llojin dhe sasinë e makinerive prodhuese që do të importohen dhe për periudhën e instalimit.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3.5</w:t>
      </w:r>
      <w:r w:rsidRPr="002E055C">
        <w:rPr>
          <w:lang w:val="sq-AL"/>
        </w:rPr>
        <w:t xml:space="preserve"> Importimet e makinerive e të pajisjeve të kryera në përputhje me shkronjat </w:t>
      </w:r>
      <w:r>
        <w:rPr>
          <w:lang w:val="sq-AL"/>
        </w:rPr>
        <w:t>“</w:t>
      </w:r>
      <w:r w:rsidRPr="002E055C">
        <w:rPr>
          <w:lang w:val="sq-AL"/>
        </w:rPr>
        <w:t>g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gj</w:t>
      </w:r>
      <w:r>
        <w:rPr>
          <w:lang w:val="sq-AL"/>
        </w:rPr>
        <w:t>”</w:t>
      </w:r>
      <w:r w:rsidRPr="002E055C">
        <w:rPr>
          <w:lang w:val="sq-AL"/>
        </w:rPr>
        <w:t xml:space="preserve"> e </w:t>
      </w:r>
      <w:r>
        <w:rPr>
          <w:lang w:val="sq-AL"/>
        </w:rPr>
        <w:t>“</w:t>
      </w:r>
      <w:r w:rsidRPr="002E055C">
        <w:rPr>
          <w:lang w:val="sq-AL"/>
        </w:rPr>
        <w:t>i</w:t>
      </w:r>
      <w:r>
        <w:rPr>
          <w:lang w:val="sq-AL"/>
        </w:rPr>
        <w:t>”</w:t>
      </w:r>
      <w:r w:rsidRPr="002E055C">
        <w:rPr>
          <w:lang w:val="sq-AL"/>
        </w:rPr>
        <w:t xml:space="preserve"> të nenit 26.1 të ligjit nr. </w:t>
      </w:r>
      <w:r>
        <w:rPr>
          <w:lang w:val="sq-AL"/>
        </w:rPr>
        <w:t>792</w:t>
      </w:r>
      <w:r w:rsidRPr="002E055C">
        <w:rPr>
          <w:lang w:val="sq-AL"/>
        </w:rPr>
        <w:t>8, datë</w:t>
      </w:r>
      <w:r>
        <w:rPr>
          <w:lang w:val="sq-AL"/>
        </w:rPr>
        <w:t xml:space="preserve"> </w:t>
      </w:r>
      <w:r w:rsidRPr="002E055C">
        <w:rPr>
          <w:lang w:val="sq-AL"/>
        </w:rPr>
        <w:t xml:space="preserve">27.4.1995, të ndryshuar, subjekt i këtij vendimi, të bëra me ndërmjetësimin e kompanive </w:t>
      </w:r>
      <w:r w:rsidRPr="007608E7">
        <w:rPr>
          <w:i/>
          <w:lang w:val="sq-AL"/>
        </w:rPr>
        <w:t>leasing</w:t>
      </w:r>
      <w:r w:rsidRPr="002E055C">
        <w:rPr>
          <w:lang w:val="sq-AL"/>
        </w:rPr>
        <w:t xml:space="preserve"> janë subjekt i përjashtimit nga tatimi mbi vlerën </w:t>
      </w:r>
      <w:r>
        <w:rPr>
          <w:lang w:val="sq-AL"/>
        </w:rPr>
        <w:t>e</w:t>
      </w:r>
      <w:r w:rsidRPr="002E055C">
        <w:rPr>
          <w:lang w:val="sq-AL"/>
        </w:rPr>
        <w:t xml:space="preserve"> shtuar. Subjektet përfituese duhet të paraqesin në doganë dokumentacionin e mëposhtëm: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Respektivisht sipas kategorisë së tatimpaguesit, kopje të dokumentacionit të përcaktuar në pikat 3.1; 3.2; 3.3 dhe 3.4 të këtij vendimi.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b) Kopje të kontratës me kompaninë </w:t>
      </w:r>
      <w:r w:rsidRPr="007608E7">
        <w:rPr>
          <w:i/>
          <w:lang w:val="sq-AL"/>
        </w:rPr>
        <w:t>leasing</w:t>
      </w:r>
      <w:r w:rsidRPr="002E055C">
        <w:rPr>
          <w:lang w:val="sq-AL"/>
        </w:rPr>
        <w:t>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4. Me plotësimin e dokumentacionit të përcaktuar në pikën 3 të këtij vendimi, brenda 15 (pesëmbëdhjetë) ditësh kalendarike, DPD-ja e pajis tatimpaguesin me autorizimin e përjashtimit nga TVSH-ja, në të cilin përcaktohet edhe dega doganore mbikëqyrëse</w:t>
      </w:r>
      <w:r>
        <w:rPr>
          <w:lang w:val="sq-AL"/>
        </w:rPr>
        <w:t>. Nëse administrata</w:t>
      </w:r>
      <w:r w:rsidRPr="002E055C">
        <w:rPr>
          <w:lang w:val="sq-AL"/>
        </w:rPr>
        <w:t xml:space="preserve"> doganore nuk përgjigjet brenda afatit 15</w:t>
      </w:r>
      <w:r>
        <w:rPr>
          <w:lang w:val="sq-AL"/>
        </w:rPr>
        <w:t>-</w:t>
      </w:r>
      <w:r w:rsidRPr="002E055C">
        <w:rPr>
          <w:lang w:val="sq-AL"/>
        </w:rPr>
        <w:t xml:space="preserve">ditor, autorizimi konsiderohet </w:t>
      </w:r>
      <w:r>
        <w:rPr>
          <w:lang w:val="sq-AL"/>
        </w:rPr>
        <w:t>i</w:t>
      </w:r>
      <w:r w:rsidRPr="002E055C">
        <w:rPr>
          <w:lang w:val="sq-AL"/>
        </w:rPr>
        <w:t xml:space="preserve"> dhënë. Një kopje e autorizimit dërgohet në Drejtorinë e Përgjithshme t</w:t>
      </w:r>
      <w:r>
        <w:rPr>
          <w:lang w:val="sq-AL"/>
        </w:rPr>
        <w:t>ë</w:t>
      </w:r>
      <w:r w:rsidRPr="002E055C">
        <w:rPr>
          <w:lang w:val="sq-AL"/>
        </w:rPr>
        <w:t xml:space="preserve"> Tatimeve (DPT).</w:t>
      </w:r>
      <w:r>
        <w:rPr>
          <w:lang w:val="sq-AL"/>
        </w:rPr>
        <w:t xml:space="preserve"> DPD-ja hap një regjistër të veç</w:t>
      </w:r>
      <w:r w:rsidRPr="002E055C">
        <w:rPr>
          <w:lang w:val="sq-AL"/>
        </w:rPr>
        <w:t>antë për importet që kryhen nga tatimpaguesit importues. Për çdo import të makinerive e të pajisjeve, personat e tatueshëm duhet të paraqesin kërkesat e parashtruara në këtë vendim për t</w:t>
      </w:r>
      <w:r>
        <w:rPr>
          <w:lang w:val="sq-AL"/>
        </w:rPr>
        <w:t>’</w:t>
      </w:r>
      <w:r w:rsidRPr="002E055C">
        <w:rPr>
          <w:lang w:val="sq-AL"/>
        </w:rPr>
        <w:t>u pajisur me autorizim përjashtimi.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Personat e tatueshëm, që importojnë makineri dhe pajisje për shitje, nuk janë subjekte përfituese.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5. Për tatimpaguesit e përcaktuar në shkronjat </w:t>
      </w:r>
      <w:r>
        <w:rPr>
          <w:lang w:val="sq-AL"/>
        </w:rPr>
        <w:t>“</w:t>
      </w:r>
      <w:r w:rsidRPr="002E055C">
        <w:rPr>
          <w:lang w:val="sq-AL"/>
        </w:rPr>
        <w:t>a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dhe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vendimi, të cilët kanë importuar makineri dhe pajisje nën skemën e shtyrjes së pagesës së TVSH-së dhe afati i dhënies së autorizimeve nga administrata doganore ose nga Ministri i Financave nuk ka mbaruar deri në datën e hyrjes në fuqi të ligjit nr. 125/2012, datë 20.12.2012 </w:t>
      </w:r>
      <w:r>
        <w:rPr>
          <w:lang w:val="sq-AL"/>
        </w:rPr>
        <w:t>“</w:t>
      </w:r>
      <w:r w:rsidRPr="002E055C">
        <w:rPr>
          <w:lang w:val="sq-AL"/>
        </w:rPr>
        <w:t xml:space="preserve">Për disa ndryshime dhe shtesa në ligjin nr. 7928, datë 27.4.1995 </w:t>
      </w:r>
      <w:r>
        <w:rPr>
          <w:lang w:val="sq-AL"/>
        </w:rPr>
        <w:t>“</w:t>
      </w:r>
      <w:r w:rsidRPr="002E055C">
        <w:rPr>
          <w:lang w:val="sq-AL"/>
        </w:rPr>
        <w:t>Për tatimin mbi vlerën e shtuar</w:t>
      </w:r>
      <w:r>
        <w:rPr>
          <w:lang w:val="sq-AL"/>
        </w:rPr>
        <w:t>”</w:t>
      </w:r>
      <w:r w:rsidRPr="002E055C">
        <w:rPr>
          <w:lang w:val="sq-AL"/>
        </w:rPr>
        <w:t>, të ndryshuar</w:t>
      </w:r>
      <w:r>
        <w:rPr>
          <w:lang w:val="sq-AL"/>
        </w:rPr>
        <w:t>”</w:t>
      </w:r>
      <w:r w:rsidRPr="002E055C">
        <w:rPr>
          <w:lang w:val="sq-AL"/>
        </w:rPr>
        <w:t>, dega doganore mbyll situatën e tatimpaguesit përmes ndryshimit të deklaratës doganore, p</w:t>
      </w:r>
      <w:r>
        <w:rPr>
          <w:lang w:val="sq-AL"/>
        </w:rPr>
        <w:t>ë</w:t>
      </w:r>
      <w:r w:rsidRPr="002E055C">
        <w:rPr>
          <w:lang w:val="sq-AL"/>
        </w:rPr>
        <w:t>r përjashtimin nga TVSH-ja, dhe, njëkohësisht, deklarata e ndryshuar dhe e miratuar nga organi doganor shërben për kontabilitetin e shoqërisë për tatimpaguesin. Mbyllja e situatës bëhet vetëm për mallrat e listuara në aneksin 1 bashkëlidhur këtij vendimi. Dega doganore njofton drejtorinë rajonale tatimore për mbylljen e procedurës së përjashtimit për të tilla subjekte.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Këta tatimpagues duhet të paraqesin pranë degës doganore, ku kanë bërë procedurat e importimit, dokumentacionin e mëposhtëm: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Kërkesë për shuarje të borxhit doganor;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b) Kopje të autorizimit të shtyrjes së pagesës së TVSH-së nga administrata doganore ose nga Ministri i Financave;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c) Listën e makinerive e të pajisjeve të importuara nën skemën e shtyrjes së TVSH-së</w:t>
      </w:r>
      <w:r>
        <w:rPr>
          <w:lang w:val="sq-AL"/>
        </w:rPr>
        <w:t>,</w:t>
      </w:r>
      <w:r w:rsidRPr="002E055C">
        <w:rPr>
          <w:lang w:val="sq-AL"/>
        </w:rPr>
        <w:t xml:space="preserve"> si dhe të dhënat për deklaratat doganore me të cilat këto makineri dhe pajisje janë importuar.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ç</w:t>
      </w:r>
      <w:r w:rsidRPr="002E055C">
        <w:rPr>
          <w:lang w:val="sq-AL"/>
        </w:rPr>
        <w:t xml:space="preserve">) Kopje të autorizimit për regjimin e përpunimit aktiv për tatimpaguesit e përcaktuar në shkronjën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vendimi;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d) Respektivisht sipas kategorisë së tatimpaguesit, të gjithë dokumentacionin e përcaktuar në pikat 3.1, shkronjat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dh</w:t>
      </w:r>
      <w:r>
        <w:rPr>
          <w:lang w:val="sq-AL"/>
        </w:rPr>
        <w:t>”</w:t>
      </w:r>
      <w:r w:rsidRPr="002E055C">
        <w:rPr>
          <w:lang w:val="sq-AL"/>
        </w:rPr>
        <w:t xml:space="preserve"> e </w:t>
      </w:r>
      <w:r>
        <w:rPr>
          <w:lang w:val="sq-AL"/>
        </w:rPr>
        <w:t>“</w:t>
      </w:r>
      <w:r w:rsidRPr="002E055C">
        <w:rPr>
          <w:lang w:val="sq-AL"/>
        </w:rPr>
        <w:t>e</w:t>
      </w:r>
      <w:r>
        <w:rPr>
          <w:lang w:val="sq-AL"/>
        </w:rPr>
        <w:t>”</w:t>
      </w:r>
      <w:r w:rsidRPr="002E055C">
        <w:rPr>
          <w:lang w:val="sq-AL"/>
        </w:rPr>
        <w:t xml:space="preserve">; 3.2, shkronjat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dh</w:t>
      </w:r>
      <w:r>
        <w:rPr>
          <w:lang w:val="sq-AL"/>
        </w:rPr>
        <w:t>”</w:t>
      </w:r>
      <w:r w:rsidRPr="002E055C">
        <w:rPr>
          <w:lang w:val="sq-AL"/>
        </w:rPr>
        <w:t xml:space="preserve"> e </w:t>
      </w:r>
      <w:r>
        <w:rPr>
          <w:lang w:val="sq-AL"/>
        </w:rPr>
        <w:t>“</w:t>
      </w:r>
      <w:r w:rsidRPr="002E055C">
        <w:rPr>
          <w:lang w:val="sq-AL"/>
        </w:rPr>
        <w:t>e</w:t>
      </w:r>
      <w:r>
        <w:rPr>
          <w:lang w:val="sq-AL"/>
        </w:rPr>
        <w:t>”</w:t>
      </w:r>
      <w:r w:rsidRPr="002E055C">
        <w:rPr>
          <w:lang w:val="sq-AL"/>
        </w:rPr>
        <w:t xml:space="preserve">; dhe 3.3, shkronjat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dh</w:t>
      </w:r>
      <w:r>
        <w:rPr>
          <w:lang w:val="sq-AL"/>
        </w:rPr>
        <w:t>”</w:t>
      </w:r>
      <w:r w:rsidRPr="002E055C">
        <w:rPr>
          <w:lang w:val="sq-AL"/>
        </w:rPr>
        <w:t xml:space="preserve"> e </w:t>
      </w:r>
      <w:r>
        <w:rPr>
          <w:lang w:val="sq-AL"/>
        </w:rPr>
        <w:t>“</w:t>
      </w:r>
      <w:r w:rsidRPr="002E055C">
        <w:rPr>
          <w:lang w:val="sq-AL"/>
        </w:rPr>
        <w:t>e</w:t>
      </w:r>
      <w:r>
        <w:rPr>
          <w:lang w:val="sq-AL"/>
        </w:rPr>
        <w:t>”</w:t>
      </w:r>
      <w:r w:rsidRPr="002E055C">
        <w:rPr>
          <w:lang w:val="sq-AL"/>
        </w:rPr>
        <w:t xml:space="preserve"> të këtij vendimi.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6. Për tatimpaguesit e përcaktuar në shkronjat </w:t>
      </w:r>
      <w:r>
        <w:rPr>
          <w:lang w:val="sq-AL"/>
        </w:rPr>
        <w:t>“</w:t>
      </w:r>
      <w:r w:rsidRPr="002E055C">
        <w:rPr>
          <w:lang w:val="sq-AL"/>
        </w:rPr>
        <w:t>a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dhe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vendimi, të cilët kanë bërë importim të makin</w:t>
      </w:r>
      <w:r>
        <w:rPr>
          <w:lang w:val="sq-AL"/>
        </w:rPr>
        <w:t>e</w:t>
      </w:r>
      <w:r w:rsidRPr="002E055C">
        <w:rPr>
          <w:lang w:val="sq-AL"/>
        </w:rPr>
        <w:t xml:space="preserve">rive e të pajisjeve nën skemën e shtyrjes së TVSH-së, por që iu ka mbaruar afati i shtyrjes së autorizimit nga administrata doganore apo Ministri i Financave në datën e hyrjes në fuqi të ligjit nr. 125/2012, datë 20.12.2012 </w:t>
      </w:r>
      <w:r>
        <w:rPr>
          <w:lang w:val="sq-AL"/>
        </w:rPr>
        <w:t>“</w:t>
      </w:r>
      <w:r w:rsidRPr="002E055C">
        <w:rPr>
          <w:lang w:val="sq-AL"/>
        </w:rPr>
        <w:t xml:space="preserve">Për disa ndryshime dhe shtesa në ligjin nr. 7928, datë 27.4.1995 </w:t>
      </w:r>
      <w:r>
        <w:rPr>
          <w:lang w:val="sq-AL"/>
        </w:rPr>
        <w:t>“</w:t>
      </w:r>
      <w:r w:rsidRPr="002E055C">
        <w:rPr>
          <w:lang w:val="sq-AL"/>
        </w:rPr>
        <w:t>Për tatimin mbi v</w:t>
      </w:r>
      <w:r>
        <w:rPr>
          <w:lang w:val="sq-AL"/>
        </w:rPr>
        <w:t>l</w:t>
      </w:r>
      <w:r w:rsidRPr="002E055C">
        <w:rPr>
          <w:lang w:val="sq-AL"/>
        </w:rPr>
        <w:t>erën e shtuar</w:t>
      </w:r>
      <w:r>
        <w:rPr>
          <w:lang w:val="sq-AL"/>
        </w:rPr>
        <w:t>”</w:t>
      </w:r>
      <w:r w:rsidRPr="002E055C">
        <w:rPr>
          <w:lang w:val="sq-AL"/>
        </w:rPr>
        <w:t>, të ndryshuar</w:t>
      </w:r>
      <w:r>
        <w:rPr>
          <w:lang w:val="sq-AL"/>
        </w:rPr>
        <w:t>”</w:t>
      </w:r>
      <w:r w:rsidRPr="002E055C">
        <w:rPr>
          <w:lang w:val="sq-AL"/>
        </w:rPr>
        <w:t>, dhe nuk kanë TVSH për rimbursim tek administrata tatimore, u shuhet borxhi doganor.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Këta tatimpagues duhet të paraqesin pranë degës doganore, ku kanë bërë procedurat e importimit, dokumentacionin e mëposhtëm: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Kërkesë për shuarj</w:t>
      </w:r>
      <w:r>
        <w:rPr>
          <w:lang w:val="sq-AL"/>
        </w:rPr>
        <w:t>e</w:t>
      </w:r>
      <w:r w:rsidRPr="002E055C">
        <w:rPr>
          <w:lang w:val="sq-AL"/>
        </w:rPr>
        <w:t xml:space="preserve"> të borxhit doganor.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b) Njoftimin e vendimit së bashku me vendimin nga dega doganore ku përcaktohet se janë shpallur debitor.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c) Kopje të autorizimit të shtyrj</w:t>
      </w:r>
      <w:r>
        <w:rPr>
          <w:lang w:val="sq-AL"/>
        </w:rPr>
        <w:t>e</w:t>
      </w:r>
      <w:r w:rsidRPr="002E055C">
        <w:rPr>
          <w:lang w:val="sq-AL"/>
        </w:rPr>
        <w:t>s së pagesës së TVSH-së nga administrata doganore ose nga Ministri i Financave.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ç) Listën e makinerive e të pajisjeve të importuara nën skemën e shtyrjes së TVSH-së si dhe të dhënat për deklaratat doganore me të cilat këto makineri dhe pajisje janë importuar.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d) Kopje të autorizimit për regjimin e përpunimit aktiv për tatimpaguesit e përcaktuar në shkronjën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dh) Kopje të planit të investimit për vitin kur kanë kryer importet.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e) Vërtetim nga drejtoria rajonale tatimore, ku janë regjistruar, se nuk kanë tepricë kreditore për rimbursim;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ë</w:t>
      </w:r>
      <w:r w:rsidRPr="002E055C">
        <w:rPr>
          <w:lang w:val="sq-AL"/>
        </w:rPr>
        <w:t xml:space="preserve">) Respektivisht sipas kategorisë së tatimpaguesit, të gjithë dokumentacionin e përcaktuar në pikat 3.1, shkronjat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dh</w:t>
      </w:r>
      <w:r>
        <w:rPr>
          <w:lang w:val="sq-AL"/>
        </w:rPr>
        <w:t>”</w:t>
      </w:r>
      <w:r w:rsidRPr="002E055C">
        <w:rPr>
          <w:lang w:val="sq-AL"/>
        </w:rPr>
        <w:t xml:space="preserve"> e </w:t>
      </w:r>
      <w:r>
        <w:rPr>
          <w:lang w:val="sq-AL"/>
        </w:rPr>
        <w:t>“</w:t>
      </w:r>
      <w:r w:rsidRPr="002E055C">
        <w:rPr>
          <w:lang w:val="sq-AL"/>
        </w:rPr>
        <w:t>e</w:t>
      </w:r>
      <w:r>
        <w:rPr>
          <w:lang w:val="sq-AL"/>
        </w:rPr>
        <w:t>”</w:t>
      </w:r>
      <w:r w:rsidRPr="002E055C">
        <w:rPr>
          <w:lang w:val="sq-AL"/>
        </w:rPr>
        <w:t>, 3.2, shkron</w:t>
      </w:r>
      <w:r>
        <w:rPr>
          <w:lang w:val="sq-AL"/>
        </w:rPr>
        <w:t>jat</w:t>
      </w:r>
      <w:r w:rsidRPr="002E055C">
        <w:rPr>
          <w:lang w:val="sq-AL"/>
        </w:rPr>
        <w:t xml:space="preserve">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”,</w:t>
      </w:r>
      <w:r w:rsidRPr="002E055C">
        <w:rPr>
          <w:lang w:val="sq-AL"/>
        </w:rPr>
        <w:t xml:space="preserve">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”,</w:t>
      </w:r>
      <w:r w:rsidRPr="002E055C">
        <w:rPr>
          <w:lang w:val="sq-AL"/>
        </w:rPr>
        <w:t xml:space="preserve"> </w:t>
      </w:r>
      <w:r>
        <w:rPr>
          <w:lang w:val="sq-AL"/>
        </w:rPr>
        <w:t>“</w:t>
      </w:r>
      <w:r w:rsidRPr="002E055C">
        <w:rPr>
          <w:lang w:val="sq-AL"/>
        </w:rPr>
        <w:t>dh</w:t>
      </w:r>
      <w:r>
        <w:rPr>
          <w:lang w:val="sq-AL"/>
        </w:rPr>
        <w:t>”</w:t>
      </w:r>
      <w:r w:rsidRPr="002E055C">
        <w:rPr>
          <w:lang w:val="sq-AL"/>
        </w:rPr>
        <w:t xml:space="preserve"> e </w:t>
      </w:r>
      <w:r>
        <w:rPr>
          <w:lang w:val="sq-AL"/>
        </w:rPr>
        <w:t>“</w:t>
      </w:r>
      <w:r w:rsidRPr="002E055C">
        <w:rPr>
          <w:lang w:val="sq-AL"/>
        </w:rPr>
        <w:t>e</w:t>
      </w:r>
      <w:r>
        <w:rPr>
          <w:lang w:val="sq-AL"/>
        </w:rPr>
        <w:t>”</w:t>
      </w:r>
      <w:r w:rsidRPr="002E055C">
        <w:rPr>
          <w:lang w:val="sq-AL"/>
        </w:rPr>
        <w:t>, dhe 3.3, shkron</w:t>
      </w:r>
      <w:r>
        <w:rPr>
          <w:lang w:val="sq-AL"/>
        </w:rPr>
        <w:t>jat</w:t>
      </w:r>
      <w:r w:rsidRPr="002E055C">
        <w:rPr>
          <w:lang w:val="sq-AL"/>
        </w:rPr>
        <w:t xml:space="preserve">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”,</w:t>
      </w:r>
      <w:r w:rsidRPr="002E055C">
        <w:rPr>
          <w:lang w:val="sq-AL"/>
        </w:rPr>
        <w:t xml:space="preserve">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”,</w:t>
      </w:r>
      <w:r w:rsidRPr="002E055C">
        <w:rPr>
          <w:lang w:val="sq-AL"/>
        </w:rPr>
        <w:t xml:space="preserve"> </w:t>
      </w:r>
      <w:r>
        <w:rPr>
          <w:lang w:val="sq-AL"/>
        </w:rPr>
        <w:t>“</w:t>
      </w:r>
      <w:r w:rsidRPr="002E055C">
        <w:rPr>
          <w:lang w:val="sq-AL"/>
        </w:rPr>
        <w:t>dh</w:t>
      </w:r>
      <w:r>
        <w:rPr>
          <w:lang w:val="sq-AL"/>
        </w:rPr>
        <w:t>”</w:t>
      </w:r>
      <w:r w:rsidRPr="002E055C">
        <w:rPr>
          <w:lang w:val="sq-AL"/>
        </w:rPr>
        <w:t xml:space="preserve"> e </w:t>
      </w:r>
      <w:r>
        <w:rPr>
          <w:lang w:val="sq-AL"/>
        </w:rPr>
        <w:t>“</w:t>
      </w:r>
      <w:r w:rsidRPr="002E055C">
        <w:rPr>
          <w:lang w:val="sq-AL"/>
        </w:rPr>
        <w:t>e</w:t>
      </w:r>
      <w:r>
        <w:rPr>
          <w:lang w:val="sq-AL"/>
        </w:rPr>
        <w:t>”</w:t>
      </w:r>
      <w:r w:rsidRPr="002E055C">
        <w:rPr>
          <w:lang w:val="sq-AL"/>
        </w:rPr>
        <w:t xml:space="preserve"> të këtij vendimi.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Nëse plotësohen kushtet dhe kriteret e përcaktuara në këtë vendim, brenda 15 (pesëmb</w:t>
      </w:r>
      <w:r>
        <w:rPr>
          <w:lang w:val="sq-AL"/>
        </w:rPr>
        <w:t>ë</w:t>
      </w:r>
      <w:r w:rsidRPr="002E055C">
        <w:rPr>
          <w:lang w:val="sq-AL"/>
        </w:rPr>
        <w:t>d</w:t>
      </w:r>
      <w:r>
        <w:rPr>
          <w:lang w:val="sq-AL"/>
        </w:rPr>
        <w:t>h</w:t>
      </w:r>
      <w:r w:rsidRPr="002E055C">
        <w:rPr>
          <w:lang w:val="sq-AL"/>
        </w:rPr>
        <w:t>j</w:t>
      </w:r>
      <w:r>
        <w:rPr>
          <w:lang w:val="sq-AL"/>
        </w:rPr>
        <w:t>e</w:t>
      </w:r>
      <w:r w:rsidRPr="002E055C">
        <w:rPr>
          <w:lang w:val="sq-AL"/>
        </w:rPr>
        <w:t>të) ditëve kalendarike nga data e protokollimit të kërkesës së tatimpaguesit, dega doganore mbyll situatën debitore të tatimpaguesit përmes ndryshimit të deklaratës doganore dhe, njëkohësisht, deklarata e ndryshuar dhe e miratuar nga organi doganor shërben për kontabilitetin e shoqërisë për tatimpaguesin. Mbyllja e situatës bëhet vetëm për makineritë e pajisjet e listuara në aneksin 1 bashkëlidhur këtij vendimi. Dega doganore njofton drejtorinë rajonale tatimore për mbylljen e procedurës së shuarjes së borxhit dhe tatimpaguesin.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7. Për tatimpaguesit e përcaktuar në shkronjat </w:t>
      </w:r>
      <w:r>
        <w:rPr>
          <w:lang w:val="sq-AL"/>
        </w:rPr>
        <w:t>“</w:t>
      </w:r>
      <w:r w:rsidRPr="002E055C">
        <w:rPr>
          <w:lang w:val="sq-AL"/>
        </w:rPr>
        <w:t>a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dhe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vendimi, të cilët kanë bërë importim të makinerive e të pajisjeve nën skemën e shtyrjes së TVSH-së, por që iu ka mbaruar afati i shtyrjes së autorizimit nga administrata doganore apo Ministri i Financave në datën e hyrjes në fuqi të ligjit </w:t>
      </w:r>
      <w:r>
        <w:rPr>
          <w:lang w:val="sq-AL"/>
        </w:rPr>
        <w:t>nr</w:t>
      </w:r>
      <w:r w:rsidRPr="002E055C">
        <w:rPr>
          <w:lang w:val="sq-AL"/>
        </w:rPr>
        <w:t>.</w:t>
      </w:r>
      <w:r>
        <w:rPr>
          <w:lang w:val="sq-AL"/>
        </w:rPr>
        <w:t xml:space="preserve"> </w:t>
      </w:r>
      <w:r w:rsidRPr="002E055C">
        <w:rPr>
          <w:lang w:val="sq-AL"/>
        </w:rPr>
        <w:t>12</w:t>
      </w:r>
      <w:r>
        <w:rPr>
          <w:lang w:val="sq-AL"/>
        </w:rPr>
        <w:t>5</w:t>
      </w:r>
      <w:r w:rsidRPr="002E055C">
        <w:rPr>
          <w:lang w:val="sq-AL"/>
        </w:rPr>
        <w:t xml:space="preserve">/2012, datë 20.12.2012 </w:t>
      </w:r>
      <w:r>
        <w:rPr>
          <w:lang w:val="sq-AL"/>
        </w:rPr>
        <w:t>“</w:t>
      </w:r>
      <w:r w:rsidRPr="002E055C">
        <w:rPr>
          <w:lang w:val="sq-AL"/>
        </w:rPr>
        <w:t xml:space="preserve">Për disa ndryshime dhe shtesa në ligjin nr. 7928, datë 27.4.1995 </w:t>
      </w:r>
      <w:r>
        <w:rPr>
          <w:lang w:val="sq-AL"/>
        </w:rPr>
        <w:t>“</w:t>
      </w:r>
      <w:r w:rsidRPr="002E055C">
        <w:rPr>
          <w:lang w:val="sq-AL"/>
        </w:rPr>
        <w:t>Për tatimin mbi vlerën e shtuar</w:t>
      </w:r>
      <w:r>
        <w:rPr>
          <w:lang w:val="sq-AL"/>
        </w:rPr>
        <w:t>”</w:t>
      </w:r>
      <w:r w:rsidRPr="002E055C">
        <w:rPr>
          <w:lang w:val="sq-AL"/>
        </w:rPr>
        <w:t>, të ndryshuar, dhe kanë TVSH për t</w:t>
      </w:r>
      <w:r>
        <w:rPr>
          <w:lang w:val="sq-AL"/>
        </w:rPr>
        <w:t>’</w:t>
      </w:r>
      <w:r w:rsidRPr="002E055C">
        <w:rPr>
          <w:lang w:val="sq-AL"/>
        </w:rPr>
        <w:t>u rimbursuar nga administrat</w:t>
      </w:r>
      <w:r>
        <w:rPr>
          <w:lang w:val="sq-AL"/>
        </w:rPr>
        <w:t>a</w:t>
      </w:r>
      <w:r w:rsidRPr="002E055C">
        <w:rPr>
          <w:lang w:val="sq-AL"/>
        </w:rPr>
        <w:t xml:space="preserve"> tatimore, u shuhet borxhi doganor për TVSH-në e shtyrë</w:t>
      </w:r>
      <w:r>
        <w:rPr>
          <w:lang w:val="sq-AL"/>
        </w:rPr>
        <w:t>,</w:t>
      </w:r>
      <w:r w:rsidRPr="002E055C">
        <w:rPr>
          <w:lang w:val="sq-AL"/>
        </w:rPr>
        <w:t xml:space="preserve"> me kusht që të mos pretendojnë shumën e TVSH-së për rimbursim tek administrata tatimore, deri në shumën e TVSH-së së borxhit që shuh</w:t>
      </w:r>
      <w:r>
        <w:rPr>
          <w:lang w:val="sq-AL"/>
        </w:rPr>
        <w:t>e</w:t>
      </w:r>
      <w:r w:rsidRPr="002E055C">
        <w:rPr>
          <w:lang w:val="sq-AL"/>
        </w:rPr>
        <w:t>t në doganë.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7.1. Këta tatimpagues duhet të paraqesin pranë degës doganore ku kanë bërë procedurat e importimit dokumentacionin e mëposhtëm: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a) Kërkesë për shuarje të borxhit doganor.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b) Kopje të autorizimit të shtyrjes së pagesës së TVSH-së nga administrata doganore ose nga Ministri i Financave.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c) Listën e makinerive e të pajisjeve të importuara nën skemën e shtyrjes së TVSH-së</w:t>
      </w:r>
      <w:r>
        <w:rPr>
          <w:lang w:val="sq-AL"/>
        </w:rPr>
        <w:t>,</w:t>
      </w:r>
      <w:r w:rsidRPr="002E055C">
        <w:rPr>
          <w:lang w:val="sq-AL"/>
        </w:rPr>
        <w:t xml:space="preserve"> si dhe të dhënat për deklaratat doganore me të cilat këto makineri e pajisje janë importuar.</w:t>
      </w:r>
    </w:p>
    <w:p w:rsidR="00300BA9" w:rsidRPr="002E055C" w:rsidRDefault="00300BA9" w:rsidP="00300BA9">
      <w:pPr>
        <w:pStyle w:val="Paragrafi"/>
        <w:rPr>
          <w:lang w:val="sq-AL"/>
        </w:rPr>
      </w:pPr>
      <w:r>
        <w:rPr>
          <w:lang w:val="sq-AL"/>
        </w:rPr>
        <w:t>ç</w:t>
      </w:r>
      <w:r w:rsidRPr="002E055C">
        <w:rPr>
          <w:lang w:val="sq-AL"/>
        </w:rPr>
        <w:t xml:space="preserve">) Kopje të autorizimit për regjimin </w:t>
      </w:r>
      <w:r>
        <w:rPr>
          <w:lang w:val="sq-AL"/>
        </w:rPr>
        <w:t>e</w:t>
      </w:r>
      <w:r w:rsidRPr="002E055C">
        <w:rPr>
          <w:lang w:val="sq-AL"/>
        </w:rPr>
        <w:t xml:space="preserve"> përpunimit aktiv për tatimpaguesit e përcaktuar në shkronjën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d) Një vërtetim të lëshuar nga drejtoria rajonale tatimore, ku është i regjistruar, për situatën e TVSH-së që provon ekzistencën e tepricës kreditore të TVSH-së, si dhe shënohet se ky vërtetim është lëshuar me kërkesë të tatimpaguesit për heqje dorë nga pretendimi për rimbursim të kësaj shume nga organi tatimor deri në shumën e borxhit doganor për TVSH të shtyrë në import për makineri dhe pajisje. Në rast se shuma e TVSH-së kreditore tek administrat</w:t>
      </w:r>
      <w:r>
        <w:rPr>
          <w:lang w:val="sq-AL"/>
        </w:rPr>
        <w:t>a</w:t>
      </w:r>
      <w:r w:rsidRPr="002E055C">
        <w:rPr>
          <w:lang w:val="sq-AL"/>
        </w:rPr>
        <w:t xml:space="preserve"> tatimore është më e lartë se shuma e TVSH-së së shtyrë në doganë, subjekti heq dorë nga TVSH-ja kreditore deri në shumën e TVSH-së së shtyrë në doganë për makineri dhe pajisje. Për diferencën, subjekti rimbursohet nga administrata tatimore sipas legjislacionit në fuqi për këtë fushë.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dh) Respektivisht sipas kategorisë së tatimpaguesit, të gjithë dokumentacionin e përcaktuar në pikat 3.1 , shkronjat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dhe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; 3.2, shkronjat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 dhe </w:t>
      </w:r>
      <w:r>
        <w:rPr>
          <w:lang w:val="sq-AL"/>
        </w:rPr>
        <w:t>“ç”</w:t>
      </w:r>
      <w:r w:rsidRPr="002E055C">
        <w:rPr>
          <w:lang w:val="sq-AL"/>
        </w:rPr>
        <w:t xml:space="preserve">; dhe 3.3, shkronjat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 dhe </w:t>
      </w:r>
      <w:r>
        <w:rPr>
          <w:lang w:val="sq-AL"/>
        </w:rPr>
        <w:t>“ç”</w:t>
      </w:r>
      <w:r w:rsidRPr="002E055C">
        <w:rPr>
          <w:lang w:val="sq-AL"/>
        </w:rPr>
        <w:t xml:space="preserve"> të këtij vendimi.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7.2. Nëse plotësohen kushtet e përcaktuara në këtë vendim, dega doganore, brenda 15 (pesëmbëdhjetë) ditëve kalendarike nga data e protokollimit të kërkesës së tatimpaguesit, kryen procedurat e mëtejshme për sistemimin dhe kontabilizimin e pozicioneve debitore të TVSH-së. Dega doganore mbyll situatën debitore të tatimpaguesit përmes ndryshimit të deklaratës doganore dhe, njëkohësisht, deklarata e ndryshuar dhe e miratuar nga organi doganor shërben për kontabilitetin e shoqërisë për tatimpaguesin. Mbyllja e situatës bëhet vetëm për makineritë dhe pajisjet e listuara në aneksin 1, bashkëlidhur këtij vendimi. Dega doganore njofton subjektin që ka bërë kërkesën dhe drejtorinë rajonale tatimore për mbylljen e procedurës së shuarjes së borxhit doganor për të vijuar me procedurat për heqjen e TVSH-së së z</w:t>
      </w:r>
      <w:r>
        <w:rPr>
          <w:lang w:val="sq-AL"/>
        </w:rPr>
        <w:t>b</w:t>
      </w:r>
      <w:r w:rsidRPr="002E055C">
        <w:rPr>
          <w:lang w:val="sq-AL"/>
        </w:rPr>
        <w:t>ritshme.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7.3 Pas miratimit nga dega doganore, drejtoria rajonale tatimore vlerëson situatën kreditore të tatimpaguesit duke e reduktuar për TVSH-në përkatëse të rimbursueshme deri në shumën e shuar të borxhit të TVSH-së së shtyrë në doganë për makineri dhe pajisje, si dhe njofton me shkrim tatimpaguesin për situatën e tij pas sistemimit në administratën tatimore.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 xml:space="preserve">8. Tatimpaguesit, të cilët kanë importuar makineri dhe pajisje nën skemën e regjimit të lejimit të përkohshëm të tyre, që nuk u ka mbaruar afati </w:t>
      </w:r>
      <w:r>
        <w:rPr>
          <w:lang w:val="sq-AL"/>
        </w:rPr>
        <w:t>i</w:t>
      </w:r>
      <w:r w:rsidRPr="002E055C">
        <w:rPr>
          <w:lang w:val="sq-AL"/>
        </w:rPr>
        <w:t xml:space="preserve"> regjimit dhe në rast se janë të interesuara të kaloj</w:t>
      </w:r>
      <w:r>
        <w:rPr>
          <w:lang w:val="sq-AL"/>
        </w:rPr>
        <w:t>n</w:t>
      </w:r>
      <w:r w:rsidRPr="002E055C">
        <w:rPr>
          <w:lang w:val="sq-AL"/>
        </w:rPr>
        <w:t xml:space="preserve">ë nga regjimi i lejimit të përkohshëm në regjim importi, përfitojnë nga përjashtimi i TVSH-së në import të makinerive dhe pajisjeve në rast se janë persona të tatueshëm sipas përcaktimeve në shkronjat </w:t>
      </w:r>
      <w:r>
        <w:rPr>
          <w:lang w:val="sq-AL"/>
        </w:rPr>
        <w:t>“</w:t>
      </w:r>
      <w:r w:rsidRPr="002E055C">
        <w:rPr>
          <w:lang w:val="sq-AL"/>
        </w:rPr>
        <w:t>a</w:t>
      </w:r>
      <w:r>
        <w:rPr>
          <w:lang w:val="sq-AL"/>
        </w:rPr>
        <w:t>”</w:t>
      </w:r>
      <w:r w:rsidRPr="002E055C">
        <w:rPr>
          <w:lang w:val="sq-AL"/>
        </w:rPr>
        <w:t xml:space="preserve">, </w:t>
      </w:r>
      <w:r>
        <w:rPr>
          <w:lang w:val="sq-AL"/>
        </w:rPr>
        <w:t>“</w:t>
      </w:r>
      <w:r w:rsidRPr="002E055C">
        <w:rPr>
          <w:lang w:val="sq-AL"/>
        </w:rPr>
        <w:t>b</w:t>
      </w:r>
      <w:r>
        <w:rPr>
          <w:lang w:val="sq-AL"/>
        </w:rPr>
        <w:t>”</w:t>
      </w:r>
      <w:r w:rsidRPr="002E055C">
        <w:rPr>
          <w:lang w:val="sq-AL"/>
        </w:rPr>
        <w:t xml:space="preserve"> dhe </w:t>
      </w:r>
      <w:r>
        <w:rPr>
          <w:lang w:val="sq-AL"/>
        </w:rPr>
        <w:t>“</w:t>
      </w:r>
      <w:r w:rsidRPr="002E055C">
        <w:rPr>
          <w:lang w:val="sq-AL"/>
        </w:rPr>
        <w:t>c</w:t>
      </w:r>
      <w:r>
        <w:rPr>
          <w:lang w:val="sq-AL"/>
        </w:rPr>
        <w:t>”</w:t>
      </w:r>
      <w:r w:rsidRPr="002E055C">
        <w:rPr>
          <w:lang w:val="sq-AL"/>
        </w:rPr>
        <w:t xml:space="preserve"> të pikës 1 të këtij vendimi, dhe plotësojnë dhe paraqesin pranë autoriteteve doganore dokumentacionin e përcaktuar, respektivisht, në këtë vendim.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9. Në përfundim të procedurës së shuarjes së borxhit doganor, Drejtoria e Përgjithshme e Tatimeve dhe Drejtoria e Përgjithshme e Doganave njoftojnë Ministrinë e Financave për gjithë listën e tatimpaguesve dhe shumat përkatëse.</w:t>
      </w:r>
    </w:p>
    <w:p w:rsidR="00300BA9" w:rsidRPr="002E055C" w:rsidRDefault="00300BA9" w:rsidP="00300BA9">
      <w:pPr>
        <w:pStyle w:val="Paragrafi"/>
        <w:rPr>
          <w:lang w:val="sq-AL"/>
        </w:rPr>
      </w:pPr>
      <w:r w:rsidRPr="002E055C">
        <w:rPr>
          <w:lang w:val="sq-AL"/>
        </w:rPr>
        <w:t>Ky vendim hyn në fuqi pas botimit në Fletoren Zyrtare.</w:t>
      </w:r>
    </w:p>
    <w:p w:rsidR="00300BA9" w:rsidRPr="002E055C" w:rsidRDefault="00300BA9" w:rsidP="00300BA9">
      <w:pPr>
        <w:pStyle w:val="Paragrafi"/>
        <w:rPr>
          <w:lang w:val="sq-AL"/>
        </w:rPr>
      </w:pPr>
    </w:p>
    <w:p w:rsidR="00300BA9" w:rsidRPr="002E055C" w:rsidRDefault="00300BA9" w:rsidP="00300BA9">
      <w:pPr>
        <w:pStyle w:val="Autoriteti"/>
        <w:rPr>
          <w:lang w:val="sq-AL"/>
        </w:rPr>
      </w:pPr>
      <w:r w:rsidRPr="002E055C">
        <w:rPr>
          <w:lang w:val="sq-AL"/>
        </w:rPr>
        <w:t>KRYEMINISTRI</w:t>
      </w:r>
    </w:p>
    <w:p w:rsidR="00300BA9" w:rsidRPr="002E055C" w:rsidRDefault="00300BA9" w:rsidP="00300BA9">
      <w:pPr>
        <w:pStyle w:val="AutoritetiEmer"/>
        <w:rPr>
          <w:lang w:val="sq-AL"/>
        </w:rPr>
      </w:pPr>
      <w:r w:rsidRPr="002E055C">
        <w:rPr>
          <w:lang w:val="sq-AL"/>
        </w:rPr>
        <w:t>Sali Berisha</w:t>
      </w:r>
    </w:p>
    <w:sectPr w:rsidR="00300BA9" w:rsidRPr="002E055C" w:rsidSect="00C60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0BA9"/>
    <w:rsid w:val="00300BA9"/>
    <w:rsid w:val="00306CEF"/>
    <w:rsid w:val="00C6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9FCE2C-9FD6-4072-ABEE-CB0A9FCA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B0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0B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00BA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00BA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00BA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0BA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00BA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00BA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00BA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00BA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00B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00BA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00BA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00BA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2373</Words>
  <Characters>13531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