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3A6" w:rsidRPr="00A964BE" w:rsidRDefault="007663A6" w:rsidP="007663A6">
      <w:pPr>
        <w:pStyle w:val="Akti"/>
      </w:pPr>
      <w:bookmarkStart w:id="0" w:name="_GoBack"/>
      <w:bookmarkEnd w:id="0"/>
      <w:r w:rsidRPr="00A964BE">
        <w:t>Vendim</w:t>
      </w:r>
    </w:p>
    <w:p w:rsidR="007663A6" w:rsidRPr="00A964BE" w:rsidRDefault="007663A6" w:rsidP="00704DEB">
      <w:pPr>
        <w:pStyle w:val="NumriData"/>
      </w:pPr>
      <w:r w:rsidRPr="00A964BE">
        <w:t>Nr. 128, datë 20.2.2013</w:t>
      </w:r>
    </w:p>
    <w:p w:rsidR="007663A6" w:rsidRPr="00193249" w:rsidRDefault="007663A6" w:rsidP="007663A6">
      <w:pPr>
        <w:pStyle w:val="Paragrafi"/>
        <w:rPr>
          <w:lang w:val="sq-AL"/>
        </w:rPr>
      </w:pPr>
    </w:p>
    <w:p w:rsidR="007663A6" w:rsidRDefault="007663A6" w:rsidP="007663A6">
      <w:pPr>
        <w:pStyle w:val="Titulli"/>
      </w:pPr>
      <w:r w:rsidRPr="00A964BE">
        <w:t xml:space="preserve">PËR DISA SHTESA DHE NDRYSHIME NË VENDIMIN NR. 612, DATË 5.9.2012 TË KËSHILLIT TË MINISTRAVE </w:t>
      </w:r>
      <w:r>
        <w:t>“</w:t>
      </w:r>
      <w:r w:rsidRPr="00A964BE">
        <w:t xml:space="preserve">PËR DISPOZITAT ZBATUESE TË LIGJIT </w:t>
      </w:r>
    </w:p>
    <w:p w:rsidR="007663A6" w:rsidRPr="00A964BE" w:rsidRDefault="007663A6" w:rsidP="007663A6">
      <w:pPr>
        <w:pStyle w:val="Titulli"/>
      </w:pPr>
      <w:r>
        <w:t>“</w:t>
      </w:r>
      <w:r w:rsidRPr="00A964BE">
        <w:t>PËR AKCIZAT</w:t>
      </w:r>
      <w:r>
        <w:t>””</w:t>
      </w:r>
    </w:p>
    <w:p w:rsidR="007663A6" w:rsidRPr="00A964BE" w:rsidRDefault="007663A6" w:rsidP="007663A6">
      <w:pPr>
        <w:pStyle w:val="Paragrafi"/>
        <w:rPr>
          <w:rFonts w:ascii="Calibri" w:hAnsi="Calibri" w:cs="Times New Roman"/>
          <w:b/>
          <w:sz w:val="20"/>
          <w:szCs w:val="20"/>
          <w:lang w:val="sq-AL"/>
        </w:rPr>
      </w:pP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>Në mbështetje të nenit 10</w:t>
      </w:r>
      <w:r>
        <w:rPr>
          <w:lang w:val="sq-AL"/>
        </w:rPr>
        <w:t>0</w:t>
      </w:r>
      <w:r w:rsidRPr="00193249">
        <w:rPr>
          <w:lang w:val="sq-AL"/>
        </w:rPr>
        <w:t xml:space="preserve"> të Kushtetutës dhe të neneve 108 e 109 të ligjit nr.</w:t>
      </w:r>
      <w:r>
        <w:rPr>
          <w:lang w:val="sq-AL"/>
        </w:rPr>
        <w:t xml:space="preserve"> </w:t>
      </w:r>
      <w:r w:rsidRPr="00193249">
        <w:rPr>
          <w:lang w:val="sq-AL"/>
        </w:rPr>
        <w:t xml:space="preserve">61/2012 </w:t>
      </w:r>
      <w:r>
        <w:rPr>
          <w:lang w:val="sq-AL"/>
        </w:rPr>
        <w:t>“</w:t>
      </w:r>
      <w:r w:rsidRPr="00193249">
        <w:rPr>
          <w:lang w:val="sq-AL"/>
        </w:rPr>
        <w:t>Për akcizat në Republikën e Shqipërisë</w:t>
      </w:r>
      <w:r>
        <w:rPr>
          <w:lang w:val="sq-AL"/>
        </w:rPr>
        <w:t>”</w:t>
      </w:r>
      <w:r w:rsidRPr="00193249">
        <w:rPr>
          <w:lang w:val="sq-AL"/>
        </w:rPr>
        <w:t>, me propozimin e Ministrit të Financave, Këshilli i Ministrave</w:t>
      </w:r>
    </w:p>
    <w:p w:rsidR="007663A6" w:rsidRPr="00193249" w:rsidRDefault="007663A6" w:rsidP="007663A6">
      <w:pPr>
        <w:pStyle w:val="Paragrafi"/>
        <w:rPr>
          <w:lang w:val="sq-AL"/>
        </w:rPr>
      </w:pPr>
    </w:p>
    <w:p w:rsidR="007663A6" w:rsidRPr="00193249" w:rsidRDefault="007663A6" w:rsidP="007663A6">
      <w:pPr>
        <w:pStyle w:val="VENDOSI"/>
      </w:pPr>
      <w:r w:rsidRPr="00193249">
        <w:t>VENDOSI:</w:t>
      </w:r>
    </w:p>
    <w:p w:rsidR="007663A6" w:rsidRDefault="007663A6" w:rsidP="007663A6">
      <w:pPr>
        <w:pStyle w:val="Paragrafi"/>
        <w:rPr>
          <w:lang w:val="sq-AL"/>
        </w:rPr>
      </w:pPr>
    </w:p>
    <w:p w:rsidR="007663A6" w:rsidRPr="00193249" w:rsidRDefault="007663A6" w:rsidP="007663A6">
      <w:pPr>
        <w:pStyle w:val="Paragrafi"/>
        <w:rPr>
          <w:lang w:val="sq-AL"/>
        </w:rPr>
      </w:pPr>
      <w:r>
        <w:rPr>
          <w:lang w:val="sq-AL"/>
        </w:rPr>
        <w:t xml:space="preserve">Në vendimin nr. 612, datë 5.9.2012 të Këshillit të Ministrave, bëhen këto shtesa dhe ndryshime: 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 xml:space="preserve">1. Në pikën 4 të nenit 18 </w:t>
      </w:r>
      <w:r>
        <w:rPr>
          <w:lang w:val="sq-AL"/>
        </w:rPr>
        <w:t>“</w:t>
      </w:r>
      <w:r w:rsidRPr="00193249">
        <w:rPr>
          <w:lang w:val="sq-AL"/>
        </w:rPr>
        <w:t>Procedurat e përjashtimit</w:t>
      </w:r>
      <w:r>
        <w:rPr>
          <w:lang w:val="sq-AL"/>
        </w:rPr>
        <w:t>”</w:t>
      </w:r>
      <w:r w:rsidRPr="00193249">
        <w:rPr>
          <w:lang w:val="sq-AL"/>
        </w:rPr>
        <w:t>, shtohet paragrafi me këtë përmbajtje:</w:t>
      </w:r>
    </w:p>
    <w:p w:rsidR="007663A6" w:rsidRPr="00193249" w:rsidRDefault="007663A6" w:rsidP="007663A6">
      <w:pPr>
        <w:pStyle w:val="Paragrafi"/>
        <w:rPr>
          <w:lang w:val="sq-AL"/>
        </w:rPr>
      </w:pPr>
      <w:r>
        <w:rPr>
          <w:lang w:val="sq-AL"/>
        </w:rPr>
        <w:t>“</w:t>
      </w:r>
      <w:r w:rsidRPr="00193249">
        <w:rPr>
          <w:lang w:val="sq-AL"/>
        </w:rPr>
        <w:t xml:space="preserve">Nuk i nënshtrohen detyrimit për ngjyrosje rastet e përjashtimeve të shkronjave </w:t>
      </w:r>
      <w:r>
        <w:rPr>
          <w:lang w:val="sq-AL"/>
        </w:rPr>
        <w:t>“</w:t>
      </w:r>
      <w:r w:rsidRPr="00193249">
        <w:rPr>
          <w:lang w:val="sq-AL"/>
        </w:rPr>
        <w:t>a</w:t>
      </w:r>
      <w:r>
        <w:rPr>
          <w:lang w:val="sq-AL"/>
        </w:rPr>
        <w:t>”</w:t>
      </w:r>
      <w:r w:rsidRPr="00193249">
        <w:rPr>
          <w:lang w:val="sq-AL"/>
        </w:rPr>
        <w:t xml:space="preserve"> dhe </w:t>
      </w:r>
      <w:r>
        <w:rPr>
          <w:lang w:val="sq-AL"/>
        </w:rPr>
        <w:t>“</w:t>
      </w:r>
      <w:r w:rsidRPr="00193249">
        <w:rPr>
          <w:lang w:val="sq-AL"/>
        </w:rPr>
        <w:t>b</w:t>
      </w:r>
      <w:r>
        <w:rPr>
          <w:lang w:val="sq-AL"/>
        </w:rPr>
        <w:t>”</w:t>
      </w:r>
      <w:r w:rsidRPr="00193249">
        <w:rPr>
          <w:lang w:val="sq-AL"/>
        </w:rPr>
        <w:t xml:space="preserve"> të pikës 1 </w:t>
      </w:r>
      <w:r w:rsidRPr="00193249">
        <w:rPr>
          <w:rFonts w:ascii="Xerox Serif Narrow" w:hAnsi="Xerox Serif Narrow" w:cs="Xerox Serif Narrow"/>
          <w:lang w:val="sq-AL"/>
        </w:rPr>
        <w:t xml:space="preserve">të </w:t>
      </w:r>
      <w:r w:rsidRPr="00193249">
        <w:rPr>
          <w:lang w:val="sq-AL"/>
        </w:rPr>
        <w:t>nenit 10 të ligjit për akcizat.</w:t>
      </w:r>
      <w:r>
        <w:rPr>
          <w:lang w:val="sq-AL"/>
        </w:rPr>
        <w:t>”</w:t>
      </w:r>
      <w:r w:rsidRPr="00193249">
        <w:rPr>
          <w:lang w:val="sq-AL"/>
        </w:rPr>
        <w:t>.</w:t>
      </w:r>
    </w:p>
    <w:p w:rsidR="007663A6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 xml:space="preserve">2. Në fund të pikës 1 të nenit </w:t>
      </w:r>
      <w:r w:rsidRPr="00193249">
        <w:rPr>
          <w:iCs/>
          <w:lang w:val="sq-AL"/>
        </w:rPr>
        <w:t>21</w:t>
      </w:r>
      <w:r w:rsidRPr="00193249">
        <w:rPr>
          <w:i/>
          <w:iCs/>
          <w:lang w:val="sq-AL"/>
        </w:rPr>
        <w:t xml:space="preserve">, </w:t>
      </w:r>
      <w:r w:rsidRPr="00193249">
        <w:rPr>
          <w:lang w:val="sq-AL"/>
        </w:rPr>
        <w:t>shtohet fjalia me këtë përmbajtje:</w:t>
      </w:r>
    </w:p>
    <w:p w:rsidR="007663A6" w:rsidRDefault="007663A6" w:rsidP="007663A6">
      <w:pPr>
        <w:pStyle w:val="Paragrafi"/>
        <w:rPr>
          <w:lang w:val="sq-AL"/>
        </w:rPr>
      </w:pPr>
      <w:r>
        <w:rPr>
          <w:lang w:val="sq-AL"/>
        </w:rPr>
        <w:t>“Nga importimi i nënprodukteve të naftës që lidhet me përdorimin për nevojat e veta, përjashtohet karburanti që përdoret  për automjetet rrugore të subjekteve.”.</w:t>
      </w:r>
    </w:p>
    <w:p w:rsidR="007663A6" w:rsidRPr="00193249" w:rsidRDefault="007663A6" w:rsidP="007663A6">
      <w:pPr>
        <w:pStyle w:val="Paragrafi"/>
        <w:rPr>
          <w:lang w:val="sq-AL"/>
        </w:rPr>
      </w:pPr>
      <w:r>
        <w:rPr>
          <w:lang w:val="sq-AL"/>
        </w:rPr>
        <w:t>3. Në nenin 43 bëhen këto ndryshime: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>a) n</w:t>
      </w:r>
      <w:r w:rsidRPr="00F31FEE">
        <w:rPr>
          <w:lang w:val="sq-AL"/>
        </w:rPr>
        <w:t>ë</w:t>
      </w:r>
      <w:r w:rsidRPr="00193249">
        <w:rPr>
          <w:lang w:val="sq-AL"/>
        </w:rPr>
        <w:t xml:space="preserve"> pikën 1, referimi për</w:t>
      </w:r>
      <w:r>
        <w:rPr>
          <w:lang w:val="sq-AL"/>
        </w:rPr>
        <w:t xml:space="preserve"> shkronjën “f”</w:t>
      </w:r>
      <w:r w:rsidRPr="00193249">
        <w:rPr>
          <w:lang w:val="sq-AL"/>
        </w:rPr>
        <w:t xml:space="preserve"> ndryshohet në </w:t>
      </w:r>
      <w:r>
        <w:rPr>
          <w:lang w:val="sq-AL"/>
        </w:rPr>
        <w:t>“</w:t>
      </w:r>
      <w:r w:rsidRPr="00193249">
        <w:rPr>
          <w:lang w:val="sq-AL"/>
        </w:rPr>
        <w:t>d</w:t>
      </w:r>
      <w:r>
        <w:rPr>
          <w:lang w:val="sq-AL"/>
        </w:rPr>
        <w:t>”</w:t>
      </w:r>
      <w:r w:rsidRPr="00193249">
        <w:rPr>
          <w:lang w:val="sq-AL"/>
        </w:rPr>
        <w:t>.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F31FEE">
        <w:rPr>
          <w:lang w:val="sq-AL"/>
        </w:rPr>
        <w:t>b)</w:t>
      </w:r>
      <w:r w:rsidRPr="00193249">
        <w:rPr>
          <w:lang w:val="sq-AL"/>
        </w:rPr>
        <w:t xml:space="preserve"> pika 2 ndryshohet si më poshtë vijon:</w:t>
      </w:r>
    </w:p>
    <w:p w:rsidR="007663A6" w:rsidRPr="00193249" w:rsidRDefault="007663A6" w:rsidP="007663A6">
      <w:pPr>
        <w:pStyle w:val="Paragrafi"/>
        <w:rPr>
          <w:lang w:val="sq-AL"/>
        </w:rPr>
      </w:pPr>
      <w:r>
        <w:rPr>
          <w:lang w:val="sq-AL"/>
        </w:rPr>
        <w:t>“</w:t>
      </w:r>
      <w:r w:rsidRPr="00193249">
        <w:rPr>
          <w:lang w:val="sq-AL"/>
        </w:rPr>
        <w:t>2. Subjektet duhet të paraqesin pranë degës doganore ku janë regjistruar: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>a) planimetrinë e objektit;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>b) të dhëna për impiantet (kaldajat dhe furrat) që përdorin lëndën djegëse për prodhim, të pajisur me matës të certifikuar nga Drejtoria e Përgjithshme e Metrologjisë dhe të plumbosur nga autoritetet doganore;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>c) konfirmimin nga Drejtoria e Përgjithshme e Tatimeve për datën e fi</w:t>
      </w:r>
      <w:r>
        <w:rPr>
          <w:lang w:val="sq-AL"/>
        </w:rPr>
        <w:t>l</w:t>
      </w:r>
      <w:r w:rsidRPr="00193249">
        <w:rPr>
          <w:lang w:val="sq-AL"/>
        </w:rPr>
        <w:t>limit të aktivitetit prodhues;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>ç) normativat e konsumit të lëndës djegëse për njësi produkti të gatshëm (karta teknologjike)</w:t>
      </w:r>
      <w:r>
        <w:rPr>
          <w:lang w:val="sq-AL"/>
        </w:rPr>
        <w:t xml:space="preserve">, </w:t>
      </w:r>
      <w:r w:rsidRPr="00193249">
        <w:rPr>
          <w:lang w:val="sq-AL"/>
        </w:rPr>
        <w:t xml:space="preserve"> shoqëruar edhe me të dhënat e mëposhtme për: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>i)</w:t>
      </w:r>
      <w:r>
        <w:rPr>
          <w:lang w:val="sq-AL"/>
        </w:rPr>
        <w:t xml:space="preserve"> </w:t>
      </w:r>
      <w:r w:rsidRPr="00193249">
        <w:rPr>
          <w:lang w:val="sq-AL"/>
        </w:rPr>
        <w:t>llojin e lëndës djegëse, të përdorur në procesin teknologjik;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>ii)</w:t>
      </w:r>
      <w:r>
        <w:rPr>
          <w:lang w:val="sq-AL"/>
        </w:rPr>
        <w:t xml:space="preserve"> </w:t>
      </w:r>
      <w:r w:rsidRPr="00193249">
        <w:rPr>
          <w:lang w:val="sq-AL"/>
        </w:rPr>
        <w:t>fazat në procesin teknologjik, ku përdoret lënda djegëse;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 xml:space="preserve">iii) llojin e kaldajës apo të furrës, ku përdoret lënda djegëse dhe lidhjen me procesin teknologjik </w:t>
      </w:r>
      <w:r w:rsidRPr="00193249">
        <w:rPr>
          <w:rFonts w:cs="Arial"/>
          <w:lang w:val="sq-AL"/>
        </w:rPr>
        <w:t xml:space="preserve">gjatë </w:t>
      </w:r>
      <w:r>
        <w:rPr>
          <w:lang w:val="sq-AL"/>
        </w:rPr>
        <w:t>prodhimit të produktit.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 xml:space="preserve">Karta teknologjike duhet </w:t>
      </w:r>
      <w:r w:rsidRPr="00193249">
        <w:rPr>
          <w:rFonts w:cs="Xerox Serif Narrow"/>
          <w:lang w:val="sq-AL"/>
        </w:rPr>
        <w:t>të</w:t>
      </w:r>
      <w:r w:rsidRPr="00193249">
        <w:rPr>
          <w:rFonts w:ascii="Xerox Serif Narrow" w:hAnsi="Xerox Serif Narrow" w:cs="Xerox Serif Narrow"/>
          <w:lang w:val="sq-AL"/>
        </w:rPr>
        <w:t xml:space="preserve"> </w:t>
      </w:r>
      <w:r w:rsidRPr="00193249">
        <w:rPr>
          <w:lang w:val="sq-AL"/>
        </w:rPr>
        <w:t>jetë e konfirmuar/certifikuar nga një institucion i njohur, që ka aftësinë teknike të konfirmimit të kartave teknologjike, si</w:t>
      </w:r>
      <w:r>
        <w:rPr>
          <w:lang w:val="sq-AL"/>
        </w:rPr>
        <w:t>:</w:t>
      </w:r>
      <w:r w:rsidRPr="00193249">
        <w:rPr>
          <w:lang w:val="sq-AL"/>
        </w:rPr>
        <w:t xml:space="preserve"> Agjencia Kombëtare e Burimeve Natyrore (AKBN), Instituti i Materialeve të Ndërtimit, Drejtoria e Përgjithshme e Standardeve, Drejtoria e Pate</w:t>
      </w:r>
      <w:r>
        <w:rPr>
          <w:lang w:val="sq-AL"/>
        </w:rPr>
        <w:t>ntave dhe Markave, institucione</w:t>
      </w:r>
      <w:r w:rsidRPr="00193249">
        <w:rPr>
          <w:lang w:val="sq-AL"/>
        </w:rPr>
        <w:t xml:space="preserve"> që miratojnë kartat e ndryshme teknologjike apo çdo institucion tjetë</w:t>
      </w:r>
      <w:r>
        <w:rPr>
          <w:lang w:val="sq-AL"/>
        </w:rPr>
        <w:t>r</w:t>
      </w:r>
      <w:r w:rsidRPr="00193249">
        <w:rPr>
          <w:lang w:val="sq-AL"/>
        </w:rPr>
        <w:t xml:space="preserve"> </w:t>
      </w:r>
      <w:r w:rsidRPr="00193249">
        <w:rPr>
          <w:rFonts w:cs="Xerox Serif Narrow"/>
          <w:lang w:val="sq-AL"/>
        </w:rPr>
        <w:t xml:space="preserve">që </w:t>
      </w:r>
      <w:r w:rsidRPr="00193249">
        <w:rPr>
          <w:lang w:val="sq-AL"/>
        </w:rPr>
        <w:t xml:space="preserve">ka aftësitë dhe lidhet me proceset teknologjike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 xml:space="preserve">produkteve, </w:t>
      </w:r>
      <w:r w:rsidRPr="00193249">
        <w:rPr>
          <w:rFonts w:cs="Xerox Serif Narrow"/>
          <w:lang w:val="sq-AL"/>
        </w:rPr>
        <w:t xml:space="preserve">që </w:t>
      </w:r>
      <w:r w:rsidRPr="00193249">
        <w:rPr>
          <w:lang w:val="sq-AL"/>
        </w:rPr>
        <w:t>përdorin këto lëndë djegëse.</w:t>
      </w:r>
      <w:r>
        <w:rPr>
          <w:lang w:val="sq-AL"/>
        </w:rPr>
        <w:t>”</w:t>
      </w:r>
      <w:r w:rsidRPr="00193249">
        <w:rPr>
          <w:lang w:val="sq-AL"/>
        </w:rPr>
        <w:t>.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 xml:space="preserve">c) Pika </w:t>
      </w:r>
      <w:r w:rsidRPr="00193249">
        <w:rPr>
          <w:rFonts w:cs="Arial"/>
          <w:iCs/>
          <w:lang w:val="sq-AL"/>
        </w:rPr>
        <w:t xml:space="preserve">5 </w:t>
      </w:r>
      <w:r>
        <w:rPr>
          <w:lang w:val="sq-AL"/>
        </w:rPr>
        <w:t xml:space="preserve">ndryshohet </w:t>
      </w:r>
      <w:r w:rsidRPr="00193249">
        <w:rPr>
          <w:lang w:val="sq-AL"/>
        </w:rPr>
        <w:t>si më poshtë vijon:</w:t>
      </w:r>
    </w:p>
    <w:p w:rsidR="007663A6" w:rsidRPr="00193249" w:rsidRDefault="007663A6" w:rsidP="007663A6">
      <w:pPr>
        <w:pStyle w:val="Paragrafi"/>
        <w:rPr>
          <w:lang w:val="sq-AL"/>
        </w:rPr>
      </w:pPr>
      <w:r>
        <w:rPr>
          <w:rFonts w:cs="Arial"/>
          <w:iCs/>
          <w:lang w:val="sq-AL"/>
        </w:rPr>
        <w:t>“</w:t>
      </w:r>
      <w:r w:rsidRPr="00193249">
        <w:rPr>
          <w:rFonts w:cs="Arial"/>
          <w:iCs/>
          <w:lang w:val="sq-AL"/>
        </w:rPr>
        <w:t xml:space="preserve">5. </w:t>
      </w:r>
      <w:r w:rsidRPr="00193249">
        <w:rPr>
          <w:lang w:val="sq-AL"/>
        </w:rPr>
        <w:t xml:space="preserve">Subjektet përfituese </w:t>
      </w:r>
      <w:r w:rsidRPr="00193249">
        <w:rPr>
          <w:rFonts w:cs="Xerox Serif Narrow"/>
          <w:lang w:val="sq-AL"/>
        </w:rPr>
        <w:t>t</w:t>
      </w:r>
      <w:r w:rsidRPr="00A30623">
        <w:rPr>
          <w:rFonts w:cs="Xerox Serif Narrow"/>
          <w:lang w:val="sq-AL"/>
        </w:rPr>
        <w:t>ë</w:t>
      </w:r>
      <w:r w:rsidRPr="00193249">
        <w:rPr>
          <w:rFonts w:cs="Xerox Serif Narrow"/>
          <w:lang w:val="sq-AL"/>
        </w:rPr>
        <w:t xml:space="preserve"> </w:t>
      </w:r>
      <w:r w:rsidRPr="00193249">
        <w:rPr>
          <w:lang w:val="sq-AL"/>
        </w:rPr>
        <w:t xml:space="preserve">rimbursimit, brenda datës 10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>muajit pasardhës, paraqesin pranë autoritetit doganor kërkesën për rimbursim, shoqëruar me dokumentacionin e mëposhtëm: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 xml:space="preserve">a) kopje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>do</w:t>
      </w:r>
      <w:r>
        <w:rPr>
          <w:lang w:val="sq-AL"/>
        </w:rPr>
        <w:t>kumenteve të përcaktuara në pikë</w:t>
      </w:r>
      <w:r w:rsidRPr="00193249">
        <w:rPr>
          <w:lang w:val="sq-AL"/>
        </w:rPr>
        <w:t xml:space="preserve">n 2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 xml:space="preserve">këtij neni, kur bën kërkesë për herë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>parë;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 xml:space="preserve">b) kopje të dokumenteve </w:t>
      </w:r>
      <w:r w:rsidRPr="00C43F2E">
        <w:rPr>
          <w:lang w:val="sq-AL"/>
        </w:rPr>
        <w:t>DSHA/DAV</w:t>
      </w:r>
      <w:r w:rsidRPr="00193249">
        <w:rPr>
          <w:lang w:val="sq-AL"/>
        </w:rPr>
        <w:t xml:space="preserve"> me akcizë të paguar ose faturën tatimore të blerjes;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>c) kopje t</w:t>
      </w:r>
      <w:r w:rsidRPr="00F31FEE">
        <w:rPr>
          <w:lang w:val="sq-AL"/>
        </w:rPr>
        <w:t>ë</w:t>
      </w:r>
      <w:r w:rsidRPr="00193249">
        <w:rPr>
          <w:lang w:val="sq-AL"/>
        </w:rPr>
        <w:t xml:space="preserve"> librit </w:t>
      </w:r>
      <w:r w:rsidRPr="00193249">
        <w:rPr>
          <w:rFonts w:cs="Arial"/>
          <w:lang w:val="sq-AL"/>
        </w:rPr>
        <w:t xml:space="preserve">të </w:t>
      </w:r>
      <w:r w:rsidRPr="00193249">
        <w:rPr>
          <w:lang w:val="sq-AL"/>
        </w:rPr>
        <w:t>shitjes me TVSH të muajit paraardhës që ka dorëzuar te drejtoria rajonale tatimore për sasinë e shitur me faturë TVSH- je.</w:t>
      </w:r>
      <w:r>
        <w:rPr>
          <w:lang w:val="sq-AL"/>
        </w:rPr>
        <w:t>”</w:t>
      </w:r>
      <w:r w:rsidRPr="00193249">
        <w:rPr>
          <w:lang w:val="sq-AL"/>
        </w:rPr>
        <w:t>.</w:t>
      </w:r>
    </w:p>
    <w:p w:rsidR="007663A6" w:rsidRPr="00193249" w:rsidRDefault="007663A6" w:rsidP="007663A6">
      <w:pPr>
        <w:pStyle w:val="Paragrafi"/>
        <w:rPr>
          <w:lang w:val="sq-AL"/>
        </w:rPr>
      </w:pPr>
      <w:r>
        <w:rPr>
          <w:lang w:val="sq-AL"/>
        </w:rPr>
        <w:t xml:space="preserve">4. Neni 45 ndryshohet </w:t>
      </w:r>
      <w:r w:rsidRPr="00193249">
        <w:rPr>
          <w:lang w:val="sq-AL"/>
        </w:rPr>
        <w:t xml:space="preserve"> si m</w:t>
      </w:r>
      <w:r w:rsidRPr="00A30623">
        <w:rPr>
          <w:lang w:val="sq-AL"/>
        </w:rPr>
        <w:t>ë</w:t>
      </w:r>
      <w:r w:rsidRPr="00193249">
        <w:rPr>
          <w:lang w:val="sq-AL"/>
        </w:rPr>
        <w:t xml:space="preserve"> poshtë vijon:</w:t>
      </w:r>
    </w:p>
    <w:p w:rsidR="007663A6" w:rsidRPr="00193249" w:rsidRDefault="007663A6" w:rsidP="007663A6">
      <w:pPr>
        <w:pStyle w:val="Paragrafi"/>
        <w:rPr>
          <w:lang w:val="sq-AL"/>
        </w:rPr>
      </w:pPr>
    </w:p>
    <w:p w:rsidR="007663A6" w:rsidRPr="00193249" w:rsidRDefault="007663A6" w:rsidP="007663A6">
      <w:pPr>
        <w:pStyle w:val="NeniNr"/>
      </w:pPr>
      <w:r>
        <w:t>“</w:t>
      </w:r>
      <w:proofErr w:type="spellStart"/>
      <w:r w:rsidRPr="00193249">
        <w:t>Neni</w:t>
      </w:r>
      <w:proofErr w:type="spellEnd"/>
      <w:r w:rsidRPr="00193249">
        <w:t xml:space="preserve"> 45</w:t>
      </w:r>
    </w:p>
    <w:p w:rsidR="007663A6" w:rsidRPr="00193249" w:rsidRDefault="007663A6" w:rsidP="007663A6">
      <w:pPr>
        <w:pStyle w:val="Paragrafi"/>
        <w:rPr>
          <w:lang w:val="sq-AL"/>
        </w:rPr>
      </w:pP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>Prodhimi dhe mbajtja e biokarburanteve realizohen në magazinat fiskale të produkteve energjetike ose nën regjime doganore pezulluese.</w:t>
      </w:r>
      <w:r>
        <w:rPr>
          <w:lang w:val="sq-AL"/>
        </w:rPr>
        <w:t>”</w:t>
      </w:r>
      <w:r w:rsidRPr="00193249">
        <w:rPr>
          <w:lang w:val="sq-AL"/>
        </w:rPr>
        <w:t>.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iCs/>
          <w:lang w:val="sq-AL"/>
        </w:rPr>
        <w:t>5</w:t>
      </w:r>
      <w:r w:rsidRPr="00193249">
        <w:rPr>
          <w:i/>
          <w:iCs/>
          <w:lang w:val="sq-AL"/>
        </w:rPr>
        <w:t xml:space="preserve">. </w:t>
      </w:r>
      <w:r w:rsidRPr="00193249">
        <w:rPr>
          <w:lang w:val="sq-AL"/>
        </w:rPr>
        <w:t xml:space="preserve">Shkronja </w:t>
      </w:r>
      <w:r>
        <w:rPr>
          <w:lang w:val="sq-AL"/>
        </w:rPr>
        <w:t>“</w:t>
      </w:r>
      <w:r w:rsidRPr="00193249">
        <w:rPr>
          <w:lang w:val="sq-AL"/>
        </w:rPr>
        <w:t>o</w:t>
      </w:r>
      <w:r>
        <w:rPr>
          <w:lang w:val="sq-AL"/>
        </w:rPr>
        <w:t>”</w:t>
      </w:r>
      <w:r w:rsidRPr="00193249">
        <w:rPr>
          <w:lang w:val="sq-AL"/>
        </w:rPr>
        <w:t xml:space="preserve"> e pikës 4</w:t>
      </w:r>
      <w:r>
        <w:rPr>
          <w:lang w:val="sq-AL"/>
        </w:rPr>
        <w:t xml:space="preserve"> të nenit 51</w:t>
      </w:r>
      <w:r w:rsidRPr="00193249">
        <w:rPr>
          <w:lang w:val="sq-AL"/>
        </w:rPr>
        <w:t xml:space="preserve"> ndryshohet si më poshtë vijon:</w:t>
      </w:r>
    </w:p>
    <w:p w:rsidR="007663A6" w:rsidRPr="00193249" w:rsidRDefault="007663A6" w:rsidP="007663A6">
      <w:pPr>
        <w:pStyle w:val="Paragrafi"/>
        <w:rPr>
          <w:lang w:val="sq-AL"/>
        </w:rPr>
      </w:pPr>
      <w:r>
        <w:rPr>
          <w:lang w:val="sq-AL"/>
        </w:rPr>
        <w:t>“o)</w:t>
      </w:r>
      <w:r w:rsidRPr="00193249">
        <w:rPr>
          <w:lang w:val="sq-AL"/>
        </w:rPr>
        <w:t xml:space="preserve"> Konfirmimi për shlyerje korrekte të detyrimeve të akcizës ndaj administratës fiskale</w:t>
      </w:r>
      <w:r>
        <w:rPr>
          <w:lang w:val="sq-AL"/>
        </w:rPr>
        <w:t>,</w:t>
      </w:r>
      <w:r w:rsidRPr="00193249">
        <w:rPr>
          <w:lang w:val="sq-AL"/>
        </w:rPr>
        <w:t xml:space="preserve"> si dhe konfirmimi nëse ka konsumuar shkelje në fushën e akcizës dhe shkelje doganore. Në momentin e aplikimit</w:t>
      </w:r>
      <w:r>
        <w:rPr>
          <w:lang w:val="sq-AL"/>
        </w:rPr>
        <w:t xml:space="preserve">, </w:t>
      </w:r>
      <w:r w:rsidRPr="00193249">
        <w:rPr>
          <w:lang w:val="sq-AL"/>
        </w:rPr>
        <w:t xml:space="preserve"> shoqëria nuk duhet të ketë asnjë detyrim akcize të pashlyer.</w:t>
      </w:r>
      <w:r>
        <w:rPr>
          <w:lang w:val="sq-AL"/>
        </w:rPr>
        <w:t>”</w:t>
      </w:r>
      <w:r w:rsidRPr="00193249">
        <w:rPr>
          <w:lang w:val="sq-AL"/>
        </w:rPr>
        <w:t>.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 xml:space="preserve">6. Pas pikës 2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>nenit 76 shtohen pikat 3 dhe 4 me këtë përmbajtje:</w:t>
      </w:r>
    </w:p>
    <w:p w:rsidR="007663A6" w:rsidRPr="00193249" w:rsidRDefault="007663A6" w:rsidP="007663A6">
      <w:pPr>
        <w:pStyle w:val="Paragrafi"/>
        <w:rPr>
          <w:lang w:val="sq-AL"/>
        </w:rPr>
      </w:pPr>
      <w:r>
        <w:rPr>
          <w:lang w:val="sq-AL"/>
        </w:rPr>
        <w:t>“</w:t>
      </w:r>
      <w:r w:rsidRPr="00193249">
        <w:rPr>
          <w:lang w:val="sq-AL"/>
        </w:rPr>
        <w:t xml:space="preserve">3. Për qëllime të pikës 2 të nenit </w:t>
      </w:r>
      <w:r w:rsidRPr="00193249">
        <w:rPr>
          <w:iCs/>
          <w:lang w:val="sq-AL"/>
        </w:rPr>
        <w:t>105</w:t>
      </w:r>
      <w:r w:rsidRPr="00193249">
        <w:rPr>
          <w:i/>
          <w:iCs/>
          <w:lang w:val="sq-AL"/>
        </w:rPr>
        <w:t xml:space="preserve">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>ligjit, dokumenti i garancisë duhet të pë</w:t>
      </w:r>
      <w:r>
        <w:rPr>
          <w:lang w:val="sq-AL"/>
        </w:rPr>
        <w:t>rmbajë</w:t>
      </w:r>
      <w:r w:rsidRPr="00193249">
        <w:rPr>
          <w:lang w:val="sq-AL"/>
        </w:rPr>
        <w:t xml:space="preserve">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 xml:space="preserve">paktën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>dhëna të hollësishme për: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 xml:space="preserve">a) garantuesin, apeluesin ndaj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 xml:space="preserve">cilit del garant, përfituesin (që është Drejtoria e Përgjithshme e Doganave) dhe shumën e përgjithshme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>sa</w:t>
      </w:r>
      <w:r>
        <w:rPr>
          <w:lang w:val="sq-AL"/>
        </w:rPr>
        <w:t>n</w:t>
      </w:r>
      <w:r w:rsidRPr="00193249">
        <w:rPr>
          <w:lang w:val="sq-AL"/>
        </w:rPr>
        <w:t xml:space="preserve">ksionit/eve për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>cilën/cilat lëshohet garancia</w:t>
      </w:r>
      <w:r>
        <w:rPr>
          <w:lang w:val="sq-AL"/>
        </w:rPr>
        <w:t>,</w:t>
      </w:r>
      <w:r w:rsidRPr="00193249">
        <w:rPr>
          <w:lang w:val="sq-AL"/>
        </w:rPr>
        <w:t xml:space="preserve"> si dhe referencat (numrin, datën dhe degën doganore që e k</w:t>
      </w:r>
      <w:r>
        <w:rPr>
          <w:lang w:val="sq-AL"/>
        </w:rPr>
        <w:t>a nxjerrë</w:t>
      </w:r>
      <w:r w:rsidRPr="00193249">
        <w:rPr>
          <w:lang w:val="sq-AL"/>
        </w:rPr>
        <w:t xml:space="preserve"> aktin) e vendimit ku është përcaktuar masa e penalitetit;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 xml:space="preserve">b) angazhimin e garantuesit për garantimin e vlerës së plotë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>penalitetit dhe afatin e vlefshmërisë së garancisë, i cili do të jetë 6 (gjashtë</w:t>
      </w:r>
      <w:r>
        <w:rPr>
          <w:lang w:val="sq-AL"/>
        </w:rPr>
        <w:t>) muaj nga momenti i l</w:t>
      </w:r>
      <w:r w:rsidRPr="00193249">
        <w:rPr>
          <w:lang w:val="sq-AL"/>
        </w:rPr>
        <w:t xml:space="preserve">ëshimit. Ky afat mundet të zgjatet sipas kërkesës dhe nevojës së Drejtorisë </w:t>
      </w:r>
      <w:r>
        <w:rPr>
          <w:rFonts w:cs="Xerox Serif Narrow"/>
          <w:lang w:val="sq-AL"/>
        </w:rPr>
        <w:t>s</w:t>
      </w:r>
      <w:r w:rsidRPr="00193249">
        <w:rPr>
          <w:rFonts w:cs="Xerox Serif Narrow"/>
          <w:lang w:val="sq-AL"/>
        </w:rPr>
        <w:t xml:space="preserve">ë </w:t>
      </w:r>
      <w:r w:rsidRPr="00193249">
        <w:rPr>
          <w:lang w:val="sq-AL"/>
        </w:rPr>
        <w:t xml:space="preserve">Përgjithshme </w:t>
      </w:r>
      <w:r>
        <w:rPr>
          <w:rFonts w:cs="Xerox Serif Narrow"/>
          <w:lang w:val="sq-AL"/>
        </w:rPr>
        <w:t>t</w:t>
      </w:r>
      <w:r w:rsidRPr="00193249">
        <w:rPr>
          <w:rFonts w:cs="Xerox Serif Narrow"/>
          <w:lang w:val="sq-AL"/>
        </w:rPr>
        <w:t xml:space="preserve">ë </w:t>
      </w:r>
      <w:r w:rsidRPr="00193249">
        <w:rPr>
          <w:lang w:val="sq-AL"/>
        </w:rPr>
        <w:t>Doganave, rast pas rasti;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 xml:space="preserve">c) angazhimin e garantuesit për pagesën prej tij pa kushte të shumës së përgjithshme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 xml:space="preserve">sanksioneve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>aplikuara për shkeljen, menjëherë pas kërkesës dhe pa qenë nevoja për argumentim të Drejtorisë së Përgjithshme të Doganave.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>4. Formati i garancisë përcaktohet në aneksin 23, që i bashkëlidhet këtij vendimi.</w:t>
      </w:r>
      <w:r>
        <w:rPr>
          <w:lang w:val="sq-AL"/>
        </w:rPr>
        <w:t>”</w:t>
      </w:r>
      <w:r w:rsidRPr="00193249">
        <w:rPr>
          <w:lang w:val="sq-AL"/>
        </w:rPr>
        <w:t>.</w:t>
      </w:r>
    </w:p>
    <w:p w:rsidR="007663A6" w:rsidRPr="00193249" w:rsidRDefault="007663A6" w:rsidP="007663A6">
      <w:pPr>
        <w:pStyle w:val="Paragrafi"/>
        <w:rPr>
          <w:rFonts w:cs="Arial"/>
          <w:lang w:val="sq-AL"/>
        </w:rPr>
      </w:pPr>
      <w:r w:rsidRPr="00193249">
        <w:rPr>
          <w:lang w:val="sq-AL"/>
        </w:rPr>
        <w:t xml:space="preserve">7. Në nenin 77, pas përcaktimit </w:t>
      </w:r>
      <w:r>
        <w:rPr>
          <w:rFonts w:cs="Arial"/>
          <w:lang w:val="sq-AL"/>
        </w:rPr>
        <w:t>“</w:t>
      </w:r>
      <w:r w:rsidRPr="00193249">
        <w:rPr>
          <w:rFonts w:cs="Arial"/>
          <w:lang w:val="sq-AL"/>
        </w:rPr>
        <w:t xml:space="preserve">... </w:t>
      </w:r>
      <w:r w:rsidRPr="00193249">
        <w:rPr>
          <w:lang w:val="sq-AL"/>
        </w:rPr>
        <w:t xml:space="preserve">të neneve </w:t>
      </w:r>
      <w:r w:rsidRPr="00193249">
        <w:rPr>
          <w:iCs/>
          <w:lang w:val="sq-AL"/>
        </w:rPr>
        <w:t>25</w:t>
      </w:r>
      <w:r w:rsidRPr="00193249">
        <w:rPr>
          <w:i/>
          <w:iCs/>
          <w:lang w:val="sq-AL"/>
        </w:rPr>
        <w:t xml:space="preserve"> </w:t>
      </w:r>
      <w:r w:rsidRPr="00193249">
        <w:rPr>
          <w:lang w:val="sq-AL"/>
        </w:rPr>
        <w:t xml:space="preserve">dhe 26 </w:t>
      </w:r>
      <w:r w:rsidRPr="00193249">
        <w:rPr>
          <w:rFonts w:cs="Arial"/>
          <w:lang w:val="sq-AL"/>
        </w:rPr>
        <w:t>...</w:t>
      </w:r>
      <w:r>
        <w:rPr>
          <w:rFonts w:cs="Arial"/>
          <w:lang w:val="sq-AL"/>
        </w:rPr>
        <w:t>”</w:t>
      </w:r>
      <w:r w:rsidRPr="00193249">
        <w:rPr>
          <w:rFonts w:cs="Arial"/>
          <w:lang w:val="sq-AL"/>
        </w:rPr>
        <w:t xml:space="preserve"> </w:t>
      </w:r>
      <w:r w:rsidRPr="00193249">
        <w:rPr>
          <w:lang w:val="sq-AL"/>
        </w:rPr>
        <w:t xml:space="preserve">shtohet përcaktimi </w:t>
      </w:r>
      <w:r>
        <w:rPr>
          <w:rFonts w:cs="Arial"/>
          <w:lang w:val="sq-AL"/>
        </w:rPr>
        <w:t>“</w:t>
      </w:r>
      <w:r w:rsidRPr="00193249">
        <w:rPr>
          <w:rFonts w:cs="Arial"/>
          <w:lang w:val="sq-AL"/>
        </w:rPr>
        <w:t xml:space="preserve">... </w:t>
      </w:r>
      <w:r w:rsidRPr="00193249">
        <w:rPr>
          <w:lang w:val="sq-AL"/>
        </w:rPr>
        <w:t xml:space="preserve">si dhe të nenit 105 </w:t>
      </w:r>
      <w:r w:rsidRPr="00193249">
        <w:rPr>
          <w:rFonts w:cs="Arial"/>
          <w:lang w:val="sq-AL"/>
        </w:rPr>
        <w:t>...</w:t>
      </w:r>
      <w:r>
        <w:rPr>
          <w:rFonts w:cs="Arial"/>
          <w:lang w:val="sq-AL"/>
        </w:rPr>
        <w:t>”</w:t>
      </w:r>
      <w:r w:rsidRPr="00193249">
        <w:rPr>
          <w:rFonts w:cs="Arial"/>
          <w:lang w:val="sq-AL"/>
        </w:rPr>
        <w:t>.</w:t>
      </w:r>
    </w:p>
    <w:p w:rsidR="007663A6" w:rsidRPr="00193249" w:rsidRDefault="007663A6" w:rsidP="007663A6">
      <w:pPr>
        <w:pStyle w:val="Paragrafi"/>
        <w:rPr>
          <w:rFonts w:cs="Arial"/>
          <w:lang w:val="sq-AL"/>
        </w:rPr>
      </w:pPr>
      <w:r w:rsidRPr="00193249">
        <w:rPr>
          <w:lang w:val="sq-AL"/>
        </w:rPr>
        <w:t>8. N</w:t>
      </w:r>
      <w:r w:rsidRPr="00F31FEE">
        <w:rPr>
          <w:lang w:val="sq-AL"/>
        </w:rPr>
        <w:t>ë</w:t>
      </w:r>
      <w:r w:rsidRPr="00193249">
        <w:rPr>
          <w:lang w:val="sq-AL"/>
        </w:rPr>
        <w:t xml:space="preserve"> nenin 78, pas përcaktimit </w:t>
      </w:r>
      <w:r>
        <w:rPr>
          <w:rFonts w:cs="Arial"/>
          <w:lang w:val="sq-AL"/>
        </w:rPr>
        <w:t>“</w:t>
      </w:r>
      <w:r w:rsidRPr="00193249">
        <w:rPr>
          <w:rFonts w:cs="Arial"/>
          <w:lang w:val="sq-AL"/>
        </w:rPr>
        <w:t xml:space="preserve">...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 xml:space="preserve">pikës 3 të nenit 26 </w:t>
      </w:r>
      <w:r w:rsidRPr="00193249">
        <w:rPr>
          <w:rFonts w:cs="Arial"/>
          <w:lang w:val="sq-AL"/>
        </w:rPr>
        <w:t>...</w:t>
      </w:r>
      <w:r>
        <w:rPr>
          <w:rFonts w:cs="Arial"/>
          <w:lang w:val="sq-AL"/>
        </w:rPr>
        <w:t>”</w:t>
      </w:r>
      <w:r w:rsidRPr="00193249">
        <w:rPr>
          <w:rFonts w:cs="Arial"/>
          <w:lang w:val="sq-AL"/>
        </w:rPr>
        <w:t xml:space="preserve"> </w:t>
      </w:r>
      <w:r w:rsidRPr="00193249">
        <w:rPr>
          <w:lang w:val="sq-AL"/>
        </w:rPr>
        <w:t xml:space="preserve">shtohet përcaktimi </w:t>
      </w:r>
      <w:r>
        <w:rPr>
          <w:rFonts w:cs="Arial"/>
          <w:lang w:val="sq-AL"/>
        </w:rPr>
        <w:t>“</w:t>
      </w:r>
      <w:r w:rsidRPr="00193249">
        <w:rPr>
          <w:rFonts w:cs="Arial"/>
          <w:lang w:val="sq-AL"/>
        </w:rPr>
        <w:t xml:space="preserve">... </w:t>
      </w:r>
      <w:r w:rsidRPr="00193249">
        <w:rPr>
          <w:lang w:val="sq-AL"/>
        </w:rPr>
        <w:t xml:space="preserve">si dhe të nenit 105 </w:t>
      </w:r>
      <w:r w:rsidRPr="00193249">
        <w:rPr>
          <w:rFonts w:cs="Arial"/>
          <w:lang w:val="sq-AL"/>
        </w:rPr>
        <w:t>...</w:t>
      </w:r>
      <w:r>
        <w:rPr>
          <w:rFonts w:cs="Arial"/>
          <w:lang w:val="sq-AL"/>
        </w:rPr>
        <w:t>”</w:t>
      </w:r>
      <w:r w:rsidRPr="00193249">
        <w:rPr>
          <w:rFonts w:cs="Arial"/>
          <w:lang w:val="sq-AL"/>
        </w:rPr>
        <w:t>.</w:t>
      </w:r>
    </w:p>
    <w:p w:rsidR="007663A6" w:rsidRPr="00193249" w:rsidRDefault="007663A6" w:rsidP="007663A6">
      <w:pPr>
        <w:pStyle w:val="Paragrafi"/>
        <w:rPr>
          <w:rFonts w:cs="Times New Roman"/>
          <w:lang w:val="sq-AL"/>
        </w:rPr>
      </w:pPr>
      <w:r w:rsidRPr="00193249">
        <w:rPr>
          <w:lang w:val="sq-AL"/>
        </w:rPr>
        <w:t xml:space="preserve">9. Pas pikës 6 të nenit </w:t>
      </w:r>
      <w:r w:rsidRPr="004D0602">
        <w:rPr>
          <w:iCs/>
          <w:lang w:val="sq-AL"/>
        </w:rPr>
        <w:t>157</w:t>
      </w:r>
      <w:r w:rsidRPr="00193249">
        <w:rPr>
          <w:i/>
          <w:iCs/>
          <w:lang w:val="sq-AL"/>
        </w:rPr>
        <w:t xml:space="preserve"> </w:t>
      </w:r>
      <w:r>
        <w:rPr>
          <w:lang w:val="sq-AL"/>
        </w:rPr>
        <w:t>“</w:t>
      </w:r>
      <w:r w:rsidRPr="00193249">
        <w:rPr>
          <w:lang w:val="sq-AL"/>
        </w:rPr>
        <w:t>Dispozita transitore</w:t>
      </w:r>
      <w:r>
        <w:rPr>
          <w:lang w:val="sq-AL"/>
        </w:rPr>
        <w:t>”</w:t>
      </w:r>
      <w:r w:rsidRPr="00193249">
        <w:rPr>
          <w:lang w:val="sq-AL"/>
        </w:rPr>
        <w:t>, shtohen pikat 7, 8, 9, 10 dhe 11, me këtë përmbajtje:</w:t>
      </w:r>
    </w:p>
    <w:p w:rsidR="007663A6" w:rsidRPr="00193249" w:rsidRDefault="007663A6" w:rsidP="007663A6">
      <w:pPr>
        <w:pStyle w:val="Paragrafi"/>
        <w:rPr>
          <w:lang w:val="sq-AL"/>
        </w:rPr>
      </w:pPr>
      <w:r>
        <w:rPr>
          <w:lang w:val="sq-AL"/>
        </w:rPr>
        <w:t>“</w:t>
      </w:r>
      <w:r w:rsidRPr="00193249">
        <w:rPr>
          <w:lang w:val="sq-AL"/>
        </w:rPr>
        <w:t xml:space="preserve">7. Për subjektet e akcizës që janë në proces kontrolli nga administrata tatimore dhe për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>cilat aktkontrolli përkatës del pas datës 1 tetor 2012, detyrimet tatimore, gjobat, penalitetet dhe procedurat e nxjerrjes së akteve</w:t>
      </w:r>
      <w:r>
        <w:rPr>
          <w:lang w:val="sq-AL"/>
        </w:rPr>
        <w:t>, nxjerrjes së</w:t>
      </w:r>
      <w:r w:rsidRPr="00193249">
        <w:rPr>
          <w:lang w:val="sq-AL"/>
        </w:rPr>
        <w:t xml:space="preserve"> detyrimeve tatimore, penaliteteve dhe mbledhjes së tyre të bëhen bazuar në ligjin nr. 8976, datë 12.12.2002 </w:t>
      </w:r>
      <w:r>
        <w:rPr>
          <w:lang w:val="sq-AL"/>
        </w:rPr>
        <w:t>“</w:t>
      </w:r>
      <w:r w:rsidRPr="00193249">
        <w:rPr>
          <w:lang w:val="sq-AL"/>
        </w:rPr>
        <w:t>Për akcizat</w:t>
      </w:r>
      <w:r>
        <w:rPr>
          <w:lang w:val="sq-AL"/>
        </w:rPr>
        <w:t>”</w:t>
      </w:r>
      <w:r w:rsidRPr="00193249">
        <w:rPr>
          <w:lang w:val="sq-AL"/>
        </w:rPr>
        <w:t xml:space="preserve">, të ndryshuar, dhe aktet nënligjore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 xml:space="preserve">dala në zbatim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>tij, si dhe në ligjin e procedurave tatimore.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 xml:space="preserve">8. Subjektet e akcizës </w:t>
      </w:r>
      <w:r w:rsidRPr="00193249">
        <w:rPr>
          <w:rFonts w:cs="Xerox Serif Narrow"/>
          <w:lang w:val="sq-AL"/>
        </w:rPr>
        <w:t xml:space="preserve">që </w:t>
      </w:r>
      <w:r w:rsidRPr="00193249">
        <w:rPr>
          <w:lang w:val="sq-AL"/>
        </w:rPr>
        <w:t xml:space="preserve">në datën 1 tetor 2012 janë në proces kontrolli nga administrata tatimore, për rimbursimin e akcizës, si dhe subjektet e akcizës, të cilat kanë plotësuar kërkesën për rimbursimin e akcizës për periudhën para datës 1 tetor 2012, do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 xml:space="preserve">vijojnë procedurat e kërkimit dhe </w:t>
      </w:r>
      <w:r>
        <w:rPr>
          <w:lang w:val="sq-AL"/>
        </w:rPr>
        <w:t xml:space="preserve">të </w:t>
      </w:r>
      <w:r w:rsidRPr="00193249">
        <w:rPr>
          <w:lang w:val="sq-AL"/>
        </w:rPr>
        <w:t xml:space="preserve">marrjes së shumës së pretenduar për rimbursim tek administrata tatimore, në bazë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>ligjit nr.</w:t>
      </w:r>
      <w:r>
        <w:rPr>
          <w:lang w:val="sq-AL"/>
        </w:rPr>
        <w:t xml:space="preserve"> </w:t>
      </w:r>
      <w:r w:rsidRPr="00193249">
        <w:rPr>
          <w:lang w:val="sq-AL"/>
        </w:rPr>
        <w:t xml:space="preserve">8976, datë 12.12.2002 </w:t>
      </w:r>
      <w:r>
        <w:rPr>
          <w:lang w:val="sq-AL"/>
        </w:rPr>
        <w:t>“</w:t>
      </w:r>
      <w:r w:rsidRPr="00193249">
        <w:rPr>
          <w:lang w:val="sq-AL"/>
        </w:rPr>
        <w:t>Për akcizat</w:t>
      </w:r>
      <w:r>
        <w:rPr>
          <w:lang w:val="sq-AL"/>
        </w:rPr>
        <w:t>”</w:t>
      </w:r>
      <w:r w:rsidRPr="00193249">
        <w:rPr>
          <w:lang w:val="sq-AL"/>
        </w:rPr>
        <w:t xml:space="preserve">, të ndryshuar, dhe </w:t>
      </w:r>
      <w:r w:rsidRPr="00193249">
        <w:rPr>
          <w:rFonts w:cs="Xerox Serif Narrow"/>
          <w:lang w:val="sq-AL"/>
        </w:rPr>
        <w:t xml:space="preserve">të të </w:t>
      </w:r>
      <w:r w:rsidRPr="00193249">
        <w:rPr>
          <w:lang w:val="sq-AL"/>
        </w:rPr>
        <w:t>gjitha akteve në</w:t>
      </w:r>
      <w:r>
        <w:rPr>
          <w:lang w:val="sq-AL"/>
        </w:rPr>
        <w:t>nligjore</w:t>
      </w:r>
      <w:r w:rsidRPr="00193249">
        <w:rPr>
          <w:lang w:val="sq-AL"/>
        </w:rPr>
        <w:t xml:space="preserve">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>dala në zbatim të tij.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 xml:space="preserve">9. Për borxhin ekzistues për detyrimet e akcizës,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 xml:space="preserve">kontabilizuar në administratën tatimore para datës 1 tetor 2012, si dhe për borxhet që mund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>lindin pas datës 1 tetor 2012, për detyrimet e akcizës</w:t>
      </w:r>
      <w:r>
        <w:rPr>
          <w:lang w:val="sq-AL"/>
        </w:rPr>
        <w:t>,</w:t>
      </w:r>
      <w:r w:rsidRPr="00193249">
        <w:rPr>
          <w:lang w:val="sq-AL"/>
        </w:rPr>
        <w:t xml:space="preserve">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 xml:space="preserve">rezultuara deri më 1 tetor 2012, administrata tatimore do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 xml:space="preserve">vijojë procedurën e mbledhjes së borxhit edhe pas datës 1 tetor 2012, sipas ligjit </w:t>
      </w:r>
      <w:r>
        <w:rPr>
          <w:rFonts w:cs="Xerox Serif Narrow"/>
          <w:lang w:val="sq-AL"/>
        </w:rPr>
        <w:t>t</w:t>
      </w:r>
      <w:r w:rsidRPr="00193249">
        <w:rPr>
          <w:rFonts w:cs="Xerox Serif Narrow"/>
          <w:lang w:val="sq-AL"/>
        </w:rPr>
        <w:t>ë</w:t>
      </w:r>
      <w:r>
        <w:rPr>
          <w:rFonts w:cs="Xerox Serif Narrow"/>
          <w:lang w:val="sq-AL"/>
        </w:rPr>
        <w:t xml:space="preserve"> </w:t>
      </w:r>
      <w:r w:rsidRPr="00193249">
        <w:rPr>
          <w:lang w:val="sq-AL"/>
        </w:rPr>
        <w:t>procedurave tatimore.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>10. Për subjektet e akcizës, që u janë pranuar e proceduar nga administrata tatimore kë</w:t>
      </w:r>
      <w:r>
        <w:rPr>
          <w:lang w:val="sq-AL"/>
        </w:rPr>
        <w:t>rkesat p</w:t>
      </w:r>
      <w:r w:rsidRPr="00193249">
        <w:rPr>
          <w:lang w:val="sq-AL"/>
        </w:rPr>
        <w:t xml:space="preserve">ër shkatërrimin e produkteve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>akcizës para datës 1 tetor 2012, sipas ligjit nr.</w:t>
      </w:r>
      <w:r>
        <w:rPr>
          <w:lang w:val="sq-AL"/>
        </w:rPr>
        <w:t xml:space="preserve"> </w:t>
      </w:r>
      <w:r w:rsidRPr="00193249">
        <w:rPr>
          <w:lang w:val="sq-AL"/>
        </w:rPr>
        <w:t xml:space="preserve">8976, datë 12.12.2002 </w:t>
      </w:r>
      <w:r>
        <w:rPr>
          <w:lang w:val="sq-AL"/>
        </w:rPr>
        <w:t>“</w:t>
      </w:r>
      <w:r w:rsidRPr="00193249">
        <w:rPr>
          <w:lang w:val="sq-AL"/>
        </w:rPr>
        <w:t>Për akcizat</w:t>
      </w:r>
      <w:r>
        <w:rPr>
          <w:lang w:val="sq-AL"/>
        </w:rPr>
        <w:t>”</w:t>
      </w:r>
      <w:r w:rsidRPr="00193249">
        <w:rPr>
          <w:lang w:val="sq-AL"/>
        </w:rPr>
        <w:t xml:space="preserve">,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>ndryshuar, dhe të gjitha akteve në</w:t>
      </w:r>
      <w:r>
        <w:rPr>
          <w:lang w:val="sq-AL"/>
        </w:rPr>
        <w:t>nligjore</w:t>
      </w:r>
      <w:r w:rsidRPr="00193249">
        <w:rPr>
          <w:lang w:val="sq-AL"/>
        </w:rPr>
        <w:t xml:space="preserve">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 xml:space="preserve">dala në zbatim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 xml:space="preserve">tij, administrata tatimore të vijojë këto procedura </w:t>
      </w:r>
      <w:r w:rsidRPr="004D0602">
        <w:rPr>
          <w:lang w:val="sq-AL"/>
        </w:rPr>
        <w:t>de</w:t>
      </w:r>
      <w:r>
        <w:rPr>
          <w:lang w:val="sq-AL"/>
        </w:rPr>
        <w:t>ri</w:t>
      </w:r>
      <w:r w:rsidRPr="00193249">
        <w:rPr>
          <w:lang w:val="sq-AL"/>
        </w:rPr>
        <w:t xml:space="preserve"> në përfundimin e tyre.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>11. Pë</w:t>
      </w:r>
      <w:r>
        <w:rPr>
          <w:lang w:val="sq-AL"/>
        </w:rPr>
        <w:t>r subjektet e akcizës</w:t>
      </w:r>
      <w:r w:rsidRPr="00193249">
        <w:rPr>
          <w:lang w:val="sq-AL"/>
        </w:rPr>
        <w:t xml:space="preserve"> që kanë dorëzuar pranë Drejtorisë së Përgjithshme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 xml:space="preserve">Tatimeve para datës 1 tetor 2012 ose do të sjellin edhe pas kësaj date pulla akcize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 xml:space="preserve">dëmtuara deri në datën 1 tetor 2012, administrata tatimore të zbatojë procedurat e pikës </w:t>
      </w:r>
      <w:r w:rsidRPr="00193249">
        <w:rPr>
          <w:iCs/>
          <w:lang w:val="sq-AL"/>
        </w:rPr>
        <w:t>50</w:t>
      </w:r>
      <w:r w:rsidRPr="00193249">
        <w:rPr>
          <w:i/>
          <w:iCs/>
          <w:lang w:val="sq-AL"/>
        </w:rPr>
        <w:t xml:space="preserve"> </w:t>
      </w:r>
      <w:r w:rsidRPr="00193249">
        <w:rPr>
          <w:lang w:val="sq-AL"/>
        </w:rPr>
        <w:t>të udhëzimit nr.</w:t>
      </w:r>
      <w:r>
        <w:rPr>
          <w:lang w:val="sq-AL"/>
        </w:rPr>
        <w:t xml:space="preserve"> </w:t>
      </w:r>
      <w:r w:rsidRPr="00193249">
        <w:rPr>
          <w:lang w:val="sq-AL"/>
        </w:rPr>
        <w:t xml:space="preserve">7, datë 16.6.2003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 xml:space="preserve">Ministrit të Financave </w:t>
      </w:r>
      <w:r>
        <w:rPr>
          <w:lang w:val="sq-AL"/>
        </w:rPr>
        <w:t>“</w:t>
      </w:r>
      <w:r w:rsidRPr="00193249">
        <w:rPr>
          <w:lang w:val="sq-AL"/>
        </w:rPr>
        <w:t>Për akcizat</w:t>
      </w:r>
      <w:r>
        <w:rPr>
          <w:lang w:val="sq-AL"/>
        </w:rPr>
        <w:t>”</w:t>
      </w:r>
      <w:r w:rsidRPr="00193249">
        <w:rPr>
          <w:lang w:val="sq-AL"/>
        </w:rPr>
        <w:t xml:space="preserve">,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>ndryshuar, dhe në përfundim të tyre, i dërgon administratës doganore n</w:t>
      </w:r>
      <w:r w:rsidRPr="00F31FEE">
        <w:rPr>
          <w:lang w:val="sq-AL"/>
        </w:rPr>
        <w:t>ë</w:t>
      </w:r>
      <w:r w:rsidRPr="00193249">
        <w:rPr>
          <w:lang w:val="sq-AL"/>
        </w:rPr>
        <w:t xml:space="preserve"> rrugë zyrtare, sasinë e pullave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 xml:space="preserve">akcizës, për të cilat nuk duhet paguar akciza (rimbursimi i akcizës </w:t>
      </w:r>
      <w:r w:rsidRPr="00193249">
        <w:rPr>
          <w:rFonts w:cs="Xerox Serif Narrow"/>
          <w:lang w:val="sq-AL"/>
        </w:rPr>
        <w:t xml:space="preserve">së </w:t>
      </w:r>
      <w:r w:rsidRPr="00193249">
        <w:rPr>
          <w:lang w:val="sq-AL"/>
        </w:rPr>
        <w:t xml:space="preserve">paguar), por vetëm kostoja e pullave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 xml:space="preserve">reja, që do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 xml:space="preserve">porositen përmes Drejtorisë së Përgjithshme të Doganave. Këto procedura </w:t>
      </w:r>
      <w:r w:rsidRPr="00193249">
        <w:rPr>
          <w:rFonts w:cs="Xerox Serif Narrow"/>
          <w:lang w:val="sq-AL"/>
        </w:rPr>
        <w:t xml:space="preserve">të </w:t>
      </w:r>
      <w:r w:rsidRPr="00193249">
        <w:rPr>
          <w:lang w:val="sq-AL"/>
        </w:rPr>
        <w:t>përfundojnë brenda datës 30 qershor 2013.</w:t>
      </w:r>
      <w:r>
        <w:rPr>
          <w:lang w:val="sq-AL"/>
        </w:rPr>
        <w:t>”</w:t>
      </w:r>
      <w:r w:rsidRPr="00193249">
        <w:rPr>
          <w:lang w:val="sq-AL"/>
        </w:rPr>
        <w:t>.</w:t>
      </w:r>
    </w:p>
    <w:p w:rsidR="007663A6" w:rsidRPr="00193249" w:rsidRDefault="007663A6" w:rsidP="007663A6">
      <w:pPr>
        <w:pStyle w:val="Paragrafi"/>
        <w:rPr>
          <w:lang w:val="sq-AL"/>
        </w:rPr>
      </w:pPr>
      <w:r w:rsidRPr="00193249">
        <w:rPr>
          <w:lang w:val="sq-AL"/>
        </w:rPr>
        <w:t>Ky vendim hyn në fuqi pas botimit në Fletoren Zyrtare.</w:t>
      </w:r>
    </w:p>
    <w:p w:rsidR="007663A6" w:rsidRPr="00193249" w:rsidRDefault="007663A6" w:rsidP="007663A6">
      <w:pPr>
        <w:pStyle w:val="Paragrafi"/>
        <w:rPr>
          <w:lang w:val="sq-AL"/>
        </w:rPr>
      </w:pPr>
    </w:p>
    <w:p w:rsidR="007663A6" w:rsidRPr="00193249" w:rsidRDefault="007663A6" w:rsidP="007663A6">
      <w:pPr>
        <w:pStyle w:val="Paragrafi"/>
        <w:jc w:val="right"/>
        <w:rPr>
          <w:lang w:val="sq-AL"/>
        </w:rPr>
      </w:pPr>
      <w:r w:rsidRPr="00193249">
        <w:rPr>
          <w:lang w:val="sq-AL"/>
        </w:rPr>
        <w:t>KRYEMINISTRI</w:t>
      </w:r>
    </w:p>
    <w:p w:rsidR="007663A6" w:rsidRPr="000F553B" w:rsidRDefault="007663A6" w:rsidP="007663A6">
      <w:pPr>
        <w:pStyle w:val="Paragrafi"/>
        <w:jc w:val="right"/>
        <w:rPr>
          <w:b/>
          <w:lang w:val="sq-AL"/>
        </w:rPr>
      </w:pPr>
      <w:r w:rsidRPr="000F553B">
        <w:rPr>
          <w:b/>
          <w:lang w:val="sq-AL"/>
        </w:rPr>
        <w:t>Sali Berisha</w:t>
      </w:r>
    </w:p>
    <w:sectPr w:rsidR="007663A6" w:rsidRPr="000F553B" w:rsidSect="00E55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Xerox Serif Narro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663A6"/>
    <w:rsid w:val="001F160C"/>
    <w:rsid w:val="00704DEB"/>
    <w:rsid w:val="007663A6"/>
    <w:rsid w:val="00E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6BDC370-0492-482C-BF69-508E57DDF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3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663A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7663A6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Paragrafi">
    <w:name w:val="Paragrafi"/>
    <w:link w:val="ParagrafiChar"/>
    <w:rsid w:val="007663A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663A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663A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663A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663A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663A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7663A6"/>
    <w:rPr>
      <w:rFonts w:ascii="CG Times" w:eastAsia="MS Mincho" w:hAnsi="CG Times" w:cs="CG Times"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7663A6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ktiChar">
    <w:name w:val="Akti Char"/>
    <w:basedOn w:val="DefaultParagraphFont"/>
    <w:link w:val="Akti"/>
    <w:rsid w:val="007663A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704DE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04DE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2019-03-18T13:14:00Z</dcterms:created>
  <dcterms:modified xsi:type="dcterms:W3CDTF">2019-03-18T13:14:00Z</dcterms:modified>
</cp:coreProperties>
</file>