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DEB" w:rsidRPr="0011452C" w:rsidRDefault="007D7DEB" w:rsidP="007D7DE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1452C">
        <w:rPr>
          <w:sz w:val="21"/>
          <w:szCs w:val="21"/>
          <w:lang w:val="sq-AL"/>
        </w:rPr>
        <w:t>VENDIM</w:t>
      </w:r>
    </w:p>
    <w:p w:rsidR="007D7DEB" w:rsidRPr="0011452C" w:rsidRDefault="007D7DEB" w:rsidP="007D7DEB">
      <w:pPr>
        <w:pStyle w:val="NumriData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Nr. 351, datë 20.3.2013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</w:p>
    <w:p w:rsidR="007D7DEB" w:rsidRPr="0011452C" w:rsidRDefault="007D7DEB" w:rsidP="007D7DEB">
      <w:pPr>
        <w:pStyle w:val="Titull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PËR AUTORIZIMIN E “ETNA POLIMER” SHPK, PËR IMPORTIN E MBETJEVE TË PLASTIKËS PËR QËLLIME RICIKLIMI</w:t>
      </w:r>
    </w:p>
    <w:p w:rsidR="007D7DEB" w:rsidRPr="0011452C" w:rsidRDefault="007D7DEB" w:rsidP="007D7DEB">
      <w:pPr>
        <w:pStyle w:val="Paragrafi"/>
        <w:rPr>
          <w:sz w:val="20"/>
          <w:szCs w:val="21"/>
          <w:lang w:val="sq-AL"/>
        </w:rPr>
      </w:pP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Në mbështetje të nenit 100 të Kushtetutës të pikës 3 të nenit 22 të ligjit nr. 8934, datë 5.9.2002 “Për mbrojtjen e mjedisit”, të ndryshuar dhe të pikës 2 të nenit 49 të ligjit nr. 10 463, datë 22.9.2011 “Për menaxhimin e integruar të mbetjeve”, me propozimin e Ministrit të Mjedisit, Pyjeve dhe Administrimit të Ujërave, Këshilli i Ministrave</w:t>
      </w:r>
    </w:p>
    <w:p w:rsidR="007D7DEB" w:rsidRPr="0011452C" w:rsidRDefault="007D7DEB" w:rsidP="007D7DEB">
      <w:pPr>
        <w:pStyle w:val="Paragrafi"/>
        <w:rPr>
          <w:sz w:val="18"/>
          <w:szCs w:val="21"/>
          <w:lang w:val="sq-AL"/>
        </w:rPr>
      </w:pPr>
    </w:p>
    <w:p w:rsidR="007D7DEB" w:rsidRPr="0011452C" w:rsidRDefault="007D7DEB" w:rsidP="007D7DEB">
      <w:pPr>
        <w:pStyle w:val="VENDOS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VENDOSI: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1. Autorizimin e “Etna Polimer” sh.p.k., për importin e mbetjeve të polietilienit me kodin tarifor GH 011ex 391510 dhe B1-B3010 të Konventës së Bazelit, aneksi 1 “Mbetjet e listës së gjelbër”, referuar vendimit nr. 825, datë 13.10.2010 të Këshillit të Ministrave “Për miratimin e listave të mbetjeve që lejohen të importohen, për qëllime përdorimi, riciklimi dhe përpunimi”, të ndryshuar.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2. Sasia e mbetjeve të plastikës, që do të importohet sipas kodeve të referuara në pikën 1 të këtij vendimi, është 4 500 (katër mijë e pesëqind) tonë në vit.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Mbetjet do të importohen nga Kosova, Maqedonia dhe vendet e Bashkimit Europian. Transporti do të bëhet në rrugë tokësore dhe detare, duke plotësuar të gjithë dokumentacionin e nevojshëm ligjor për transportin ndërkombëtar të mbetjeve, si dhe kërkesat e kreut II të vendimit nr. 806, datë 4.12.2003 të Këshillit të Ministrave “Për miratimin e rregullave dhe procedurave për importimin e mbetjeve për qëllime përd</w:t>
      </w:r>
      <w:r>
        <w:rPr>
          <w:sz w:val="21"/>
          <w:szCs w:val="21"/>
          <w:lang w:val="sq-AL"/>
        </w:rPr>
        <w:t>orimi, përpunimi dhe riciklimi”.</w:t>
      </w:r>
      <w:r w:rsidRPr="0011452C">
        <w:rPr>
          <w:sz w:val="21"/>
          <w:szCs w:val="21"/>
          <w:lang w:val="sq-AL"/>
        </w:rPr>
        <w:t xml:space="preserve"> Ambalazhimi i tyre do të bëhet në paleta, i presuar ose në thasë plastikë, sipas kërkesës së dhënë në anekset III dhe IV të vendimit nr. 825, datë 13.10.2010 të Këshillit të Ministrave “Për miratimin e listave të mbetjeve që lejohen të importohen, për qëllime përdorimi, riciklimi dhe përpunimi”, të ndryshuar.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3. Për çdo transfertë ndërkufitare të mbetjeve, “Etna Polimer” sh.p.k., dorëzon të plotësuar në Ministrinë e Mjedisit, Pyjeve dhe Administrimit të Ujërave, dokumentin e lëvizjes/transfertës ndërkufitare të mbetjeve, sipas formatit të dhënë në anekset III dhe IV të vendimit nr. 825, datë 13.10.2010 të Këshillit të Ministrave, të ndryshuar. Monitorimi i tyre do të kryhet nga strukturat përkatëse të doganave. Çdo transfertë mbetjes</w:t>
      </w:r>
      <w:r>
        <w:rPr>
          <w:sz w:val="21"/>
          <w:szCs w:val="21"/>
          <w:lang w:val="sq-AL"/>
        </w:rPr>
        <w:t>h duhet të jetë e pajisur me</w:t>
      </w:r>
      <w:r w:rsidRPr="0011452C">
        <w:rPr>
          <w:sz w:val="21"/>
          <w:szCs w:val="21"/>
          <w:lang w:val="sq-AL"/>
        </w:rPr>
        <w:t xml:space="preserve"> raport-analizë, të kryer për aspektin e radioaktivitetit.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4. Periudha e lejimit të importit të mbetjeve të plastikës nga “Etna Polimer” sh.p.k., është 1-vjeçare, nga data e hyrjes në fuqi të këtij vendimi.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5. Ministria e Mjedisit, Pyjeve dhe Administrimit të Ujërave, në zbatim të kërkesave të mësipërme ligjore dhe për të siguruar mbrojtjen e mjedisit e të shëndetit publik, merr masat e nevojshme për kontrollin e procesit të riciklimit të mbetjeve të plastikës nga “Etna Polimer” sh.p.k., edhe pas hyrjes në fuqi të këtij vendimi.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 xml:space="preserve">6. Ministria e Mjedisit, Pyjeve dhe Administrimit të Ujërave komunikon me shkrim me shtetet eksportuese </w:t>
      </w:r>
      <w:r>
        <w:rPr>
          <w:sz w:val="21"/>
          <w:szCs w:val="21"/>
          <w:lang w:val="sq-AL"/>
        </w:rPr>
        <w:t>dhe</w:t>
      </w:r>
      <w:r w:rsidRPr="0011452C">
        <w:rPr>
          <w:sz w:val="21"/>
          <w:szCs w:val="21"/>
          <w:lang w:val="sq-AL"/>
        </w:rPr>
        <w:t xml:space="preserve"> ato tranzitore për autorizimet përkatëse, që lejojnë kalimin e kësaj sasie të mbetjeve të plastikës, në përmbushje të kërkesave të Konventës së Bazelit “Për kontrollin e lëvizjeve ndërkufitare të mbetjeve të rrezikshme dhe asgjësimin e tyre”, në të cilën Republika e Shqipërisë është palë.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7. Ngarkohen Ministria e Mjedisit, Pyjeve dhe Administrimit të Ujërave dhe Drejtoria e Përgjithshme e Doganave për zbatimin e këtij vendimi.</w:t>
      </w:r>
    </w:p>
    <w:p w:rsidR="007D7DEB" w:rsidRPr="0011452C" w:rsidRDefault="007D7DEB" w:rsidP="007D7DEB">
      <w:pPr>
        <w:pStyle w:val="Paragrafi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Ky vendim hyn në fuqi pas botimit në Fletoren Zyrtare.</w:t>
      </w:r>
    </w:p>
    <w:p w:rsidR="007D7DEB" w:rsidRPr="00007BB5" w:rsidRDefault="007D7DEB" w:rsidP="007D7DEB">
      <w:pPr>
        <w:pStyle w:val="Paragrafi"/>
        <w:ind w:firstLine="0"/>
        <w:jc w:val="right"/>
        <w:rPr>
          <w:sz w:val="20"/>
          <w:szCs w:val="21"/>
          <w:lang w:val="sq-AL"/>
        </w:rPr>
      </w:pPr>
    </w:p>
    <w:p w:rsidR="007D7DEB" w:rsidRPr="0011452C" w:rsidRDefault="007D7DEB" w:rsidP="007D7DEB">
      <w:pPr>
        <w:pStyle w:val="Paragrafi"/>
        <w:ind w:firstLine="0"/>
        <w:jc w:val="right"/>
        <w:rPr>
          <w:sz w:val="21"/>
          <w:szCs w:val="21"/>
          <w:lang w:val="sq-AL"/>
        </w:rPr>
      </w:pPr>
      <w:r w:rsidRPr="0011452C">
        <w:rPr>
          <w:sz w:val="21"/>
          <w:szCs w:val="21"/>
          <w:lang w:val="sq-AL"/>
        </w:rPr>
        <w:t>KRYEMINISTRI</w:t>
      </w:r>
    </w:p>
    <w:p w:rsidR="007D7DEB" w:rsidRPr="0011452C" w:rsidRDefault="007D7DEB" w:rsidP="007D7DEB">
      <w:pPr>
        <w:pStyle w:val="Paragrafi"/>
        <w:jc w:val="right"/>
        <w:rPr>
          <w:b/>
          <w:sz w:val="21"/>
          <w:szCs w:val="21"/>
          <w:lang w:val="sq-AL"/>
        </w:rPr>
      </w:pPr>
      <w:r w:rsidRPr="0011452C">
        <w:rPr>
          <w:b/>
          <w:sz w:val="21"/>
          <w:szCs w:val="21"/>
          <w:lang w:val="sq-AL"/>
        </w:rPr>
        <w:t>Sali Berisha</w:t>
      </w:r>
    </w:p>
    <w:sectPr w:rsidR="007D7DEB" w:rsidRPr="0011452C" w:rsidSect="00F93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D7DEB"/>
    <w:rsid w:val="007D7DEB"/>
    <w:rsid w:val="00D23965"/>
    <w:rsid w:val="00F9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1A1E9C8-9173-4019-BB90-9BD4C686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3B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D7DE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D7DE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D7DE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7D7DE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D7DE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D7DE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D7DE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D7DE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D7DE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D7DE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2019-03-18T13:32:00Z</dcterms:created>
  <dcterms:modified xsi:type="dcterms:W3CDTF">2019-03-18T13:32:00Z</dcterms:modified>
</cp:coreProperties>
</file>