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CB2" w:rsidRPr="00625029" w:rsidRDefault="008B4CB2" w:rsidP="008B4CB2">
      <w:pPr>
        <w:pStyle w:val="Akti"/>
        <w:rPr>
          <w:lang w:val="sq-AL"/>
        </w:rPr>
      </w:pPr>
      <w:bookmarkStart w:id="0" w:name="_GoBack"/>
      <w:bookmarkEnd w:id="0"/>
      <w:r w:rsidRPr="00625029">
        <w:rPr>
          <w:lang w:val="sq-AL"/>
        </w:rPr>
        <w:t>Vendim</w:t>
      </w:r>
    </w:p>
    <w:p w:rsidR="008B4CB2" w:rsidRPr="00625029" w:rsidRDefault="008B4CB2" w:rsidP="008B4CB2">
      <w:pPr>
        <w:pStyle w:val="NumriData"/>
        <w:rPr>
          <w:lang w:val="sq-AL"/>
        </w:rPr>
      </w:pPr>
      <w:r w:rsidRPr="00625029">
        <w:rPr>
          <w:lang w:val="sq-AL"/>
        </w:rPr>
        <w:t>Nr. 260, datë 27.3.2013</w:t>
      </w:r>
    </w:p>
    <w:p w:rsidR="008B4CB2" w:rsidRPr="00625029" w:rsidRDefault="008B4CB2" w:rsidP="008B4CB2">
      <w:pPr>
        <w:pStyle w:val="Paragrafi"/>
        <w:ind w:firstLine="0"/>
        <w:rPr>
          <w:lang w:val="sq-AL"/>
        </w:rPr>
      </w:pPr>
    </w:p>
    <w:p w:rsidR="008B4CB2" w:rsidRPr="00625029" w:rsidRDefault="008B4CB2" w:rsidP="008B4CB2">
      <w:pPr>
        <w:pStyle w:val="Titulli"/>
        <w:rPr>
          <w:lang w:val="sq-AL"/>
        </w:rPr>
      </w:pPr>
      <w:r w:rsidRPr="00625029">
        <w:rPr>
          <w:lang w:val="sq-AL"/>
        </w:rPr>
        <w:t>Për caktimin e rregullave për koNtrollin, marrjen e mostrave, analizave e të procedurave, dhënien e rezultateve të tyre, si dhe vlerësimin e analizave të plehrave</w:t>
      </w:r>
      <w:r w:rsidRPr="00625029">
        <w:rPr>
          <w:rStyle w:val="FootnoteReference"/>
          <w:lang w:val="sq-AL"/>
        </w:rPr>
        <w:footnoteReference w:id="1"/>
      </w:r>
    </w:p>
    <w:p w:rsidR="008B4CB2" w:rsidRPr="00625029" w:rsidRDefault="008B4CB2" w:rsidP="008B4CB2">
      <w:pPr>
        <w:widowControl w:val="0"/>
        <w:tabs>
          <w:tab w:val="center" w:pos="4680"/>
          <w:tab w:val="left" w:pos="5535"/>
        </w:tabs>
        <w:jc w:val="center"/>
        <w:rPr>
          <w:rFonts w:ascii="Arial" w:hAnsi="Arial" w:cs="Arial"/>
          <w:b/>
          <w:bCs/>
          <w:lang w:val="sq-AL"/>
        </w:rPr>
      </w:pP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 xml:space="preserve">Në mbështetje të nenit 100 të Kushtetutës dhe të nenit 22 të ligjit nr. 10 390, datë 3.3.2011 </w:t>
      </w:r>
      <w:r>
        <w:rPr>
          <w:lang w:val="sq-AL"/>
        </w:rPr>
        <w:t>“</w:t>
      </w:r>
      <w:r w:rsidRPr="00625029">
        <w:rPr>
          <w:lang w:val="sq-AL"/>
        </w:rPr>
        <w:t>Për plehrat e përdorimit për bimësinë</w:t>
      </w:r>
      <w:r>
        <w:rPr>
          <w:lang w:val="sq-AL"/>
        </w:rPr>
        <w:t>”</w:t>
      </w:r>
      <w:r w:rsidRPr="00625029">
        <w:rPr>
          <w:lang w:val="sq-AL"/>
        </w:rPr>
        <w:t>, me propozimin e Ministrit të Bujqësisë, Ushqimit dhe Mbrojtjes së Konsumatorit, Këshilli i Ministrave</w:t>
      </w:r>
    </w:p>
    <w:p w:rsidR="008B4CB2" w:rsidRPr="00625029" w:rsidRDefault="008B4CB2" w:rsidP="008B4CB2">
      <w:pPr>
        <w:pStyle w:val="Paragrafi"/>
        <w:rPr>
          <w:lang w:val="sq-AL"/>
        </w:rPr>
      </w:pPr>
    </w:p>
    <w:p w:rsidR="008B4CB2" w:rsidRPr="00625029" w:rsidRDefault="008B4CB2" w:rsidP="008B4CB2">
      <w:pPr>
        <w:pStyle w:val="VENDOSI"/>
        <w:rPr>
          <w:lang w:val="sq-AL"/>
        </w:rPr>
      </w:pPr>
      <w:r w:rsidRPr="00625029">
        <w:rPr>
          <w:lang w:val="sq-AL"/>
        </w:rPr>
        <w:t>Vendosi:</w:t>
      </w:r>
    </w:p>
    <w:p w:rsidR="008B4CB2" w:rsidRPr="00625029" w:rsidRDefault="008B4CB2" w:rsidP="008B4CB2">
      <w:pPr>
        <w:pStyle w:val="Paragrafi"/>
        <w:rPr>
          <w:lang w:val="sq-AL"/>
        </w:rPr>
      </w:pP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I. TË PËRGJITHSHME</w:t>
      </w:r>
      <w:r>
        <w:rPr>
          <w:lang w:val="sq-AL"/>
        </w:rPr>
        <w:t xml:space="preserve"> DHE PËRKUFIZIME 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1. Qëllimi i këtij vendimi është përcaktimi i rregullave për: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a) kryerjen e kontrollit zyrtar dhe të procedurave të marrjes së mostrës së plehrave;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b) kryerjen e analizave për verifikimin e treguesve cilësorë të deklaruar në certifikatën e analizës e të origjinës;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c) dhënien e rezultateve të analizave dhe vlerësimin e tyre.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2.</w:t>
      </w:r>
      <w:r>
        <w:rPr>
          <w:lang w:val="sq-AL"/>
        </w:rPr>
        <w:t xml:space="preserve"> Të gjithë</w:t>
      </w:r>
      <w:r w:rsidRPr="00625029">
        <w:rPr>
          <w:lang w:val="sq-AL"/>
        </w:rPr>
        <w:t xml:space="preserve"> termat e përcaktuar në ligjin nr. 10 390, datë 3.3.2011 </w:t>
      </w:r>
      <w:r>
        <w:rPr>
          <w:lang w:val="sq-AL"/>
        </w:rPr>
        <w:t>“</w:t>
      </w:r>
      <w:r w:rsidRPr="00625029">
        <w:rPr>
          <w:lang w:val="sq-AL"/>
        </w:rPr>
        <w:t>Për plehrat e përdorimit për bimësinë</w:t>
      </w:r>
      <w:r>
        <w:rPr>
          <w:lang w:val="sq-AL"/>
        </w:rPr>
        <w:t>”</w:t>
      </w:r>
      <w:r w:rsidRPr="00625029">
        <w:rPr>
          <w:lang w:val="sq-AL"/>
        </w:rPr>
        <w:t>, kanë të njëjtin kuptim edhe në këtë vendim, ndërsa me termat e mëposhtëm do të kuptohen: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 xml:space="preserve">a) </w:t>
      </w:r>
      <w:r>
        <w:rPr>
          <w:lang w:val="sq-AL"/>
        </w:rPr>
        <w:t>“</w:t>
      </w:r>
      <w:r w:rsidRPr="00625029">
        <w:rPr>
          <w:lang w:val="sq-AL"/>
        </w:rPr>
        <w:t>Gjurmim</w:t>
      </w:r>
      <w:r>
        <w:rPr>
          <w:lang w:val="sq-AL"/>
        </w:rPr>
        <w:t>”</w:t>
      </w:r>
      <w:r w:rsidRPr="00625029">
        <w:rPr>
          <w:lang w:val="sq-AL"/>
        </w:rPr>
        <w:t>, ndjekja e plehut gjatë gjithë fazave të përshkuara, që nga prodhimi deri në vendosjen e tij në treg, nëpërmjet procedurës së ruajtjes së informacionit të përmbajtur në dokumentacionin shoqërues;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 xml:space="preserve">b) </w:t>
      </w:r>
      <w:r>
        <w:rPr>
          <w:lang w:val="sq-AL"/>
        </w:rPr>
        <w:t>“</w:t>
      </w:r>
      <w:r w:rsidRPr="00625029">
        <w:rPr>
          <w:lang w:val="sq-AL"/>
        </w:rPr>
        <w:t>Etiketa e mostrës</w:t>
      </w:r>
      <w:r>
        <w:rPr>
          <w:lang w:val="sq-AL"/>
        </w:rPr>
        <w:t>”</w:t>
      </w:r>
      <w:r w:rsidRPr="00625029">
        <w:rPr>
          <w:lang w:val="sq-AL"/>
        </w:rPr>
        <w:t>, modeli i shkruar, që plotësohet nga inspektori me të dhënat që kërkohen për identifikimin e mostrës për kryerjen e analizave zyrtare;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 xml:space="preserve">c) </w:t>
      </w:r>
      <w:r>
        <w:rPr>
          <w:lang w:val="sq-AL"/>
        </w:rPr>
        <w:t>“</w:t>
      </w:r>
      <w:r w:rsidRPr="00625029">
        <w:rPr>
          <w:lang w:val="sq-AL"/>
        </w:rPr>
        <w:t>Kod identifikimi</w:t>
      </w:r>
      <w:r>
        <w:rPr>
          <w:lang w:val="sq-AL"/>
        </w:rPr>
        <w:t>”</w:t>
      </w:r>
      <w:r w:rsidRPr="00625029">
        <w:rPr>
          <w:lang w:val="sq-AL"/>
        </w:rPr>
        <w:t>, një numër që vendoset nga inspektori për të ruajtur identitetin e prodhuesit;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 xml:space="preserve">ç) </w:t>
      </w:r>
      <w:r>
        <w:rPr>
          <w:lang w:val="sq-AL"/>
        </w:rPr>
        <w:t>“</w:t>
      </w:r>
      <w:r w:rsidRPr="00625029">
        <w:rPr>
          <w:lang w:val="sq-AL"/>
        </w:rPr>
        <w:t>Format e përbërjes së plehrave</w:t>
      </w:r>
      <w:r>
        <w:rPr>
          <w:lang w:val="sq-AL"/>
        </w:rPr>
        <w:t>”</w:t>
      </w:r>
      <w:r w:rsidRPr="00625029">
        <w:rPr>
          <w:lang w:val="sq-AL"/>
        </w:rPr>
        <w:t>, forma të përbërjes kimike të çdo elementi ushqyes të deklaruara dhe të paraqitura në etiketën e paketimit, certifikatën e origjinës ose dokumentet origjinale shoqëruese të plehut.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II.</w:t>
      </w:r>
      <w:r>
        <w:rPr>
          <w:lang w:val="sq-AL"/>
        </w:rPr>
        <w:t xml:space="preserve"> </w:t>
      </w:r>
      <w:r w:rsidRPr="00625029">
        <w:rPr>
          <w:lang w:val="sq-AL"/>
        </w:rPr>
        <w:t>KONTROLLI, MARRJA DHE DORËZIMI I MOSTRËS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A.</w:t>
      </w:r>
      <w:r>
        <w:rPr>
          <w:lang w:val="sq-AL"/>
        </w:rPr>
        <w:t xml:space="preserve"> </w:t>
      </w:r>
      <w:r w:rsidRPr="00625029">
        <w:rPr>
          <w:lang w:val="sq-AL"/>
        </w:rPr>
        <w:t>Rregulla të përgjithshme për kontrollin dhe marrjen e mostrave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1.</w:t>
      </w:r>
      <w:r>
        <w:rPr>
          <w:lang w:val="sq-AL"/>
        </w:rPr>
        <w:t xml:space="preserve"> </w:t>
      </w:r>
      <w:r w:rsidRPr="00625029">
        <w:rPr>
          <w:lang w:val="sq-AL"/>
        </w:rPr>
        <w:t>Kontrolli dhe marrja e mostrave për analizimin e plehut bëhet nga inspektori, i cili, gjatë ushtrimit të detyrës së tij, identifikohet me kartën e inspektorit, të lëshuar në përputhje me ligjin për inspektimin.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2.</w:t>
      </w:r>
      <w:r>
        <w:rPr>
          <w:lang w:val="sq-AL"/>
        </w:rPr>
        <w:t xml:space="preserve"> </w:t>
      </w:r>
      <w:r w:rsidRPr="00625029">
        <w:rPr>
          <w:lang w:val="sq-AL"/>
        </w:rPr>
        <w:t>Inspektori merr mostrën e plehrave me vendosjen në treg të tyre, në të gjitha rastet kur mendon se ka tjetërsim, ndryshim të vetive fiziko-kimike të tyre.</w:t>
      </w:r>
    </w:p>
    <w:p w:rsidR="008B4CB2" w:rsidRDefault="008B4CB2" w:rsidP="008B4CB2">
      <w:pPr>
        <w:pStyle w:val="Paragrafi"/>
        <w:rPr>
          <w:lang w:val="sq-AL"/>
        </w:rPr>
      </w:pP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3. Inspektori gjykon dhe vendos për treguesit cilësorë</w:t>
      </w:r>
      <w:r>
        <w:rPr>
          <w:lang w:val="sq-AL"/>
        </w:rPr>
        <w:t>,</w:t>
      </w:r>
      <w:r w:rsidRPr="00625029">
        <w:rPr>
          <w:lang w:val="sq-AL"/>
        </w:rPr>
        <w:t xml:space="preserve"> të cilët do t’</w:t>
      </w:r>
      <w:r>
        <w:rPr>
          <w:lang w:val="sq-AL"/>
        </w:rPr>
        <w:t>u</w:t>
      </w:r>
      <w:r w:rsidRPr="00625029">
        <w:rPr>
          <w:lang w:val="sq-AL"/>
        </w:rPr>
        <w:t xml:space="preserve"> nënshtrohen analizave që do të kryhen në laboratorët e miratuar.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B. Marrja dhe dorëzimi i mostrës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1. Marrja e mostrave për analizim</w:t>
      </w:r>
      <w:r>
        <w:rPr>
          <w:lang w:val="sq-AL"/>
        </w:rPr>
        <w:t>,</w:t>
      </w:r>
      <w:r w:rsidRPr="00625029">
        <w:rPr>
          <w:lang w:val="sq-AL"/>
        </w:rPr>
        <w:t xml:space="preserve"> si dhe metodologjia e llogaritjes së shpenzimeve kryhet sipas përcaktimit të dhënë në nenin 38 të ligjit nr. 10 433, datë 16.6.2011 </w:t>
      </w:r>
      <w:r>
        <w:rPr>
          <w:lang w:val="sq-AL"/>
        </w:rPr>
        <w:t>“</w:t>
      </w:r>
      <w:r w:rsidRPr="00625029">
        <w:rPr>
          <w:lang w:val="sq-AL"/>
        </w:rPr>
        <w:t>Për inspektimin në Republikën e Shqipërisë</w:t>
      </w:r>
      <w:r>
        <w:rPr>
          <w:lang w:val="sq-AL"/>
        </w:rPr>
        <w:t>”</w:t>
      </w:r>
      <w:r w:rsidRPr="00625029">
        <w:rPr>
          <w:lang w:val="sq-AL"/>
        </w:rPr>
        <w:t>.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2. Procedurat e hollësishme për marrjen dhe trajtimin e mostrave të plehrave bëhen sipas metodikave të përcaktuara në standardet përkatëse të adoptuara nga Drejtoria e Përgjithshme e Standardeve.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3. Përgatitja e mostrës bëhet si më poshtë vijon: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a) Inspektori merr tri mostra</w:t>
      </w:r>
      <w:r>
        <w:rPr>
          <w:lang w:val="sq-AL"/>
        </w:rPr>
        <w:t>;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b) Mostrat vendosen në mbajtëse plastike. Secila mostër e marrë vendoset në një mbajtëse tjetër të dytë plastike. Ndërmjet mbajtëses së parë dhe asaj të dytë vendoset etiketat e mostrës, që plotësohet nga inspektori, sipas përcaktimit të shtojcës 2 të këtij vendimi. Në prani të prodhuesit</w:t>
      </w:r>
      <w:r>
        <w:rPr>
          <w:lang w:val="sq-AL"/>
        </w:rPr>
        <w:t>,</w:t>
      </w:r>
      <w:r w:rsidRPr="00625029">
        <w:rPr>
          <w:lang w:val="sq-AL"/>
        </w:rPr>
        <w:t xml:space="preserve"> mbajtës</w:t>
      </w:r>
      <w:r>
        <w:rPr>
          <w:lang w:val="sq-AL"/>
        </w:rPr>
        <w:t>e</w:t>
      </w:r>
      <w:r w:rsidRPr="00625029">
        <w:rPr>
          <w:lang w:val="sq-AL"/>
        </w:rPr>
        <w:t>t plastik</w:t>
      </w:r>
      <w:r>
        <w:rPr>
          <w:lang w:val="sq-AL"/>
        </w:rPr>
        <w:t>e</w:t>
      </w:r>
      <w:r w:rsidRPr="00625029">
        <w:rPr>
          <w:lang w:val="sq-AL"/>
        </w:rPr>
        <w:t xml:space="preserve"> mbyllen dhe plumbosen në mënyrë të tillë, që hapja e tyre të çojë në dëmtimin e pandreqshëm të plumbosjes</w:t>
      </w:r>
      <w:r>
        <w:rPr>
          <w:lang w:val="sq-AL"/>
        </w:rPr>
        <w:t>;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c) Për të ruajtur anonimatin e mostrës, inspektori vendos një kod identifikimi tek etiketa. Ky kod identifikimi i përket prodhuesit të plehut dhe regjistrohet nga inspektori duke u mbajtur i fshehtë deri në kthimin e përgjigjes së analizave zyrtare</w:t>
      </w:r>
      <w:r>
        <w:rPr>
          <w:lang w:val="sq-AL"/>
        </w:rPr>
        <w:t>;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ç) Prishja e plumbosjes së mostrës bëhet në momentin e dorëzimit në laborator, në prani të inspektorit dhe marrësit në dorëzim</w:t>
      </w:r>
      <w:r>
        <w:rPr>
          <w:lang w:val="sq-AL"/>
        </w:rPr>
        <w:t>;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d) Çdo mostër shoqërohet me procesverbal inspektimi, sipas përcaktimit të dhënë në shtojcën 1 të këtij vendimi. Procesverbali i inspektimit, mbahet në momentin e marrjes së mostrës dhe në prani të prodhuesit ose përfaqësuesit të tij</w:t>
      </w:r>
      <w:r>
        <w:rPr>
          <w:lang w:val="sq-AL"/>
        </w:rPr>
        <w:t>;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dh) Mostra për analizat e përbërësve cilësorë të plehut regjistrohet në protokollin e marrjes në dorëzim të mostrave, të përcaktuar në shtojcën 3 të këtij vendimi.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4. Dorëzimi i mostrës bëhet si më poshtë vijon: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a) inspektori dorëzon njërën nga tri mostrat në laboratorin e miratuar brenda 3</w:t>
      </w:r>
      <w:r>
        <w:rPr>
          <w:lang w:val="sq-AL"/>
        </w:rPr>
        <w:t xml:space="preserve"> </w:t>
      </w:r>
      <w:r w:rsidRPr="00625029">
        <w:rPr>
          <w:lang w:val="sq-AL"/>
        </w:rPr>
        <w:t>(tre) ditëve nga momenti i marrjes së saj, në mënyrë që të mos ketë ndikim në ndryshimin e vetive fiziko-kimike të mostrës;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b) mostra e dytë ruhet nga inspektori derisa të përfundoj</w:t>
      </w:r>
      <w:r>
        <w:rPr>
          <w:lang w:val="sq-AL"/>
        </w:rPr>
        <w:t>n</w:t>
      </w:r>
      <w:r w:rsidRPr="00625029">
        <w:rPr>
          <w:lang w:val="sq-AL"/>
        </w:rPr>
        <w:t>ë procedurat e verifikimit dhe ballafaqimit të rezultateve të analizave të kërkuara prej tij;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c) mostra e tretë mbahet nga prodhuesi, për ankim ose jo të rezultateve të analizave.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III.</w:t>
      </w:r>
      <w:r>
        <w:rPr>
          <w:lang w:val="sq-AL"/>
        </w:rPr>
        <w:t xml:space="preserve"> </w:t>
      </w:r>
      <w:r w:rsidRPr="00625029">
        <w:rPr>
          <w:lang w:val="sq-AL"/>
        </w:rPr>
        <w:t>ANALIZAT DHE PROCEDURAT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1. Analizat e plehrave</w:t>
      </w:r>
      <w:r>
        <w:rPr>
          <w:lang w:val="sq-AL"/>
        </w:rPr>
        <w:t>,</w:t>
      </w:r>
      <w:r w:rsidRPr="00625029">
        <w:rPr>
          <w:lang w:val="sq-AL"/>
        </w:rPr>
        <w:t xml:space="preserve"> si dhe procedurat laboratorike bëhen sipas metodikave të përcaktuar</w:t>
      </w:r>
      <w:r>
        <w:rPr>
          <w:lang w:val="sq-AL"/>
        </w:rPr>
        <w:t>a</w:t>
      </w:r>
      <w:r w:rsidRPr="00625029">
        <w:rPr>
          <w:lang w:val="sq-AL"/>
        </w:rPr>
        <w:t xml:space="preserve"> në standardet përkatëse, të adoptuara nga Drejtoria e Përgjithshme e Standardeve.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2. Pas përfundimit të analizave, rezultatet e tyre regjistrohen në dy mënyra: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a)</w:t>
      </w:r>
      <w:r>
        <w:rPr>
          <w:lang w:val="sq-AL"/>
        </w:rPr>
        <w:t xml:space="preserve"> </w:t>
      </w:r>
      <w:r w:rsidRPr="00625029">
        <w:rPr>
          <w:lang w:val="sq-AL"/>
        </w:rPr>
        <w:t>manuale, në regjistrat e laboratorit;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b) kompjuterike, nga përgjegjësi i laboratorit te plotësimi i fletanalizës, sipas përcaktimit të dhënë në shtojcën 4 të këtij vendimi.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3. Fletanaliza me të dhënat e rezultateve plotësohet në tri kopje, sipas kërkesave të inspektorit, të përcaktuar në procesverbalin e inspektimit. Secila kopje firmoset nga analizuesi, përgjegjësi i laboratorit dhe titullari.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IV. REZULTATET E ANALIZAVE LABORATORIKE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A. Dhënia e rezultateve të analizave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1. Rezultati përfundimtar i analizave për plehrat dorëzohet sipas afatit të përcaktuar në pikën 1 të nenit 21 të ligjit nr. 10 390, datë 3.3.2011.</w:t>
      </w:r>
    </w:p>
    <w:p w:rsidR="008B4CB2" w:rsidRDefault="008B4CB2" w:rsidP="008B4CB2">
      <w:pPr>
        <w:pStyle w:val="Paragrafi"/>
        <w:rPr>
          <w:lang w:val="sq-AL"/>
        </w:rPr>
      </w:pPr>
    </w:p>
    <w:p w:rsidR="008B4CB2" w:rsidRDefault="008B4CB2" w:rsidP="008B4CB2">
      <w:pPr>
        <w:pStyle w:val="Paragrafi"/>
        <w:rPr>
          <w:lang w:val="sq-AL"/>
        </w:rPr>
      </w:pP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2. Një kopje e fletanalizës, sipas pikës 3 të kreut III, ruhet në laboratorin ku janë kryer analizat, kopja e dytë ruhet në arkiv</w:t>
      </w:r>
      <w:r>
        <w:rPr>
          <w:lang w:val="sq-AL"/>
        </w:rPr>
        <w:t>i</w:t>
      </w:r>
      <w:r w:rsidRPr="00625029">
        <w:rPr>
          <w:lang w:val="sq-AL"/>
        </w:rPr>
        <w:t>n e institucionit ku bën pjesë laboratori dhe kopja e tretë i dorëzohet inspektorit.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3.</w:t>
      </w:r>
      <w:r>
        <w:rPr>
          <w:lang w:val="sq-AL"/>
        </w:rPr>
        <w:t xml:space="preserve"> </w:t>
      </w:r>
      <w:r w:rsidRPr="00625029">
        <w:rPr>
          <w:lang w:val="sq-AL"/>
        </w:rPr>
        <w:t>Dokumentacioni përkatës që shoqëron mostrën dhe analizat, ruhet në laborator për një afat kohor deri në një vit dhe pastaj arkivohet.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B.</w:t>
      </w:r>
      <w:r>
        <w:rPr>
          <w:lang w:val="sq-AL"/>
        </w:rPr>
        <w:t xml:space="preserve"> </w:t>
      </w:r>
      <w:r w:rsidRPr="00625029">
        <w:rPr>
          <w:lang w:val="sq-AL"/>
        </w:rPr>
        <w:t>Vlerësimi i rezultateve të analizave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1.</w:t>
      </w:r>
      <w:r>
        <w:rPr>
          <w:lang w:val="sq-AL"/>
        </w:rPr>
        <w:t xml:space="preserve"> </w:t>
      </w:r>
      <w:r w:rsidRPr="00625029">
        <w:rPr>
          <w:lang w:val="sq-AL"/>
        </w:rPr>
        <w:t>Vlerësimi i përputhshmërisë me përshtatshmërinë e llojeve të plehrave</w:t>
      </w:r>
      <w:r>
        <w:rPr>
          <w:lang w:val="sq-AL"/>
        </w:rPr>
        <w:t>,</w:t>
      </w:r>
      <w:r w:rsidRPr="00625029">
        <w:rPr>
          <w:lang w:val="sq-AL"/>
        </w:rPr>
        <w:t xml:space="preserve"> si dhe me përmbajtjen e deklaruar të ushqyesve dhe/ose përmbajtjen e deklaruar të formave apo të tretshmërisë </w:t>
      </w:r>
      <w:r>
        <w:rPr>
          <w:lang w:val="sq-AL"/>
        </w:rPr>
        <w:t>s</w:t>
      </w:r>
      <w:r w:rsidRPr="00625029">
        <w:rPr>
          <w:lang w:val="sq-AL"/>
        </w:rPr>
        <w:t>ë këtyre ushqyesve, kryhet nga inspektori, në këtë mënyrë: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a)</w:t>
      </w:r>
      <w:r>
        <w:rPr>
          <w:lang w:val="sq-AL"/>
        </w:rPr>
        <w:t xml:space="preserve"> </w:t>
      </w:r>
      <w:r w:rsidRPr="00625029">
        <w:rPr>
          <w:lang w:val="sq-AL"/>
        </w:rPr>
        <w:t>vlerësohen plehrat, në bazë të ballafaqimit të rezultateve të analizave të kryera për mostrën, sipas kërkesave të bëra, me treguesit e deklaruar në etiketë ose në certifikatën e analizave e të origjinës;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b)</w:t>
      </w:r>
      <w:r>
        <w:rPr>
          <w:lang w:val="sq-AL"/>
        </w:rPr>
        <w:t xml:space="preserve"> </w:t>
      </w:r>
      <w:r w:rsidRPr="00625029">
        <w:rPr>
          <w:lang w:val="sq-AL"/>
        </w:rPr>
        <w:t>vlerësohet nëse një pleh është me mungesa në pë</w:t>
      </w:r>
      <w:r>
        <w:rPr>
          <w:lang w:val="sq-AL"/>
        </w:rPr>
        <w:t>rmbajtjen e elementeve ushqyese</w:t>
      </w:r>
      <w:r w:rsidRPr="00625029">
        <w:rPr>
          <w:lang w:val="sq-AL"/>
        </w:rPr>
        <w:t xml:space="preserve"> ose përmban elemente të dëmshme për njerëzit, kafshët dhe mjedisin;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c)</w:t>
      </w:r>
      <w:r>
        <w:rPr>
          <w:lang w:val="sq-AL"/>
        </w:rPr>
        <w:t xml:space="preserve"> </w:t>
      </w:r>
      <w:r w:rsidRPr="00625029">
        <w:rPr>
          <w:lang w:val="sq-AL"/>
        </w:rPr>
        <w:t>brenda katër ditëve nga dita e marrjes së përgjigjes së analizave, inspektori njofton prodhuesin në mënyrë elektronike, për vlerësimin e rezultateve dhe, më pas, i dorëzon kopjen e rezultateve të analizave.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2.</w:t>
      </w:r>
      <w:r>
        <w:rPr>
          <w:lang w:val="sq-AL"/>
        </w:rPr>
        <w:t xml:space="preserve"> </w:t>
      </w:r>
      <w:r w:rsidRPr="00625029">
        <w:rPr>
          <w:lang w:val="sq-AL"/>
        </w:rPr>
        <w:t>Kur të dhënat e specifikuara në certifikatën e analizës e të origjinës së plehut</w:t>
      </w:r>
      <w:r>
        <w:rPr>
          <w:lang w:val="sq-AL"/>
        </w:rPr>
        <w:t>,</w:t>
      </w:r>
      <w:r w:rsidRPr="00625029">
        <w:rPr>
          <w:lang w:val="sq-AL"/>
        </w:rPr>
        <w:t xml:space="preserve"> nuk përputhen me analizat laboratorike, veprohet sipas nenit 7 të ligjit n</w:t>
      </w:r>
      <w:r>
        <w:rPr>
          <w:lang w:val="sq-AL"/>
        </w:rPr>
        <w:t>r</w:t>
      </w:r>
      <w:r w:rsidRPr="00625029">
        <w:rPr>
          <w:lang w:val="sq-AL"/>
        </w:rPr>
        <w:t>. 10 390, datë 3.3.2011.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3.</w:t>
      </w:r>
      <w:r>
        <w:rPr>
          <w:lang w:val="sq-AL"/>
        </w:rPr>
        <w:t xml:space="preserve"> </w:t>
      </w:r>
      <w:r w:rsidRPr="00625029">
        <w:rPr>
          <w:lang w:val="sq-AL"/>
        </w:rPr>
        <w:t>Kur një prodhues nuk është dakord me rezultatet e analizave, brenda një afati kohor prej 5 (pesë) ditësh bëhet ballafaqimi me laboratorin që ka kryer analizat. Edhe pas ballafaqimit me laboratorin, nëse prodhuesi përsëri nuk është dakord me rezultatet e analizave, atëherë ato kryhen në laboratorin e referencës, të përcaktuar në nenin 17 të ligjit nr. 10 390, datë 3.3.2011.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4.</w:t>
      </w:r>
      <w:r>
        <w:rPr>
          <w:lang w:val="sq-AL"/>
        </w:rPr>
        <w:t xml:space="preserve"> </w:t>
      </w:r>
      <w:r w:rsidRPr="00625029">
        <w:rPr>
          <w:lang w:val="sq-AL"/>
        </w:rPr>
        <w:t>Për të siguruar gjurmimin e plehrave të vendosura në treg, përfshirë edhe nitratin e amonit me përmbajtje të lartë azoti, prodhuesi duhet të ruajë emrat dhe adresat e vendeve ku është prodhuar plehu, si</w:t>
      </w:r>
      <w:r>
        <w:rPr>
          <w:lang w:val="sq-AL"/>
        </w:rPr>
        <w:t xml:space="preserve"> </w:t>
      </w:r>
      <w:r w:rsidRPr="00625029">
        <w:rPr>
          <w:lang w:val="sq-AL"/>
        </w:rPr>
        <w:t>dhe të dhënat e certifikatës së origjinës e të analizave, të përcaktuara sipas etiketës. Këto të dhëna janë objekt inspektimi, për</w:t>
      </w:r>
      <w:r>
        <w:rPr>
          <w:lang w:val="sq-AL"/>
        </w:rPr>
        <w:t xml:space="preserve"> </w:t>
      </w:r>
      <w:r w:rsidRPr="00625029">
        <w:rPr>
          <w:lang w:val="sq-AL"/>
        </w:rPr>
        <w:t>sa kohë që plehu vendoset në treg, si dhe për një periudhë prej 2 vitesh, pas përfundimit të vendosjes në treg të këtij plehu nga prodhuesi.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V.</w:t>
      </w:r>
      <w:r>
        <w:rPr>
          <w:lang w:val="sq-AL"/>
        </w:rPr>
        <w:t xml:space="preserve"> </w:t>
      </w:r>
      <w:r w:rsidRPr="00625029">
        <w:rPr>
          <w:lang w:val="sq-AL"/>
        </w:rPr>
        <w:t>DISPOZITA TË FUNDIT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1.</w:t>
      </w:r>
      <w:r>
        <w:rPr>
          <w:lang w:val="sq-AL"/>
        </w:rPr>
        <w:t xml:space="preserve"> </w:t>
      </w:r>
      <w:r w:rsidRPr="00625029">
        <w:rPr>
          <w:lang w:val="sq-AL"/>
        </w:rPr>
        <w:t>Autoriteti Kombëtar i Ushqimit, përgjegjës për marrjen e mostrave</w:t>
      </w:r>
      <w:r>
        <w:rPr>
          <w:lang w:val="sq-AL"/>
        </w:rPr>
        <w:t>,</w:t>
      </w:r>
      <w:r w:rsidRPr="00625029">
        <w:rPr>
          <w:lang w:val="sq-AL"/>
        </w:rPr>
        <w:t xml:space="preserve"> si dhe laboratorët e akredituar e të miratuar për kryerjen e analizave të plehut, të mbajnë lidhje të vazhdueshme me Drejtorinë e Përgjithshme të Standardizimit, për njohjen e metodave të adaptuara dhe të miratuara prej saj, bazuar në ligjin nr. 9870, datë 4.2.2008 </w:t>
      </w:r>
      <w:r>
        <w:rPr>
          <w:lang w:val="sq-AL"/>
        </w:rPr>
        <w:t>“</w:t>
      </w:r>
      <w:r w:rsidRPr="00625029">
        <w:rPr>
          <w:lang w:val="sq-AL"/>
        </w:rPr>
        <w:t>Për standardizimin</w:t>
      </w:r>
      <w:r>
        <w:rPr>
          <w:lang w:val="sq-AL"/>
        </w:rPr>
        <w:t>”</w:t>
      </w:r>
      <w:r w:rsidRPr="00625029">
        <w:rPr>
          <w:lang w:val="sq-AL"/>
        </w:rPr>
        <w:t>.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2. Ngarkohen Ministria e Bujqësisë, Ushqimit dhe Mbrojtjes së Konsumatorit, Autoriteti Kombëtar i Ushqimit dhe laboratorët e miratuar për zbatimin e këtij vendimi.</w:t>
      </w:r>
    </w:p>
    <w:p w:rsidR="008B4CB2" w:rsidRPr="00625029" w:rsidRDefault="008B4CB2" w:rsidP="008B4CB2">
      <w:pPr>
        <w:pStyle w:val="Paragrafi"/>
        <w:rPr>
          <w:lang w:val="sq-AL"/>
        </w:rPr>
      </w:pPr>
      <w:r w:rsidRPr="00625029">
        <w:rPr>
          <w:lang w:val="sq-AL"/>
        </w:rPr>
        <w:t>Ky vendim hyn në fuqi pas botimit në Fletoren Zyrtare.</w:t>
      </w:r>
    </w:p>
    <w:p w:rsidR="008B4CB2" w:rsidRPr="00625029" w:rsidRDefault="008B4CB2" w:rsidP="008B4CB2">
      <w:pPr>
        <w:pStyle w:val="Paragrafi"/>
        <w:rPr>
          <w:lang w:val="sq-AL"/>
        </w:rPr>
      </w:pPr>
    </w:p>
    <w:p w:rsidR="008B4CB2" w:rsidRPr="00625029" w:rsidRDefault="008B4CB2" w:rsidP="008B4CB2">
      <w:pPr>
        <w:pStyle w:val="Autoriteti"/>
        <w:rPr>
          <w:lang w:val="sq-AL"/>
        </w:rPr>
      </w:pPr>
      <w:r w:rsidRPr="00625029">
        <w:rPr>
          <w:lang w:val="sq-AL"/>
        </w:rPr>
        <w:t>Kryeministri</w:t>
      </w:r>
    </w:p>
    <w:p w:rsidR="008B4CB2" w:rsidRPr="00625029" w:rsidRDefault="008B4CB2" w:rsidP="008B4CB2">
      <w:pPr>
        <w:pStyle w:val="AutoritetiEmer"/>
        <w:rPr>
          <w:lang w:val="sq-AL"/>
        </w:rPr>
      </w:pPr>
      <w:r w:rsidRPr="00625029">
        <w:rPr>
          <w:lang w:val="sq-AL"/>
        </w:rPr>
        <w:t>Sali Berisha</w:t>
      </w:r>
    </w:p>
    <w:sectPr w:rsidR="008B4CB2" w:rsidRPr="00625029" w:rsidSect="005B1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DA7" w:rsidRDefault="00AE0DA7" w:rsidP="008B4CB2">
      <w:r>
        <w:separator/>
      </w:r>
    </w:p>
  </w:endnote>
  <w:endnote w:type="continuationSeparator" w:id="0">
    <w:p w:rsidR="00AE0DA7" w:rsidRDefault="00AE0DA7" w:rsidP="008B4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DA7" w:rsidRDefault="00AE0DA7" w:rsidP="008B4CB2">
      <w:r>
        <w:separator/>
      </w:r>
    </w:p>
  </w:footnote>
  <w:footnote w:type="continuationSeparator" w:id="0">
    <w:p w:rsidR="00AE0DA7" w:rsidRDefault="00AE0DA7" w:rsidP="008B4CB2">
      <w:r>
        <w:continuationSeparator/>
      </w:r>
    </w:p>
  </w:footnote>
  <w:footnote w:id="1">
    <w:p w:rsidR="008B4CB2" w:rsidRPr="00B17866" w:rsidRDefault="008B4CB2" w:rsidP="008B4CB2">
      <w:pPr>
        <w:pStyle w:val="FootnoteText"/>
        <w:rPr>
          <w:rFonts w:ascii="CG Times" w:hAnsi="CG Times"/>
          <w:sz w:val="18"/>
          <w:szCs w:val="18"/>
        </w:rPr>
      </w:pPr>
      <w:r w:rsidRPr="00B17866">
        <w:rPr>
          <w:rStyle w:val="FootnoteReference"/>
          <w:rFonts w:ascii="CG Times" w:hAnsi="CG Times"/>
          <w:sz w:val="18"/>
          <w:szCs w:val="18"/>
        </w:rPr>
        <w:footnoteRef/>
      </w:r>
      <w:r w:rsidRPr="00B17866">
        <w:rPr>
          <w:rFonts w:ascii="CG Times" w:hAnsi="CG Times"/>
          <w:sz w:val="18"/>
          <w:szCs w:val="18"/>
        </w:rPr>
        <w:t xml:space="preserve"> Pjesërisht e përputhshme me Rregulloren e Bashkimit Europian 2003/2003 “Për plehrat”, e Parlamentit dhe Këshillit, datë 13 tetor 2003. Numri </w:t>
      </w:r>
      <w:r w:rsidRPr="000160DE">
        <w:rPr>
          <w:rFonts w:ascii="CG Times" w:hAnsi="CG Times"/>
          <w:sz w:val="18"/>
          <w:szCs w:val="18"/>
        </w:rPr>
        <w:t>Celex.</w:t>
      </w:r>
      <w:r w:rsidRPr="00B17866">
        <w:rPr>
          <w:rFonts w:ascii="CG Times" w:hAnsi="CG Times"/>
          <w:sz w:val="18"/>
          <w:szCs w:val="18"/>
        </w:rPr>
        <w:t xml:space="preserve"> 32003 R 2003, Fletorja Zyrtare nr. 304, datë 21.11.2003, faqe 0001-0194.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B4CB2"/>
    <w:rsid w:val="000D6265"/>
    <w:rsid w:val="005B108B"/>
    <w:rsid w:val="008B4CB2"/>
    <w:rsid w:val="00AE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0DF54A4-30E7-4C72-ACE0-58B87941A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CB2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B4CB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8B4CB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8B4CB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8B4CB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B4CB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B4CB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8B4CB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B4CB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8B4CB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B4CB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B4CB2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CB2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rsid w:val="008B4CB2"/>
    <w:rPr>
      <w:vertAlign w:val="superscript"/>
    </w:rPr>
  </w:style>
  <w:style w:type="character" w:customStyle="1" w:styleId="TitulliChar">
    <w:name w:val="Titulli Char"/>
    <w:basedOn w:val="DefaultParagraphFont"/>
    <w:link w:val="Titulli"/>
    <w:rsid w:val="008B4CB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B4CB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B4CB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2019-03-18T13:26:00Z</dcterms:created>
  <dcterms:modified xsi:type="dcterms:W3CDTF">2019-03-18T13:26:00Z</dcterms:modified>
</cp:coreProperties>
</file>