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1C9" w:rsidRPr="00625029" w:rsidRDefault="001161C9" w:rsidP="001161C9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 xml:space="preserve">VENDIM </w:t>
      </w:r>
    </w:p>
    <w:p w:rsidR="001161C9" w:rsidRPr="00625029" w:rsidRDefault="001161C9" w:rsidP="001161C9">
      <w:pPr>
        <w:pStyle w:val="Numri"/>
        <w:rPr>
          <w:lang w:val="sq-AL"/>
        </w:rPr>
      </w:pPr>
      <w:r>
        <w:rPr>
          <w:lang w:val="sq-AL"/>
        </w:rPr>
        <w:t>Nr. 262, datë 3.4.2013</w:t>
      </w:r>
    </w:p>
    <w:p w:rsidR="001161C9" w:rsidRPr="00625029" w:rsidRDefault="001161C9" w:rsidP="001161C9">
      <w:pPr>
        <w:pStyle w:val="Paragrafi"/>
        <w:rPr>
          <w:lang w:val="sq-AL"/>
        </w:rPr>
      </w:pPr>
    </w:p>
    <w:p w:rsidR="001161C9" w:rsidRPr="00625029" w:rsidRDefault="001161C9" w:rsidP="001161C9">
      <w:pPr>
        <w:pStyle w:val="Titulli"/>
        <w:rPr>
          <w:lang w:val="sq-AL"/>
        </w:rPr>
      </w:pPr>
      <w:r w:rsidRPr="00625029">
        <w:rPr>
          <w:lang w:val="sq-AL"/>
        </w:rPr>
        <w:t xml:space="preserve">PËR MIRATIMIN E RREGULLIT TEKNIK </w:t>
      </w:r>
      <w:r>
        <w:rPr>
          <w:lang w:val="sq-AL"/>
        </w:rPr>
        <w:t>“</w:t>
      </w:r>
      <w:r w:rsidRPr="00625029">
        <w:rPr>
          <w:lang w:val="sq-AL"/>
        </w:rPr>
        <w:t>PËR SIGURIN</w:t>
      </w:r>
      <w:r w:rsidRPr="00625029">
        <w:rPr>
          <w:rFonts w:ascii="Times New Roman" w:hAnsi="Times New Roman" w:cs="Times New Roman"/>
          <w:lang w:val="sq-AL"/>
        </w:rPr>
        <w:t>Ë</w:t>
      </w:r>
      <w:r w:rsidRPr="00625029">
        <w:rPr>
          <w:lang w:val="sq-AL"/>
        </w:rPr>
        <w:t xml:space="preserve"> E LODRAVE</w:t>
      </w:r>
      <w:r>
        <w:rPr>
          <w:lang w:val="sq-AL"/>
        </w:rPr>
        <w:t>”</w:t>
      </w:r>
      <w:r>
        <w:rPr>
          <w:rStyle w:val="FootnoteReference"/>
          <w:lang w:val="sq-AL"/>
        </w:rPr>
        <w:footnoteReference w:id="1"/>
      </w:r>
    </w:p>
    <w:p w:rsidR="001161C9" w:rsidRPr="00625029" w:rsidRDefault="001161C9" w:rsidP="001161C9">
      <w:pPr>
        <w:pStyle w:val="Paragrafi"/>
        <w:rPr>
          <w:lang w:val="sq-AL"/>
        </w:rPr>
      </w:pPr>
    </w:p>
    <w:p w:rsidR="001161C9" w:rsidRPr="00625029" w:rsidRDefault="001161C9" w:rsidP="001161C9">
      <w:pPr>
        <w:pStyle w:val="Paragrafi"/>
        <w:rPr>
          <w:lang w:val="sq-AL"/>
        </w:rPr>
      </w:pPr>
      <w:r w:rsidRPr="00625029">
        <w:rPr>
          <w:lang w:val="sq-AL"/>
        </w:rPr>
        <w:t>Në mbështetje të nenit 100 të Kushtetutës dhe të nenit 42 të ligjit nr. 10</w:t>
      </w:r>
      <w:r>
        <w:rPr>
          <w:lang w:val="sq-AL"/>
        </w:rPr>
        <w:t xml:space="preserve"> </w:t>
      </w:r>
      <w:r w:rsidRPr="00625029">
        <w:rPr>
          <w:lang w:val="sq-AL"/>
        </w:rPr>
        <w:t xml:space="preserve">489, datë 15.12.2011 </w:t>
      </w:r>
      <w:r>
        <w:rPr>
          <w:lang w:val="sq-AL"/>
        </w:rPr>
        <w:t>“</w:t>
      </w:r>
      <w:r w:rsidRPr="00625029">
        <w:rPr>
          <w:lang w:val="sq-AL"/>
        </w:rPr>
        <w:t>Për tregtimin dhe mbikëqyrjen e tregut të produkteve joushqimore</w:t>
      </w:r>
      <w:r>
        <w:rPr>
          <w:lang w:val="sq-AL"/>
        </w:rPr>
        <w:t>”</w:t>
      </w:r>
      <w:r w:rsidRPr="00625029">
        <w:rPr>
          <w:lang w:val="sq-AL"/>
        </w:rPr>
        <w:t xml:space="preserve">, me propozimin e Zëvendëskryeministrit dhe Ministër i Ekonomisë, Tregtisë dhe Energjetikës, Këshilli i Ministrave </w:t>
      </w:r>
    </w:p>
    <w:p w:rsidR="001161C9" w:rsidRPr="00625029" w:rsidRDefault="001161C9" w:rsidP="001161C9">
      <w:pPr>
        <w:pStyle w:val="Paragrafi"/>
        <w:rPr>
          <w:lang w:val="sq-AL"/>
        </w:rPr>
      </w:pPr>
    </w:p>
    <w:p w:rsidR="001161C9" w:rsidRPr="00625029" w:rsidRDefault="001161C9" w:rsidP="001161C9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1161C9" w:rsidRPr="00625029" w:rsidRDefault="001161C9" w:rsidP="001161C9">
      <w:pPr>
        <w:pStyle w:val="Paragrafi"/>
        <w:rPr>
          <w:lang w:val="sq-AL"/>
        </w:rPr>
      </w:pPr>
    </w:p>
    <w:p w:rsidR="001161C9" w:rsidRPr="00625029" w:rsidRDefault="001161C9" w:rsidP="001161C9">
      <w:pPr>
        <w:pStyle w:val="Paragrafi"/>
        <w:rPr>
          <w:lang w:val="sq-AL"/>
        </w:rPr>
      </w:pPr>
      <w:r w:rsidRPr="00625029">
        <w:rPr>
          <w:lang w:val="sq-AL"/>
        </w:rPr>
        <w:t xml:space="preserve">1. Miratimin e rregullit teknik </w:t>
      </w:r>
      <w:r>
        <w:rPr>
          <w:lang w:val="sq-AL"/>
        </w:rPr>
        <w:t>“</w:t>
      </w:r>
      <w:r w:rsidRPr="00625029">
        <w:rPr>
          <w:lang w:val="sq-AL"/>
        </w:rPr>
        <w:t>Për sigurinë e lodrave</w:t>
      </w:r>
      <w:r>
        <w:rPr>
          <w:lang w:val="sq-AL"/>
        </w:rPr>
        <w:t>”</w:t>
      </w:r>
      <w:r w:rsidRPr="00625029">
        <w:rPr>
          <w:lang w:val="sq-AL"/>
        </w:rPr>
        <w:t>, sipas tekstit që i bashkëlidhet këtij vendimi.</w:t>
      </w:r>
    </w:p>
    <w:p w:rsidR="001161C9" w:rsidRPr="00625029" w:rsidRDefault="001161C9" w:rsidP="001161C9">
      <w:pPr>
        <w:pStyle w:val="Paragrafi"/>
        <w:rPr>
          <w:lang w:val="sq-AL"/>
        </w:rPr>
      </w:pPr>
      <w:r w:rsidRPr="00625029">
        <w:rPr>
          <w:lang w:val="sq-AL"/>
        </w:rPr>
        <w:t>2. Ngarkohet Ministria e Ekonomisë, Tregtisë dhe Energjetikës për zbatimin e këtij vendimi.</w:t>
      </w:r>
    </w:p>
    <w:p w:rsidR="001161C9" w:rsidRPr="00625029" w:rsidRDefault="001161C9" w:rsidP="001161C9">
      <w:pPr>
        <w:pStyle w:val="Paragrafi"/>
        <w:rPr>
          <w:lang w:val="sq-AL"/>
        </w:rPr>
      </w:pPr>
      <w:r w:rsidRPr="00625029">
        <w:rPr>
          <w:lang w:val="sq-AL"/>
        </w:rPr>
        <w:t xml:space="preserve"> Ky vendim hyn në fuqi 15 ditë pas botimit në Fletoren Zyrtare. Efektet e zbatimit të tij fillojnë më 1 qershor 2015.</w:t>
      </w:r>
    </w:p>
    <w:p w:rsidR="001161C9" w:rsidRPr="00625029" w:rsidRDefault="001161C9" w:rsidP="001161C9">
      <w:pPr>
        <w:pStyle w:val="Paragrafi"/>
        <w:rPr>
          <w:lang w:val="sq-AL"/>
        </w:rPr>
      </w:pPr>
    </w:p>
    <w:p w:rsidR="001161C9" w:rsidRPr="00625029" w:rsidRDefault="001161C9" w:rsidP="001161C9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1161C9" w:rsidRPr="00625029" w:rsidRDefault="001161C9" w:rsidP="001161C9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1161C9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BEF" w:rsidRDefault="00671BEF" w:rsidP="001161C9">
      <w:pPr>
        <w:spacing w:after="0" w:line="240" w:lineRule="auto"/>
      </w:pPr>
      <w:r>
        <w:separator/>
      </w:r>
    </w:p>
  </w:endnote>
  <w:endnote w:type="continuationSeparator" w:id="0">
    <w:p w:rsidR="00671BEF" w:rsidRDefault="00671BEF" w:rsidP="0011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BEF" w:rsidRDefault="00671BEF" w:rsidP="001161C9">
      <w:pPr>
        <w:spacing w:after="0" w:line="240" w:lineRule="auto"/>
      </w:pPr>
      <w:r>
        <w:separator/>
      </w:r>
    </w:p>
  </w:footnote>
  <w:footnote w:type="continuationSeparator" w:id="0">
    <w:p w:rsidR="00671BEF" w:rsidRDefault="00671BEF" w:rsidP="001161C9">
      <w:pPr>
        <w:spacing w:after="0" w:line="240" w:lineRule="auto"/>
      </w:pPr>
      <w:r>
        <w:continuationSeparator/>
      </w:r>
    </w:p>
  </w:footnote>
  <w:footnote w:id="1">
    <w:p w:rsidR="001161C9" w:rsidRPr="00F35963" w:rsidRDefault="001161C9" w:rsidP="001161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Direktiva 2009/48/EC e Parlamentit Europian, e datës 1 mars 2012 “Për sigurinë e lodrave” EUR-Lex, Fletore Zyrtare e Bashkimit Europian, seria L 170 e datës 30.6.2009.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61C9"/>
    <w:rsid w:val="001161C9"/>
    <w:rsid w:val="00217673"/>
    <w:rsid w:val="005B108B"/>
    <w:rsid w:val="0067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6D13AC-F2AC-4947-8D5C-2E5FDAB4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61C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161C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161C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161C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61C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161C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61C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61C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1161C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61C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1161C9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1161C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161C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161C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61C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