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1B7" w:rsidRPr="00625029" w:rsidRDefault="000421B7" w:rsidP="000421B7">
      <w:pPr>
        <w:pStyle w:val="Akti"/>
        <w:rPr>
          <w:lang w:val="sq-AL"/>
        </w:rPr>
      </w:pPr>
      <w:bookmarkStart w:id="0" w:name="_GoBack"/>
      <w:bookmarkEnd w:id="0"/>
      <w:r w:rsidRPr="00625029">
        <w:rPr>
          <w:lang w:val="sq-AL"/>
        </w:rPr>
        <w:t>VENDIM</w:t>
      </w:r>
    </w:p>
    <w:p w:rsidR="000421B7" w:rsidRPr="00625029" w:rsidRDefault="000421B7" w:rsidP="000421B7">
      <w:pPr>
        <w:pStyle w:val="Numri"/>
        <w:rPr>
          <w:lang w:val="sq-AL"/>
        </w:rPr>
      </w:pPr>
      <w:r w:rsidRPr="00625029">
        <w:rPr>
          <w:lang w:val="sq-AL"/>
        </w:rPr>
        <w:t>Nr. 263, datë 3.4.2013</w:t>
      </w:r>
    </w:p>
    <w:p w:rsidR="000421B7" w:rsidRPr="009A4179" w:rsidRDefault="000421B7" w:rsidP="000421B7">
      <w:pPr>
        <w:pStyle w:val="Paragrafi"/>
        <w:rPr>
          <w:sz w:val="16"/>
          <w:lang w:val="sq-AL"/>
        </w:rPr>
      </w:pPr>
    </w:p>
    <w:p w:rsidR="000421B7" w:rsidRPr="00625029" w:rsidRDefault="000421B7" w:rsidP="000421B7">
      <w:pPr>
        <w:pStyle w:val="Titulli"/>
        <w:rPr>
          <w:lang w:val="sq-AL"/>
        </w:rPr>
      </w:pPr>
      <w:r w:rsidRPr="00625029">
        <w:rPr>
          <w:lang w:val="sq-AL"/>
        </w:rPr>
        <w:t>PËR PËRCAKTIMIN E ÇAKMAKËVE REZISTENTË NDAJ FËMIJËVE DHE ÇAKMAKËVE ME MODELE IMITUESE, TËRHEQËS NDAJ FËMIJËVE</w:t>
      </w:r>
      <w:r>
        <w:rPr>
          <w:rStyle w:val="FootnoteReference"/>
          <w:lang w:val="sq-AL"/>
        </w:rPr>
        <w:footnoteReference w:id="1"/>
      </w:r>
    </w:p>
    <w:p w:rsidR="000421B7" w:rsidRPr="00625029" w:rsidRDefault="000421B7" w:rsidP="000421B7">
      <w:pPr>
        <w:pStyle w:val="Paragrafi"/>
        <w:rPr>
          <w:lang w:val="sq-AL"/>
        </w:rPr>
      </w:pPr>
    </w:p>
    <w:p w:rsidR="000421B7" w:rsidRPr="00625029" w:rsidRDefault="000421B7" w:rsidP="000421B7">
      <w:pPr>
        <w:pStyle w:val="Paragrafi"/>
        <w:rPr>
          <w:lang w:val="sq-AL"/>
        </w:rPr>
      </w:pPr>
      <w:r w:rsidRPr="00625029">
        <w:rPr>
          <w:lang w:val="sq-AL"/>
        </w:rPr>
        <w:t>Në mbështetje të nenit 100 të Kushtetutës dhe të nenit 13 të ligjit nr. 10</w:t>
      </w:r>
      <w:r>
        <w:rPr>
          <w:lang w:val="sq-AL"/>
        </w:rPr>
        <w:t xml:space="preserve"> </w:t>
      </w:r>
      <w:r w:rsidRPr="00625029">
        <w:rPr>
          <w:lang w:val="sq-AL"/>
        </w:rPr>
        <w:t xml:space="preserve">480, datë 17.11.2011 </w:t>
      </w:r>
      <w:r>
        <w:rPr>
          <w:lang w:val="sq-AL"/>
        </w:rPr>
        <w:t>“</w:t>
      </w:r>
      <w:r w:rsidRPr="00625029">
        <w:rPr>
          <w:lang w:val="sq-AL"/>
        </w:rPr>
        <w:t>Për sigurinë e përgjithshme të produkteve joushqimore</w:t>
      </w:r>
      <w:r>
        <w:rPr>
          <w:lang w:val="sq-AL"/>
        </w:rPr>
        <w:t>”</w:t>
      </w:r>
      <w:r w:rsidRPr="00625029">
        <w:rPr>
          <w:lang w:val="sq-AL"/>
        </w:rPr>
        <w:t>, me propozimin e Zëvendëskryeministrit dhe Ministër i Ekonomisë, Tregtisë dhe Energjetikës, Këshilli i Ministrave</w:t>
      </w:r>
    </w:p>
    <w:p w:rsidR="000421B7" w:rsidRPr="00625029" w:rsidRDefault="000421B7" w:rsidP="000421B7">
      <w:pPr>
        <w:pStyle w:val="Paragrafi"/>
        <w:rPr>
          <w:lang w:val="sq-AL"/>
        </w:rPr>
      </w:pPr>
    </w:p>
    <w:p w:rsidR="000421B7" w:rsidRPr="00625029" w:rsidRDefault="000421B7" w:rsidP="000421B7">
      <w:pPr>
        <w:pStyle w:val="VENDOSI"/>
        <w:rPr>
          <w:lang w:val="sq-AL"/>
        </w:rPr>
      </w:pPr>
      <w:r w:rsidRPr="00625029">
        <w:rPr>
          <w:lang w:val="sq-AL"/>
        </w:rPr>
        <w:t xml:space="preserve">VENDOSI: </w:t>
      </w:r>
    </w:p>
    <w:p w:rsidR="000421B7" w:rsidRPr="009A4179" w:rsidRDefault="000421B7" w:rsidP="000421B7">
      <w:pPr>
        <w:pStyle w:val="Paragrafi"/>
        <w:rPr>
          <w:sz w:val="14"/>
          <w:lang w:val="sq-AL"/>
        </w:rPr>
      </w:pPr>
    </w:p>
    <w:p w:rsidR="000421B7" w:rsidRPr="00625029" w:rsidRDefault="000421B7" w:rsidP="000421B7">
      <w:pPr>
        <w:pStyle w:val="Paragrafi"/>
        <w:rPr>
          <w:lang w:val="sq-AL"/>
        </w:rPr>
      </w:pPr>
      <w:r w:rsidRPr="00625029">
        <w:rPr>
          <w:lang w:val="sq-AL"/>
        </w:rPr>
        <w:t>1. Ndalimin e vendosjes në treg dhe ofrimit te konsumatorët të çakmakëve me modele imituese, tërheqës ndaj fëmijëve, si dhe garantimin e vendosjes në treg dhe ofrimit te konsumatorët vetëm të çakmakëve rezisten</w:t>
      </w:r>
      <w:r>
        <w:rPr>
          <w:lang w:val="sq-AL"/>
        </w:rPr>
        <w:t>t</w:t>
      </w:r>
      <w:r w:rsidRPr="00625029">
        <w:rPr>
          <w:lang w:val="sq-AL"/>
        </w:rPr>
        <w:t>ë ndaj fëmijëve.</w:t>
      </w:r>
    </w:p>
    <w:p w:rsidR="000421B7" w:rsidRPr="00625029" w:rsidRDefault="000421B7" w:rsidP="000421B7">
      <w:pPr>
        <w:pStyle w:val="Paragrafi"/>
        <w:rPr>
          <w:lang w:val="sq-AL"/>
        </w:rPr>
      </w:pPr>
      <w:r w:rsidRPr="00625029">
        <w:rPr>
          <w:lang w:val="sq-AL"/>
        </w:rPr>
        <w:t>2. Për qëllim të këtij vendimi me termat e mëposhtëm kuptojmë:</w:t>
      </w:r>
    </w:p>
    <w:p w:rsidR="000421B7" w:rsidRPr="00625029" w:rsidRDefault="000421B7" w:rsidP="000421B7">
      <w:pPr>
        <w:pStyle w:val="Paragrafi"/>
        <w:rPr>
          <w:lang w:val="sq-AL"/>
        </w:rPr>
      </w:pPr>
      <w:r w:rsidRPr="00625029">
        <w:rPr>
          <w:lang w:val="sq-AL"/>
        </w:rPr>
        <w:t xml:space="preserve">2.1 </w:t>
      </w:r>
      <w:r>
        <w:rPr>
          <w:lang w:val="sq-AL"/>
        </w:rPr>
        <w:t>“</w:t>
      </w:r>
      <w:r w:rsidRPr="00625029">
        <w:rPr>
          <w:lang w:val="sq-AL"/>
        </w:rPr>
        <w:t>Çakmak</w:t>
      </w:r>
      <w:r>
        <w:rPr>
          <w:lang w:val="sq-AL"/>
        </w:rPr>
        <w:t>”</w:t>
      </w:r>
      <w:r w:rsidRPr="00625029">
        <w:rPr>
          <w:lang w:val="sq-AL"/>
        </w:rPr>
        <w:t>, çdo pajisje, e cila aktivizohet në mënyrë manuale, për të prodhuar flakë me anë të përdorimit të lëndës djegëse, që gjendet në një përmbajtës të trupëzuar, pavarësisht nëse mund të rimbushet ose jo, dhe që kryesisht përdoret për ndezjen e cigareve, purove, pipave apo mund të përdoret për ndezjen e materialeve të tilla si</w:t>
      </w:r>
      <w:r>
        <w:rPr>
          <w:lang w:val="sq-AL"/>
        </w:rPr>
        <w:t>:</w:t>
      </w:r>
      <w:r w:rsidRPr="00625029">
        <w:rPr>
          <w:lang w:val="sq-AL"/>
        </w:rPr>
        <w:t xml:space="preserve"> letër, fitil, qiri dhe fenerë</w:t>
      </w:r>
      <w:r>
        <w:rPr>
          <w:lang w:val="sq-AL"/>
        </w:rPr>
        <w:t>.</w:t>
      </w:r>
    </w:p>
    <w:p w:rsidR="000421B7" w:rsidRPr="00625029" w:rsidRDefault="000421B7" w:rsidP="000421B7">
      <w:pPr>
        <w:pStyle w:val="Paragrafi"/>
        <w:rPr>
          <w:lang w:val="sq-AL"/>
        </w:rPr>
      </w:pPr>
      <w:r w:rsidRPr="00625029">
        <w:rPr>
          <w:lang w:val="sq-AL"/>
        </w:rPr>
        <w:t>2.2 Pa kundërshtuar pikën 1 të këtij vendimi, përkufizimi i dhënë në pikën 2.1 të këtij vendimi nuk zbatohet për çakmakët me rimbushje, me kushtin që prodhuesit, me kërkesë të strukturës përgjegjëse, sigurojnë dokumentacionin e nevojshëm, që provon se çakmakët janë dizenjuar, prodhuar dhe vendosur në treg, të tillë që të garantojnë në përdorim, sigurinë e pritur e të vazhdueshme për jetëgjatësinë e tij, të paktën për një periudhë pesëvjeçare, e të jenë objekt riparimi.</w:t>
      </w:r>
    </w:p>
    <w:p w:rsidR="000421B7" w:rsidRPr="00625029" w:rsidRDefault="000421B7" w:rsidP="000421B7">
      <w:pPr>
        <w:pStyle w:val="Paragrafi"/>
        <w:rPr>
          <w:lang w:val="sq-AL"/>
        </w:rPr>
      </w:pPr>
      <w:r w:rsidRPr="00625029">
        <w:rPr>
          <w:lang w:val="sq-AL"/>
        </w:rPr>
        <w:t>Këta çakmakë me rimbushje duhet të përmbushin kërkesat në vijim:</w:t>
      </w:r>
    </w:p>
    <w:p w:rsidR="000421B7" w:rsidRPr="00625029" w:rsidRDefault="000421B7" w:rsidP="000421B7">
      <w:pPr>
        <w:pStyle w:val="Paragrafi"/>
        <w:rPr>
          <w:lang w:val="sq-AL"/>
        </w:rPr>
      </w:pPr>
      <w:r w:rsidRPr="00625029">
        <w:rPr>
          <w:lang w:val="sq-AL"/>
        </w:rPr>
        <w:t>i</w:t>
      </w:r>
      <w:r>
        <w:rPr>
          <w:lang w:val="sq-AL"/>
        </w:rPr>
        <w:t>)</w:t>
      </w:r>
      <w:r w:rsidRPr="00625029">
        <w:rPr>
          <w:lang w:val="sq-AL"/>
        </w:rPr>
        <w:t xml:space="preserve"> të kenë garanci me shkrim nga ana e prodhuesit, për çdo çakmak, për një periudhë,</w:t>
      </w:r>
      <w:r>
        <w:rPr>
          <w:lang w:val="sq-AL"/>
        </w:rPr>
        <w:t xml:space="preserve"> </w:t>
      </w:r>
      <w:r w:rsidRPr="00625029">
        <w:rPr>
          <w:lang w:val="sq-AL"/>
        </w:rPr>
        <w:t>të paktën 2-vjeçare, në përputhje me ligjin për mbrojtjen e konsumatorëve;</w:t>
      </w:r>
    </w:p>
    <w:p w:rsidR="000421B7" w:rsidRPr="00625029" w:rsidRDefault="000421B7" w:rsidP="000421B7">
      <w:pPr>
        <w:pStyle w:val="Paragrafi"/>
        <w:rPr>
          <w:lang w:val="sq-AL"/>
        </w:rPr>
      </w:pPr>
      <w:r w:rsidRPr="00625029">
        <w:rPr>
          <w:lang w:val="sq-AL"/>
        </w:rPr>
        <w:t>ii) të kenë mundësi praktike për t’u riparuar dhe rimbushur gjatë gjithë jetëgjatësisë së tyre, përfshirë në veçanti mekanizmin ndezës të riparueshëm;</w:t>
      </w:r>
    </w:p>
    <w:p w:rsidR="000421B7" w:rsidRPr="00625029" w:rsidRDefault="000421B7" w:rsidP="000421B7">
      <w:pPr>
        <w:pStyle w:val="Paragrafi"/>
        <w:rPr>
          <w:lang w:val="sq-AL"/>
        </w:rPr>
      </w:pPr>
      <w:r w:rsidRPr="00625029">
        <w:rPr>
          <w:lang w:val="sq-AL"/>
        </w:rPr>
        <w:t>iii) për pjesët që nuk konsumohen, por që kanë mundësi të amortizohen apo prishen gjatë përdorimit të vazhdueshëm pas periudhës së garancisë, të sigurojnë mundësinë e zëvendësimit ose riparimit në qendra të autorizuara ose të specializuara për shërbime pas shitjes.</w:t>
      </w:r>
    </w:p>
    <w:p w:rsidR="000421B7" w:rsidRPr="00625029" w:rsidRDefault="000421B7" w:rsidP="000421B7">
      <w:pPr>
        <w:pStyle w:val="Paragrafi"/>
        <w:rPr>
          <w:lang w:val="sq-AL"/>
        </w:rPr>
      </w:pPr>
      <w:r w:rsidRPr="00625029">
        <w:rPr>
          <w:lang w:val="sq-AL"/>
        </w:rPr>
        <w:t>2.3</w:t>
      </w:r>
      <w:r>
        <w:rPr>
          <w:lang w:val="sq-AL"/>
        </w:rPr>
        <w:t xml:space="preserve"> “Ç</w:t>
      </w:r>
      <w:r w:rsidRPr="00625029">
        <w:rPr>
          <w:lang w:val="sq-AL"/>
        </w:rPr>
        <w:t>akmak me model imitues, tërheqës ndaj fëmijëve</w:t>
      </w:r>
      <w:r>
        <w:rPr>
          <w:lang w:val="sq-AL"/>
        </w:rPr>
        <w:t>”</w:t>
      </w:r>
      <w:r w:rsidRPr="00625029">
        <w:rPr>
          <w:lang w:val="sq-AL"/>
        </w:rPr>
        <w:t xml:space="preserve"> është çdo pajisje që prodhon flakë, i përdorur zakonisht nga konsumatorët për të ndezur cigaret, purot dhe pipat, përfshirë çdo mbajtës që mund të trupëzohet më vonë ose çdo pjesë shtesë, e cila mund të vendoset/fiksohet më vonë, që i ngjan në çdo lloj mënyr</w:t>
      </w:r>
      <w:r>
        <w:rPr>
          <w:lang w:val="sq-AL"/>
        </w:rPr>
        <w:t xml:space="preserve">e </w:t>
      </w:r>
      <w:r w:rsidRPr="00625029">
        <w:rPr>
          <w:lang w:val="sq-AL"/>
        </w:rPr>
        <w:t>një objekti tjetër që:</w:t>
      </w:r>
    </w:p>
    <w:p w:rsidR="000421B7" w:rsidRPr="00625029" w:rsidRDefault="000421B7" w:rsidP="000421B7">
      <w:pPr>
        <w:pStyle w:val="Paragrafi"/>
        <w:rPr>
          <w:lang w:val="sq-AL"/>
        </w:rPr>
      </w:pPr>
      <w:r w:rsidRPr="00625029">
        <w:rPr>
          <w:lang w:val="sq-AL"/>
        </w:rPr>
        <w:t>i) është i njohur përgjithësisht si tërheqës</w:t>
      </w:r>
      <w:r>
        <w:rPr>
          <w:lang w:val="sq-AL"/>
        </w:rPr>
        <w:t>;</w:t>
      </w:r>
      <w:r w:rsidRPr="00625029">
        <w:rPr>
          <w:lang w:val="sq-AL"/>
        </w:rPr>
        <w:t xml:space="preserve"> ose</w:t>
      </w:r>
    </w:p>
    <w:p w:rsidR="000421B7" w:rsidRPr="00625029" w:rsidRDefault="000421B7" w:rsidP="000421B7">
      <w:pPr>
        <w:pStyle w:val="Paragrafi"/>
        <w:rPr>
          <w:lang w:val="sq-AL"/>
        </w:rPr>
      </w:pPr>
      <w:r w:rsidRPr="00625029">
        <w:rPr>
          <w:lang w:val="sq-AL"/>
        </w:rPr>
        <w:t>ii) i parashikuar për përdorim nga fëmijë më të vegjël se 51-muajsh</w:t>
      </w:r>
      <w:r>
        <w:rPr>
          <w:lang w:val="sq-AL"/>
        </w:rPr>
        <w:t>;</w:t>
      </w:r>
      <w:r w:rsidRPr="00625029">
        <w:rPr>
          <w:lang w:val="sq-AL"/>
        </w:rPr>
        <w:t xml:space="preserve"> ose</w:t>
      </w:r>
    </w:p>
    <w:p w:rsidR="000421B7" w:rsidRPr="00625029" w:rsidRDefault="000421B7" w:rsidP="000421B7">
      <w:pPr>
        <w:pStyle w:val="Paragrafi"/>
        <w:rPr>
          <w:lang w:val="sq-AL"/>
        </w:rPr>
      </w:pPr>
      <w:r w:rsidRPr="00625029">
        <w:rPr>
          <w:lang w:val="sq-AL"/>
        </w:rPr>
        <w:t>iii) që kanë efekte zbavitëse audio apo efekte t</w:t>
      </w:r>
      <w:r>
        <w:rPr>
          <w:lang w:val="sq-AL"/>
        </w:rPr>
        <w:t>ë</w:t>
      </w:r>
      <w:r w:rsidRPr="00625029">
        <w:rPr>
          <w:lang w:val="sq-AL"/>
        </w:rPr>
        <w:t xml:space="preserve"> animuara.</w:t>
      </w:r>
    </w:p>
    <w:p w:rsidR="000421B7" w:rsidRPr="00625029" w:rsidRDefault="000421B7" w:rsidP="000421B7">
      <w:pPr>
        <w:pStyle w:val="Paragrafi"/>
        <w:rPr>
          <w:lang w:val="sq-AL"/>
        </w:rPr>
      </w:pPr>
      <w:r w:rsidRPr="00625029">
        <w:rPr>
          <w:lang w:val="sq-AL"/>
        </w:rPr>
        <w:t>Një çakmak tërheqës për fëmijët mund të operojë me çdo lloj lënde djegëse, duke përfshirë butanin edhe lëndët djegëse të lëngshme.</w:t>
      </w:r>
    </w:p>
    <w:p w:rsidR="000421B7" w:rsidRPr="00625029" w:rsidRDefault="000421B7" w:rsidP="000421B7">
      <w:pPr>
        <w:pStyle w:val="Paragrafi"/>
        <w:rPr>
          <w:lang w:val="sq-AL"/>
        </w:rPr>
      </w:pPr>
      <w:r w:rsidRPr="00625029">
        <w:rPr>
          <w:lang w:val="sq-AL"/>
        </w:rPr>
        <w:t>Këtu përfshihen, kryesisht, çakmakët ose mbajtësit, që janë qartësisht të parashikuar për të mbajtur, çakmakët</w:t>
      </w:r>
      <w:r>
        <w:rPr>
          <w:lang w:val="sq-AL"/>
        </w:rPr>
        <w:t>,</w:t>
      </w:r>
      <w:r w:rsidRPr="00625029">
        <w:rPr>
          <w:lang w:val="sq-AL"/>
        </w:rPr>
        <w:t xml:space="preserve"> forma e të cilëve u ngjan personazheve të filmave të animuar, lodrave, armëve, orëve, telefonave, instrumenteve muzikore, makinave, trupit të njeriut ose pjesëve t</w:t>
      </w:r>
      <w:r>
        <w:rPr>
          <w:lang w:val="sq-AL"/>
        </w:rPr>
        <w:t>ë</w:t>
      </w:r>
      <w:r w:rsidRPr="00625029">
        <w:rPr>
          <w:lang w:val="sq-AL"/>
        </w:rPr>
        <w:t xml:space="preserve"> tij, kafshëve, produkteve ushqimore apo pijeve, ose që luajnë nota muzikore apo kanë drita që ndizen, ose objekte që lëvizin a karakteristika të tjera zbavitëse.</w:t>
      </w:r>
    </w:p>
    <w:p w:rsidR="000421B7" w:rsidRPr="00625029" w:rsidRDefault="000421B7" w:rsidP="000421B7">
      <w:pPr>
        <w:pStyle w:val="Paragrafi"/>
        <w:rPr>
          <w:lang w:val="sq-AL"/>
        </w:rPr>
      </w:pPr>
      <w:r w:rsidRPr="00625029">
        <w:rPr>
          <w:lang w:val="sq-AL"/>
        </w:rPr>
        <w:t>Përjashtohen çakmakët që janë të stampuar ose janë të zbukuruar me logo, etiketa, dekoracione me ngjitës, vepra arti ose mbështjellëse termoizoluese.</w:t>
      </w:r>
    </w:p>
    <w:p w:rsidR="000421B7" w:rsidRPr="00625029" w:rsidRDefault="000421B7" w:rsidP="000421B7">
      <w:pPr>
        <w:pStyle w:val="Paragrafi"/>
        <w:rPr>
          <w:lang w:val="sq-AL"/>
        </w:rPr>
      </w:pPr>
      <w:r w:rsidRPr="00625029">
        <w:rPr>
          <w:lang w:val="sq-AL"/>
        </w:rPr>
        <w:t>2.4</w:t>
      </w:r>
      <w:r>
        <w:rPr>
          <w:lang w:val="sq-AL"/>
        </w:rPr>
        <w:t xml:space="preserve"> “</w:t>
      </w:r>
      <w:r w:rsidRPr="00625029">
        <w:rPr>
          <w:lang w:val="sq-AL"/>
        </w:rPr>
        <w:t>Çakmak rezistent ndaj fëmijëve</w:t>
      </w:r>
      <w:r>
        <w:rPr>
          <w:lang w:val="sq-AL"/>
        </w:rPr>
        <w:t>”</w:t>
      </w:r>
      <w:r w:rsidRPr="00625029">
        <w:rPr>
          <w:lang w:val="sq-AL"/>
        </w:rPr>
        <w:t>, një çakmak i dizenjuar dhe prodhuar në mënyrë të tillë që në kushte normale apo të parashikuara të përdorimit nuk mund të përdoret nga fëmijët më të vegjël se 51</w:t>
      </w:r>
      <w:r>
        <w:rPr>
          <w:lang w:val="sq-AL"/>
        </w:rPr>
        <w:t>-</w:t>
      </w:r>
      <w:r w:rsidRPr="00625029">
        <w:rPr>
          <w:lang w:val="sq-AL"/>
        </w:rPr>
        <w:t>muajsh, për shkak të forcës që duhet për t’i përdorur, të dizajnit e mekanizmit ndezës, si dhe kompleksitetit të veprimeve të nevojshme për ndezjen e tyre.</w:t>
      </w:r>
    </w:p>
    <w:p w:rsidR="000421B7" w:rsidRPr="00625029" w:rsidRDefault="000421B7" w:rsidP="000421B7">
      <w:pPr>
        <w:pStyle w:val="Paragrafi"/>
        <w:rPr>
          <w:lang w:val="sq-AL"/>
        </w:rPr>
      </w:pPr>
      <w:r w:rsidRPr="00625029">
        <w:rPr>
          <w:lang w:val="sq-AL"/>
        </w:rPr>
        <w:t xml:space="preserve">2.5 </w:t>
      </w:r>
      <w:r>
        <w:rPr>
          <w:lang w:val="sq-AL"/>
        </w:rPr>
        <w:t>“M</w:t>
      </w:r>
      <w:r w:rsidRPr="00625029">
        <w:rPr>
          <w:lang w:val="sq-AL"/>
        </w:rPr>
        <w:t>odel çakmaku</w:t>
      </w:r>
      <w:r>
        <w:rPr>
          <w:lang w:val="sq-AL"/>
        </w:rPr>
        <w:t>”</w:t>
      </w:r>
      <w:r w:rsidRPr="00625029">
        <w:rPr>
          <w:lang w:val="sq-AL"/>
        </w:rPr>
        <w:t>, çakmakët e prodhuar nga i njëjti prodhues, të cilët nuk ndryshojnë në dizajn apo karakteristika të tjera, në asnjë lloj mënyre që mund të ndikojë në rezistencën ndaj fëmijëve.</w:t>
      </w:r>
    </w:p>
    <w:p w:rsidR="000421B7" w:rsidRPr="00625029" w:rsidRDefault="000421B7" w:rsidP="000421B7">
      <w:pPr>
        <w:pStyle w:val="Paragrafi"/>
        <w:rPr>
          <w:lang w:val="sq-AL"/>
        </w:rPr>
      </w:pPr>
      <w:r w:rsidRPr="00625029">
        <w:rPr>
          <w:lang w:val="sq-AL"/>
        </w:rPr>
        <w:t xml:space="preserve">2.6 </w:t>
      </w:r>
      <w:r>
        <w:rPr>
          <w:lang w:val="sq-AL"/>
        </w:rPr>
        <w:t>“</w:t>
      </w:r>
      <w:r w:rsidRPr="00625029">
        <w:rPr>
          <w:lang w:val="sq-AL"/>
        </w:rPr>
        <w:t>Test rezistence ndaj fëmijëve</w:t>
      </w:r>
      <w:r>
        <w:rPr>
          <w:lang w:val="sq-AL"/>
        </w:rPr>
        <w:t>”</w:t>
      </w:r>
      <w:r w:rsidRPr="00625029">
        <w:rPr>
          <w:lang w:val="sq-AL"/>
        </w:rPr>
        <w:t>, një test sistematik rezistence ndaj fëmijëve, i një modeli të caktuar çakmaku, mbi një mostër çakmakësh. Këto teste bëhen në përputhje me standardin S SH EN 13869:2002+A1:2011, sipas specifikimeve përkatëse të tij, me përjashtim të atyre të përcaktuara në paragrafët 3.1, 3.4 dhe 5.2.3 të këtij standardi, ose në përputhje me kërkesat e testimit me rregullat përkatëse të shteteve të tjera, të cilat janë të njëjta me kërkesat e rezistencës ndaj fëmijëve, të përcaktuar në këtë vendim.</w:t>
      </w:r>
    </w:p>
    <w:p w:rsidR="000421B7" w:rsidRPr="00625029" w:rsidRDefault="000421B7" w:rsidP="000421B7">
      <w:pPr>
        <w:pStyle w:val="Paragrafi"/>
        <w:rPr>
          <w:lang w:val="sq-AL"/>
        </w:rPr>
      </w:pPr>
      <w:r w:rsidRPr="00625029">
        <w:rPr>
          <w:lang w:val="sq-AL"/>
        </w:rPr>
        <w:t xml:space="preserve">2.7 </w:t>
      </w:r>
      <w:r>
        <w:rPr>
          <w:lang w:val="sq-AL"/>
        </w:rPr>
        <w:t>“</w:t>
      </w:r>
      <w:r w:rsidRPr="00625029">
        <w:rPr>
          <w:lang w:val="sq-AL"/>
        </w:rPr>
        <w:t>Organ i vlerësimit të konformitetit</w:t>
      </w:r>
      <w:r>
        <w:rPr>
          <w:lang w:val="sq-AL"/>
        </w:rPr>
        <w:t>”</w:t>
      </w:r>
      <w:r w:rsidRPr="00625029">
        <w:rPr>
          <w:lang w:val="sq-AL"/>
        </w:rPr>
        <w:t>, çdo organ sipas përkufizimit të pikës 12 të nenit 3 të ligjit nr. 10</w:t>
      </w:r>
      <w:r>
        <w:rPr>
          <w:lang w:val="sq-AL"/>
        </w:rPr>
        <w:t xml:space="preserve"> </w:t>
      </w:r>
      <w:r w:rsidRPr="00625029">
        <w:rPr>
          <w:lang w:val="sq-AL"/>
        </w:rPr>
        <w:t xml:space="preserve">489, datë 15.12.2011 </w:t>
      </w:r>
      <w:r>
        <w:rPr>
          <w:lang w:val="sq-AL"/>
        </w:rPr>
        <w:t>“</w:t>
      </w:r>
      <w:r w:rsidRPr="00625029">
        <w:rPr>
          <w:lang w:val="sq-AL"/>
        </w:rPr>
        <w:t>Për tregtimin dhe mbikëqyrjen e tregut të produkteve joushqimore</w:t>
      </w:r>
      <w:r>
        <w:rPr>
          <w:lang w:val="sq-AL"/>
        </w:rPr>
        <w:t>.”</w:t>
      </w:r>
      <w:r w:rsidRPr="00625029">
        <w:rPr>
          <w:lang w:val="sq-AL"/>
        </w:rPr>
        <w:t>.</w:t>
      </w:r>
    </w:p>
    <w:p w:rsidR="000421B7" w:rsidRPr="00625029" w:rsidRDefault="000421B7" w:rsidP="000421B7">
      <w:pPr>
        <w:pStyle w:val="Paragrafi"/>
        <w:rPr>
          <w:lang w:val="sq-AL"/>
        </w:rPr>
      </w:pPr>
      <w:r w:rsidRPr="00625029">
        <w:rPr>
          <w:lang w:val="sq-AL"/>
        </w:rPr>
        <w:t>3. Prezumohen të jenë rezistentë ndaj fëmijëve</w:t>
      </w:r>
      <w:r>
        <w:rPr>
          <w:lang w:val="sq-AL"/>
        </w:rPr>
        <w:t xml:space="preserve"> </w:t>
      </w:r>
      <w:r w:rsidRPr="00625029">
        <w:rPr>
          <w:lang w:val="sq-AL"/>
        </w:rPr>
        <w:t>çakmakët që janë në përputhje me:</w:t>
      </w:r>
    </w:p>
    <w:p w:rsidR="000421B7" w:rsidRPr="00625029" w:rsidRDefault="000421B7" w:rsidP="000421B7">
      <w:pPr>
        <w:pStyle w:val="Paragrafi"/>
        <w:rPr>
          <w:lang w:val="sq-AL"/>
        </w:rPr>
      </w:pPr>
      <w:r w:rsidRPr="00625029">
        <w:rPr>
          <w:lang w:val="sq-AL"/>
        </w:rPr>
        <w:t>a) standardin S SH EN 13869:2002+A1:2011, sipas specifikimeve të tij, me përjashtim të atyre të përcaktuara në paragrafët 3.1, 3.4 dhe 5.2.3 të këtij standardi</w:t>
      </w:r>
      <w:r>
        <w:rPr>
          <w:lang w:val="sq-AL"/>
        </w:rPr>
        <w:t>;</w:t>
      </w:r>
      <w:r w:rsidRPr="00625029">
        <w:rPr>
          <w:lang w:val="sq-AL"/>
        </w:rPr>
        <w:t xml:space="preserve"> ose</w:t>
      </w:r>
    </w:p>
    <w:p w:rsidR="000421B7" w:rsidRPr="00625029" w:rsidRDefault="000421B7" w:rsidP="000421B7">
      <w:pPr>
        <w:pStyle w:val="Paragrafi"/>
        <w:rPr>
          <w:lang w:val="sq-AL"/>
        </w:rPr>
      </w:pPr>
      <w:r w:rsidRPr="00625029">
        <w:rPr>
          <w:lang w:val="sq-AL"/>
        </w:rPr>
        <w:t>b) kërkesat e testimit me rregullat përkatëse të shteteve të tjera, të cilat janë të njëjta me kërkesat e rezistencës ndaj fëmijëve</w:t>
      </w:r>
      <w:r>
        <w:rPr>
          <w:lang w:val="sq-AL"/>
        </w:rPr>
        <w:t>,</w:t>
      </w:r>
      <w:r w:rsidRPr="00625029">
        <w:rPr>
          <w:lang w:val="sq-AL"/>
        </w:rPr>
        <w:t xml:space="preserve"> të përcaktuar në këtë vendim.</w:t>
      </w:r>
    </w:p>
    <w:p w:rsidR="000421B7" w:rsidRPr="00625029" w:rsidRDefault="000421B7" w:rsidP="000421B7">
      <w:pPr>
        <w:pStyle w:val="Paragrafi"/>
        <w:rPr>
          <w:lang w:val="sq-AL"/>
        </w:rPr>
      </w:pPr>
      <w:r w:rsidRPr="00625029">
        <w:rPr>
          <w:lang w:val="sq-AL"/>
        </w:rPr>
        <w:t>4.</w:t>
      </w:r>
      <w:r>
        <w:rPr>
          <w:lang w:val="sq-AL"/>
        </w:rPr>
        <w:t xml:space="preserve"> </w:t>
      </w:r>
      <w:r w:rsidRPr="00625029">
        <w:rPr>
          <w:lang w:val="sq-AL"/>
        </w:rPr>
        <w:t>Struktura përgjegjëse kërkon nga prodhuesit plotësimin e kërkesave të mëposhtme, si kusht për vendosjen në treg të çakmakëve:</w:t>
      </w:r>
    </w:p>
    <w:p w:rsidR="000421B7" w:rsidRPr="00625029" w:rsidRDefault="000421B7" w:rsidP="000421B7">
      <w:pPr>
        <w:pStyle w:val="Paragrafi"/>
        <w:rPr>
          <w:lang w:val="sq-AL"/>
        </w:rPr>
      </w:pPr>
      <w:r w:rsidRPr="00625029">
        <w:rPr>
          <w:lang w:val="sq-AL"/>
        </w:rPr>
        <w:t xml:space="preserve">a) mbajtjen dhe vënien menjëherë në dispozicion të strukturës përgjegjëse të raportit për testin e rezistencës ndaj fëmijëve, për çdo model çakmaku, me mostrat e çakmakëve të testuar, që vërteton/certifikon </w:t>
      </w:r>
      <w:r>
        <w:rPr>
          <w:lang w:val="sq-AL"/>
        </w:rPr>
        <w:t>se</w:t>
      </w:r>
      <w:r w:rsidRPr="00625029">
        <w:rPr>
          <w:lang w:val="sq-AL"/>
        </w:rPr>
        <w:t xml:space="preserve"> modelet e çakmakëve të vendosura në treg janë rezistentë ndaj fëmijëve</w:t>
      </w:r>
      <w:r>
        <w:rPr>
          <w:lang w:val="sq-AL"/>
        </w:rPr>
        <w:t>;</w:t>
      </w:r>
      <w:r w:rsidRPr="00625029">
        <w:rPr>
          <w:lang w:val="sq-AL"/>
        </w:rPr>
        <w:t xml:space="preserve"> </w:t>
      </w:r>
    </w:p>
    <w:p w:rsidR="000421B7" w:rsidRPr="00625029" w:rsidRDefault="000421B7" w:rsidP="000421B7">
      <w:pPr>
        <w:pStyle w:val="Paragrafi"/>
        <w:rPr>
          <w:lang w:val="sq-AL"/>
        </w:rPr>
      </w:pPr>
      <w:r w:rsidRPr="00625029">
        <w:rPr>
          <w:lang w:val="sq-AL"/>
        </w:rPr>
        <w:t xml:space="preserve">b) vërtetimin/dëshminë që të gjithë çakmakët në secilën seri të </w:t>
      </w:r>
      <w:r>
        <w:rPr>
          <w:lang w:val="sq-AL"/>
        </w:rPr>
        <w:t>tyre</w:t>
      </w:r>
      <w:r w:rsidRPr="00625029">
        <w:rPr>
          <w:lang w:val="sq-AL"/>
        </w:rPr>
        <w:t xml:space="preserve"> të vendosur në treg, janë në përputhje me modelin e testuar dhe, me kërkesë të strukturës, të sigurojnë dokumentacionin e testimit dhe programin e kontrollit që mbështet këtë vërtetim</w:t>
      </w:r>
      <w:r>
        <w:rPr>
          <w:lang w:val="sq-AL"/>
        </w:rPr>
        <w:t>;</w:t>
      </w:r>
    </w:p>
    <w:p w:rsidR="000421B7" w:rsidRPr="00625029" w:rsidRDefault="000421B7" w:rsidP="000421B7">
      <w:pPr>
        <w:pStyle w:val="Paragrafi"/>
        <w:rPr>
          <w:lang w:val="sq-AL"/>
        </w:rPr>
      </w:pPr>
      <w:r w:rsidRPr="00625029">
        <w:rPr>
          <w:lang w:val="sq-AL"/>
        </w:rPr>
        <w:t>c)</w:t>
      </w:r>
      <w:r>
        <w:rPr>
          <w:lang w:val="sq-AL"/>
        </w:rPr>
        <w:t xml:space="preserve"> </w:t>
      </w:r>
      <w:r w:rsidRPr="00625029">
        <w:rPr>
          <w:lang w:val="sq-AL"/>
        </w:rPr>
        <w:t>monitorimin në vazhdimësi të konformitetit të çakmakëve të prodhuar me zgjidhjet teknike që sigurojnë rezistencën ndaj fëmijëve, duke përdorur metodat e përshtatshme të testimit dhe mbajtjen në dispozicion të strukturës përgjegjëse të mbikëqyrjes së tregut të modelit të testuar. Të dhëna apo regjistra për prodhimin, që janë të domosdoshme për të treguar që të gjithë çakmakët e vendosur në treg janë në konformitet me modelin e testuar</w:t>
      </w:r>
      <w:r>
        <w:rPr>
          <w:lang w:val="sq-AL"/>
        </w:rPr>
        <w:t>;</w:t>
      </w:r>
    </w:p>
    <w:p w:rsidR="000421B7" w:rsidRPr="00625029" w:rsidRDefault="000421B7" w:rsidP="000421B7">
      <w:pPr>
        <w:pStyle w:val="Paragrafi"/>
        <w:rPr>
          <w:lang w:val="sq-AL"/>
        </w:rPr>
      </w:pPr>
      <w:r w:rsidRPr="00625029">
        <w:rPr>
          <w:lang w:val="sq-AL"/>
        </w:rPr>
        <w:t>ç) mbajtjen dhe vënien menjëherë në dispoz</w:t>
      </w:r>
      <w:r>
        <w:rPr>
          <w:lang w:val="sq-AL"/>
        </w:rPr>
        <w:t>icion të strukturës përgjegjëse</w:t>
      </w:r>
      <w:r w:rsidRPr="00625029">
        <w:rPr>
          <w:lang w:val="sq-AL"/>
        </w:rPr>
        <w:t xml:space="preserve"> të raportit të ri të testit të rezistencës ndaj fëmijëve, në rast të çdo ndryshimi të bërë në modelin e çakmakut, që mund të ndikojë negativisht në plotësimin e kërkesave të këtij vendimi nga modeli i ndryshuar apo modifikuar.</w:t>
      </w:r>
    </w:p>
    <w:p w:rsidR="000421B7" w:rsidRPr="00625029" w:rsidRDefault="000421B7" w:rsidP="000421B7">
      <w:pPr>
        <w:pStyle w:val="Paragrafi"/>
        <w:rPr>
          <w:lang w:val="sq-AL"/>
        </w:rPr>
      </w:pPr>
      <w:r w:rsidRPr="00625029">
        <w:rPr>
          <w:lang w:val="sq-AL"/>
        </w:rPr>
        <w:t>5. Struktura përgjegjëse kërkon nga shpërndarësit të mbajnë dhe të sigurojnë menjëherë dokumentacionin e nevojshëm që bën të mundur identifikimin e çdo personi prej të cilit ata janë furnizuar me çakmakët që kanë vendosur në treg, në mënyrë që të sigurohet gjurmueshmëria e prodhuesve të çakmakëve nëpërmjet zinxhirit të furnizimit.</w:t>
      </w:r>
    </w:p>
    <w:p w:rsidR="000421B7" w:rsidRPr="00625029" w:rsidRDefault="000421B7" w:rsidP="000421B7">
      <w:pPr>
        <w:pStyle w:val="Paragrafi"/>
        <w:rPr>
          <w:lang w:val="sq-AL"/>
        </w:rPr>
      </w:pPr>
      <w:r w:rsidRPr="00625029">
        <w:rPr>
          <w:lang w:val="sq-AL"/>
        </w:rPr>
        <w:t>6. Në rastet kur prodhuesit dhe shpërndarësit nuk sigurojnë dokumentacionin e përmendur në pikat 4 dhe 5, brenda afatit kohor të vendosur nga struktura përgjegjëse e mbikëqyrjes së tregut, kjo e fundit kërkon me urdhër me shkrim, ndalimin dhe tërheqjen nga tregu të çakmakëve.</w:t>
      </w:r>
    </w:p>
    <w:p w:rsidR="000421B7" w:rsidRPr="00625029" w:rsidRDefault="000421B7" w:rsidP="000421B7">
      <w:pPr>
        <w:pStyle w:val="Paragrafi"/>
        <w:rPr>
          <w:lang w:val="sq-AL"/>
        </w:rPr>
      </w:pPr>
      <w:r w:rsidRPr="00625029">
        <w:rPr>
          <w:lang w:val="sq-AL"/>
        </w:rPr>
        <w:t>7. Raportet e testeve për rezistencën ndaj fëmijëve, referuar pikës 4 të këtij vendimi përfshijnë në veçanti:</w:t>
      </w:r>
    </w:p>
    <w:p w:rsidR="000421B7" w:rsidRPr="00625029" w:rsidRDefault="000421B7" w:rsidP="000421B7">
      <w:pPr>
        <w:pStyle w:val="Paragrafi"/>
        <w:rPr>
          <w:lang w:val="sq-AL"/>
        </w:rPr>
      </w:pPr>
      <w:r w:rsidRPr="00625029">
        <w:rPr>
          <w:lang w:val="sq-AL"/>
        </w:rPr>
        <w:t>a) emrin, adresën dhe qendrën/selinë kryesore të biznesit të prodhuesit, kudo që ndodhet, dhe të importuesit, në rastin kur çakmaku është i importuar</w:t>
      </w:r>
      <w:r>
        <w:rPr>
          <w:lang w:val="sq-AL"/>
        </w:rPr>
        <w:t>;</w:t>
      </w:r>
    </w:p>
    <w:p w:rsidR="000421B7" w:rsidRPr="00625029" w:rsidRDefault="000421B7" w:rsidP="000421B7">
      <w:pPr>
        <w:pStyle w:val="Paragrafi"/>
        <w:rPr>
          <w:lang w:val="sq-AL"/>
        </w:rPr>
      </w:pPr>
      <w:r w:rsidRPr="00625029">
        <w:rPr>
          <w:lang w:val="sq-AL"/>
        </w:rPr>
        <w:t>b) një përshkrim të plotë të çakmakut, përfshirë: madhësinë, formën, peshën, lëndën djegëse, kapacitetin e lëndës djegëse, mekanizmin e ndezjes dhe pjesët e rezistencës ndaj fëmijëve, dizajnin/projektin, zgjidhjet teknike dhe karakteristika të tjera që e bëjnë çakmakun rezistent ndaj fëmijëve, në përputhje me përkufizimet e kërkesat e këtij vendimi.</w:t>
      </w:r>
    </w:p>
    <w:p w:rsidR="000421B7" w:rsidRPr="00625029" w:rsidRDefault="000421B7" w:rsidP="000421B7">
      <w:pPr>
        <w:pStyle w:val="Paragrafi"/>
        <w:rPr>
          <w:lang w:val="sq-AL"/>
        </w:rPr>
      </w:pPr>
      <w:r w:rsidRPr="00625029">
        <w:rPr>
          <w:lang w:val="sq-AL"/>
        </w:rPr>
        <w:t>Në veçanti, në raportet e testimit përfshihet një përshkrim i hollësishëm i të gjitha përmasave, kërkesave të forcës ose karakteristika të tjera</w:t>
      </w:r>
      <w:r>
        <w:rPr>
          <w:lang w:val="sq-AL"/>
        </w:rPr>
        <w:t>,</w:t>
      </w:r>
      <w:r w:rsidRPr="00625029">
        <w:rPr>
          <w:lang w:val="sq-AL"/>
        </w:rPr>
        <w:t xml:space="preserve"> të cilat mund të ndikojnë në rezistencën ndaj fëmijëve të çakmakut, duke përfshirë dhe tolerancat e prodhuesit për secilën përmasë:</w:t>
      </w:r>
    </w:p>
    <w:p w:rsidR="000421B7" w:rsidRPr="00625029" w:rsidRDefault="000421B7" w:rsidP="000421B7">
      <w:pPr>
        <w:pStyle w:val="Paragrafi"/>
        <w:rPr>
          <w:lang w:val="sq-AL"/>
        </w:rPr>
      </w:pPr>
      <w:r>
        <w:rPr>
          <w:lang w:val="sq-AL"/>
        </w:rPr>
        <w:t>i</w:t>
      </w:r>
      <w:r w:rsidRPr="00625029">
        <w:rPr>
          <w:lang w:val="sq-AL"/>
        </w:rPr>
        <w:t>) një përshkrim të hollësishëm të testeve dhe të rezultateve të marra, vendin dhe datat e kryerjes së testeve, identitetin e organit të vlerësimit të konformitetit që ka kryer testet, si edhe hollësitë e kualifikimit dhe kompetencat e këtij organi për kryerjen e këtyre testeve;</w:t>
      </w:r>
    </w:p>
    <w:p w:rsidR="000421B7" w:rsidRPr="00625029" w:rsidRDefault="000421B7" w:rsidP="000421B7">
      <w:pPr>
        <w:pStyle w:val="Paragrafi"/>
        <w:rPr>
          <w:lang w:val="sq-AL"/>
        </w:rPr>
      </w:pPr>
      <w:r>
        <w:rPr>
          <w:lang w:val="sq-AL"/>
        </w:rPr>
        <w:t>ii</w:t>
      </w:r>
      <w:r w:rsidRPr="00625029">
        <w:rPr>
          <w:lang w:val="sq-AL"/>
        </w:rPr>
        <w:t>) identifikim të vendit ku janë ose kanë qenë fabrikuar çakmakët;</w:t>
      </w:r>
    </w:p>
    <w:p w:rsidR="000421B7" w:rsidRPr="00625029" w:rsidRDefault="000421B7" w:rsidP="000421B7">
      <w:pPr>
        <w:pStyle w:val="Paragrafi"/>
        <w:rPr>
          <w:lang w:val="sq-AL"/>
        </w:rPr>
      </w:pPr>
      <w:r>
        <w:rPr>
          <w:lang w:val="sq-AL"/>
        </w:rPr>
        <w:t>iii</w:t>
      </w:r>
      <w:r w:rsidRPr="00625029">
        <w:rPr>
          <w:lang w:val="sq-AL"/>
        </w:rPr>
        <w:t>) identifikim të vendit ku mbahet dokumentacioni i kërkuar nga ky vendim</w:t>
      </w:r>
      <w:r>
        <w:rPr>
          <w:lang w:val="sq-AL"/>
        </w:rPr>
        <w:t>;</w:t>
      </w:r>
    </w:p>
    <w:p w:rsidR="000421B7" w:rsidRPr="00625029" w:rsidRDefault="000421B7" w:rsidP="000421B7">
      <w:pPr>
        <w:pStyle w:val="Paragrafi"/>
        <w:rPr>
          <w:lang w:val="sq-AL"/>
        </w:rPr>
      </w:pPr>
      <w:r>
        <w:rPr>
          <w:lang w:val="sq-AL"/>
        </w:rPr>
        <w:t>iv</w:t>
      </w:r>
      <w:r w:rsidRPr="00625029">
        <w:rPr>
          <w:lang w:val="sq-AL"/>
        </w:rPr>
        <w:t>) referencat e akreditimit ose të njohjes së organit të testimit.</w:t>
      </w:r>
    </w:p>
    <w:p w:rsidR="000421B7" w:rsidRPr="00625029" w:rsidRDefault="000421B7" w:rsidP="000421B7">
      <w:pPr>
        <w:pStyle w:val="Paragrafi"/>
        <w:rPr>
          <w:lang w:val="sq-AL"/>
        </w:rPr>
      </w:pPr>
      <w:r w:rsidRPr="00625029">
        <w:rPr>
          <w:lang w:val="sq-AL"/>
        </w:rPr>
        <w:t xml:space="preserve">8. Raportet e testeve të rezistencës ndaj fëmijëve, referuar pikës 5 të këtij vendimi, njihen dhe pranohen kur janë lëshuar nga laboratorë testues të akredituar për kryerjen e këtyre testeve, nga një organ akreditues, nënshkrues i marrëveshjeve shumëpalëshe të njohjes reciproke me Organizatën Ndërkombëtare për Akreditimin e laboratorëve dhe/ose me organizatën europiane për akreditimin në fushën e testimit, në përputhje me standardin S SH EN ISO/IEC 17025:2005 </w:t>
      </w:r>
      <w:r>
        <w:rPr>
          <w:lang w:val="sq-AL"/>
        </w:rPr>
        <w:t>“</w:t>
      </w:r>
      <w:r w:rsidRPr="00625029">
        <w:rPr>
          <w:lang w:val="sq-AL"/>
        </w:rPr>
        <w:t>Kërkesa të përgjithshme për kompetencën e laboratorëve testues dhe kalibrues</w:t>
      </w:r>
      <w:r>
        <w:rPr>
          <w:lang w:val="sq-AL"/>
        </w:rPr>
        <w:t>”</w:t>
      </w:r>
      <w:r w:rsidRPr="00625029">
        <w:rPr>
          <w:lang w:val="sq-AL"/>
        </w:rPr>
        <w:t>.</w:t>
      </w:r>
    </w:p>
    <w:p w:rsidR="000421B7" w:rsidRPr="00625029" w:rsidRDefault="000421B7" w:rsidP="000421B7">
      <w:pPr>
        <w:pStyle w:val="Paragrafi"/>
        <w:rPr>
          <w:lang w:val="sq-AL"/>
        </w:rPr>
      </w:pPr>
      <w:r w:rsidRPr="00625029">
        <w:rPr>
          <w:lang w:val="sq-AL"/>
        </w:rPr>
        <w:t>9. Ngarkohet struktura përgjegjëse e mbikëqyrjes s</w:t>
      </w:r>
      <w:r>
        <w:rPr>
          <w:lang w:val="sq-AL"/>
        </w:rPr>
        <w:t>ë</w:t>
      </w:r>
      <w:r w:rsidRPr="00625029">
        <w:rPr>
          <w:lang w:val="sq-AL"/>
        </w:rPr>
        <w:t xml:space="preserve"> tregut, e parashikuar në legjislacionin për sigurinë e përgjithshme të produkteve joushqimore, për zbatimin e këtij vendimi.</w:t>
      </w:r>
    </w:p>
    <w:p w:rsidR="000421B7" w:rsidRPr="00625029" w:rsidRDefault="000421B7" w:rsidP="000421B7">
      <w:pPr>
        <w:pStyle w:val="Paragrafi"/>
        <w:rPr>
          <w:lang w:val="sq-AL"/>
        </w:rPr>
      </w:pPr>
      <w:r w:rsidRPr="00625029">
        <w:rPr>
          <w:lang w:val="sq-AL"/>
        </w:rPr>
        <w:t>10. Ngarkohen autoritet doganore për të siguruar ndalimin e eksportit dhe importit të çakmakëve me modele imituese dhe njoftimin e strukturës përgjegjëse, në përputhje me nenin 24 të ligjit nr. 10</w:t>
      </w:r>
      <w:r>
        <w:rPr>
          <w:lang w:val="sq-AL"/>
        </w:rPr>
        <w:t xml:space="preserve"> </w:t>
      </w:r>
      <w:r w:rsidRPr="00625029">
        <w:rPr>
          <w:lang w:val="sq-AL"/>
        </w:rPr>
        <w:t xml:space="preserve">480, datë 17.11.2011 </w:t>
      </w:r>
      <w:r>
        <w:rPr>
          <w:lang w:val="sq-AL"/>
        </w:rPr>
        <w:t>“</w:t>
      </w:r>
      <w:r w:rsidRPr="00625029">
        <w:rPr>
          <w:lang w:val="sq-AL"/>
        </w:rPr>
        <w:t>Për sigurinë e përgjithshme të produkteve joushqimore</w:t>
      </w:r>
      <w:r>
        <w:rPr>
          <w:lang w:val="sq-AL"/>
        </w:rPr>
        <w:t>”</w:t>
      </w:r>
      <w:r w:rsidRPr="00625029">
        <w:rPr>
          <w:lang w:val="sq-AL"/>
        </w:rPr>
        <w:t>.</w:t>
      </w:r>
    </w:p>
    <w:p w:rsidR="000421B7" w:rsidRPr="00625029" w:rsidRDefault="000421B7" w:rsidP="000421B7">
      <w:pPr>
        <w:pStyle w:val="Paragrafi"/>
        <w:rPr>
          <w:lang w:val="sq-AL"/>
        </w:rPr>
      </w:pPr>
      <w:r w:rsidRPr="00625029">
        <w:rPr>
          <w:lang w:val="sq-AL"/>
        </w:rPr>
        <w:t xml:space="preserve">Ky vendim hyn në fuqi pas botimit në Fletoren Zyrtare dhe i shtrin efektet e zbatimit të </w:t>
      </w:r>
      <w:r>
        <w:rPr>
          <w:lang w:val="sq-AL"/>
        </w:rPr>
        <w:t>tij</w:t>
      </w:r>
      <w:r w:rsidRPr="00625029">
        <w:rPr>
          <w:lang w:val="sq-AL"/>
        </w:rPr>
        <w:t xml:space="preserve"> nga data 1 janar 2014.</w:t>
      </w:r>
    </w:p>
    <w:p w:rsidR="000421B7" w:rsidRPr="00625029" w:rsidRDefault="000421B7" w:rsidP="000421B7">
      <w:pPr>
        <w:pStyle w:val="Paragrafi"/>
        <w:rPr>
          <w:lang w:val="sq-AL"/>
        </w:rPr>
      </w:pPr>
    </w:p>
    <w:p w:rsidR="000421B7" w:rsidRPr="00625029" w:rsidRDefault="000421B7" w:rsidP="000421B7">
      <w:pPr>
        <w:pStyle w:val="Autoriteti"/>
        <w:rPr>
          <w:lang w:val="sq-AL"/>
        </w:rPr>
      </w:pPr>
      <w:r w:rsidRPr="00625029">
        <w:rPr>
          <w:lang w:val="sq-AL"/>
        </w:rPr>
        <w:t>Kryeministri</w:t>
      </w:r>
    </w:p>
    <w:p w:rsidR="000421B7" w:rsidRPr="00625029" w:rsidRDefault="000421B7" w:rsidP="000421B7">
      <w:pPr>
        <w:pStyle w:val="AutoritetiEmer"/>
        <w:rPr>
          <w:lang w:val="sq-AL"/>
        </w:rPr>
      </w:pPr>
      <w:r w:rsidRPr="00625029">
        <w:rPr>
          <w:lang w:val="sq-AL"/>
        </w:rPr>
        <w:t>Sali Berisha</w:t>
      </w:r>
    </w:p>
    <w:sectPr w:rsidR="000421B7" w:rsidRPr="00625029" w:rsidSect="005B10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4FC" w:rsidRDefault="006A44FC" w:rsidP="000421B7">
      <w:pPr>
        <w:spacing w:after="0" w:line="240" w:lineRule="auto"/>
      </w:pPr>
      <w:r>
        <w:separator/>
      </w:r>
    </w:p>
  </w:endnote>
  <w:endnote w:type="continuationSeparator" w:id="0">
    <w:p w:rsidR="006A44FC" w:rsidRDefault="006A44FC" w:rsidP="00042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4FC" w:rsidRDefault="006A44FC" w:rsidP="000421B7">
      <w:pPr>
        <w:spacing w:after="0" w:line="240" w:lineRule="auto"/>
      </w:pPr>
      <w:r>
        <w:separator/>
      </w:r>
    </w:p>
  </w:footnote>
  <w:footnote w:type="continuationSeparator" w:id="0">
    <w:p w:rsidR="006A44FC" w:rsidRDefault="006A44FC" w:rsidP="000421B7">
      <w:pPr>
        <w:spacing w:after="0" w:line="240" w:lineRule="auto"/>
      </w:pPr>
      <w:r>
        <w:continuationSeparator/>
      </w:r>
    </w:p>
  </w:footnote>
  <w:footnote w:id="1">
    <w:p w:rsidR="000421B7" w:rsidRPr="008B7BF0" w:rsidRDefault="000421B7" w:rsidP="000421B7">
      <w:pPr>
        <w:pStyle w:val="FootnoteText"/>
        <w:jc w:val="both"/>
        <w:rPr>
          <w:sz w:val="18"/>
          <w:szCs w:val="18"/>
          <w:lang w:val="en-US"/>
        </w:rPr>
      </w:pPr>
      <w:r>
        <w:rPr>
          <w:rStyle w:val="FootnoteReference"/>
        </w:rPr>
        <w:footnoteRef/>
      </w:r>
      <w:r>
        <w:t xml:space="preserve"> </w:t>
      </w:r>
      <w:r w:rsidRPr="008B7BF0">
        <w:rPr>
          <w:sz w:val="18"/>
          <w:szCs w:val="18"/>
        </w:rPr>
        <w:t xml:space="preserve">Vendimin e Komisionit Europian 2006/502/EC, të datës 11 maj 2006 “Kërkesë shteteve anëtare për marrjen e masave për të garantuar që të vendosen në treg vetëm çakmakët, të cilët janë rezistentë ndaj fëmijëve dhe të </w:t>
      </w:r>
      <w:r>
        <w:rPr>
          <w:sz w:val="18"/>
          <w:szCs w:val="18"/>
        </w:rPr>
        <w:t>ndalohet vendosja n</w:t>
      </w:r>
      <w:r w:rsidRPr="008B7BF0">
        <w:rPr>
          <w:sz w:val="18"/>
          <w:szCs w:val="18"/>
        </w:rPr>
        <w:t>ë</w:t>
      </w:r>
      <w:r>
        <w:rPr>
          <w:sz w:val="18"/>
          <w:szCs w:val="18"/>
        </w:rPr>
        <w:t xml:space="preserve"> treg e çakmak</w:t>
      </w:r>
      <w:r w:rsidRPr="008B7BF0">
        <w:rPr>
          <w:sz w:val="18"/>
          <w:szCs w:val="18"/>
        </w:rPr>
        <w:t>ë</w:t>
      </w:r>
      <w:r>
        <w:rPr>
          <w:sz w:val="18"/>
          <w:szCs w:val="18"/>
        </w:rPr>
        <w:t>ve me modele imituese</w:t>
      </w:r>
      <w:r w:rsidRPr="008B7BF0">
        <w:rPr>
          <w:sz w:val="18"/>
          <w:szCs w:val="18"/>
        </w:rPr>
        <w:t>”</w:t>
      </w:r>
      <w:r>
        <w:rPr>
          <w:sz w:val="18"/>
          <w:szCs w:val="18"/>
        </w:rPr>
        <w:t>, numri Celex 32006D0502, Fletorja Zyrtare e Bashkimit Europian, seria L, nr. 198, dat</w:t>
      </w:r>
      <w:r w:rsidRPr="008B7BF0">
        <w:rPr>
          <w:sz w:val="18"/>
          <w:szCs w:val="18"/>
        </w:rPr>
        <w:t>ë</w:t>
      </w:r>
      <w:r>
        <w:rPr>
          <w:sz w:val="18"/>
          <w:szCs w:val="18"/>
        </w:rPr>
        <w:t xml:space="preserve"> 20.7.2006, faqe 004-0045.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421B7"/>
    <w:rsid w:val="000421B7"/>
    <w:rsid w:val="004A3890"/>
    <w:rsid w:val="005B108B"/>
    <w:rsid w:val="006A4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C326851-D300-41A5-8252-3185FF5B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08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421B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421B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421B7"/>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0421B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421B7"/>
    <w:rPr>
      <w:rFonts w:ascii="CG Times" w:eastAsia="MS Mincho" w:hAnsi="CG Times" w:cs="CG Times"/>
      <w:sz w:val="22"/>
      <w:szCs w:val="22"/>
      <w:lang w:val="en-US" w:eastAsia="en-US" w:bidi="ar-SA"/>
    </w:rPr>
  </w:style>
  <w:style w:type="paragraph" w:customStyle="1" w:styleId="Titulli">
    <w:name w:val="Titulli"/>
    <w:next w:val="Normal"/>
    <w:link w:val="TitulliChar"/>
    <w:rsid w:val="000421B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421B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421B7"/>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0421B7"/>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semiHidden/>
    <w:rsid w:val="000421B7"/>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0421B7"/>
    <w:rPr>
      <w:vertAlign w:val="superscript"/>
    </w:rPr>
  </w:style>
  <w:style w:type="character" w:customStyle="1" w:styleId="TitulliChar">
    <w:name w:val="Titulli Char"/>
    <w:basedOn w:val="DefaultParagraphFont"/>
    <w:link w:val="Titulli"/>
    <w:rsid w:val="000421B7"/>
    <w:rPr>
      <w:rFonts w:ascii="CG Times" w:eastAsia="MS Mincho" w:hAnsi="CG Times" w:cs="CG Times"/>
      <w:b/>
      <w:bCs/>
      <w:caps/>
      <w:sz w:val="22"/>
      <w:szCs w:val="22"/>
      <w:lang w:val="en-GB" w:eastAsia="en-US" w:bidi="ar-SA"/>
    </w:rPr>
  </w:style>
  <w:style w:type="paragraph" w:customStyle="1" w:styleId="Numri">
    <w:name w:val="Numri"/>
    <w:aliases w:val="data"/>
    <w:rsid w:val="000421B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0421B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421B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1442</Words>
  <Characters>8224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2019-03-18T13:26:00Z</dcterms:created>
  <dcterms:modified xsi:type="dcterms:W3CDTF">2019-03-18T13:26:00Z</dcterms:modified>
</cp:coreProperties>
</file>