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418" w:rsidRPr="0011452C" w:rsidRDefault="00F30418" w:rsidP="00F3041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1452C">
        <w:rPr>
          <w:sz w:val="21"/>
          <w:szCs w:val="21"/>
          <w:lang w:val="sq-AL"/>
        </w:rPr>
        <w:t>VENDIM</w:t>
      </w:r>
    </w:p>
    <w:p w:rsidR="00F30418" w:rsidRPr="0011452C" w:rsidRDefault="00F30418" w:rsidP="00F30418">
      <w:pPr>
        <w:pStyle w:val="NumriData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Nr. 360, datë 24.4.2013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</w:p>
    <w:p w:rsidR="00F30418" w:rsidRPr="0011452C" w:rsidRDefault="00F30418" w:rsidP="00F30418">
      <w:pPr>
        <w:pStyle w:val="Titull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PËR NJË NDRYSHIM NË VENDIMIN NR. 170, DATË 25.4.2002 TË KËSHILLIT TË MINISTRAVE “PËR PËRCAKTIMIN E PROCEDURAVE DHE KUSHTEVE PËR DHËNIEN E LEJEVE E TË AUTORIZIMEVE PËR TREGTIMIN E NAFTËS, GAZIT E NËNPRODUKTEVE TË TYRE”, TË NDRYSHUAR</w:t>
      </w:r>
    </w:p>
    <w:p w:rsidR="00F30418" w:rsidRPr="00733365" w:rsidRDefault="00F30418" w:rsidP="00F30418">
      <w:pPr>
        <w:pStyle w:val="Paragrafi"/>
        <w:rPr>
          <w:sz w:val="18"/>
          <w:szCs w:val="21"/>
          <w:lang w:val="sq-AL"/>
        </w:rPr>
      </w:pP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Në mbështetje të nenit 100 të Kushtetutës dhe të neneve 19, 20 e 21 të ligjit nr. 8450, datë 24.2.1999 “Për përpunimin, transportimin dhe tregtimin e naftës, gazit dhe nënprodukteve të tyre”, të ndryshuar, me propozimin e Ministrit të Ekonomisë, Tregtisë dhe Energjetikës, Këshilli i Ministrave</w:t>
      </w:r>
    </w:p>
    <w:p w:rsidR="00F30418" w:rsidRPr="00733365" w:rsidRDefault="00F30418" w:rsidP="00F30418">
      <w:pPr>
        <w:pStyle w:val="VENDOSI"/>
        <w:rPr>
          <w:sz w:val="18"/>
          <w:szCs w:val="21"/>
          <w:lang w:val="sq-AL"/>
        </w:rPr>
      </w:pPr>
    </w:p>
    <w:p w:rsidR="00F30418" w:rsidRPr="0011452C" w:rsidRDefault="00F30418" w:rsidP="00F30418">
      <w:pPr>
        <w:pStyle w:val="VENDOS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VENDOSI:</w:t>
      </w:r>
    </w:p>
    <w:p w:rsidR="00F30418" w:rsidRPr="00733365" w:rsidRDefault="00F30418" w:rsidP="00F30418">
      <w:pPr>
        <w:pStyle w:val="Paragrafi"/>
        <w:rPr>
          <w:sz w:val="16"/>
          <w:szCs w:val="21"/>
          <w:lang w:val="sq-AL"/>
        </w:rPr>
      </w:pP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1. Pika 2 e kreut IV të vendimit nr. 170, datë 25.4.2002 të Këshillit të Ministrave, të ndryshuar, ndryshohet si më poshtë vijon: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“2. Kapaciteti më i vogël i depozitave të shoqërive, që kërkojnë të pajisen me licencë tregtimi, sipas llojit të licencës, është: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a) Për licencat e tregtimit të llojit “A”, jo më pak se 500 (pesëqind) m</w:t>
      </w:r>
      <w:r w:rsidRPr="0011452C">
        <w:rPr>
          <w:sz w:val="21"/>
          <w:szCs w:val="21"/>
          <w:vertAlign w:val="superscript"/>
          <w:lang w:val="sq-AL"/>
        </w:rPr>
        <w:t>3</w:t>
      </w:r>
      <w:r w:rsidRPr="0011452C">
        <w:rPr>
          <w:sz w:val="21"/>
          <w:szCs w:val="21"/>
          <w:lang w:val="sq-AL"/>
        </w:rPr>
        <w:t xml:space="preserve"> dhe kur kjo licencë jepet për disa kategori produktesh, depozitat për secilën kategori duhet të jenë të ndara nga njëra-tjetra.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b) Për licencat e tregtimit të llojit “A”, kategoria IV/a, kapaciteti magazinues i mbuluar të jetë me sipërfaqe, jo më të vogël se 50 (pesëdhjetë) m</w:t>
      </w:r>
      <w:r w:rsidRPr="0011452C">
        <w:rPr>
          <w:sz w:val="21"/>
          <w:szCs w:val="21"/>
          <w:vertAlign w:val="superscript"/>
          <w:lang w:val="sq-AL"/>
        </w:rPr>
        <w:t>2</w:t>
      </w:r>
      <w:r w:rsidRPr="0011452C">
        <w:rPr>
          <w:sz w:val="21"/>
          <w:szCs w:val="21"/>
          <w:lang w:val="sq-AL"/>
        </w:rPr>
        <w:t>.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c) Për licencat e tregtimit të llojit “B”, impiantet e depozitimit të gazit të lëngëzuar të jenë me kapacitet të instaluar, jo më pak se 100 (njëqind) m</w:t>
      </w:r>
      <w:r w:rsidRPr="0011452C">
        <w:rPr>
          <w:sz w:val="21"/>
          <w:szCs w:val="21"/>
          <w:vertAlign w:val="superscript"/>
          <w:lang w:val="sq-AL"/>
        </w:rPr>
        <w:t>3</w:t>
      </w:r>
      <w:r w:rsidRPr="0011452C">
        <w:rPr>
          <w:sz w:val="21"/>
          <w:szCs w:val="21"/>
          <w:lang w:val="sq-AL"/>
        </w:rPr>
        <w:t>.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ç) Për licencat e tregtimit të llojit “C”, kur: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i) licenca jepet për produkte të kategorisë II/b, jo më pak se 100 (njëqind) m</w:t>
      </w:r>
      <w:r w:rsidRPr="0011452C">
        <w:rPr>
          <w:sz w:val="21"/>
          <w:szCs w:val="21"/>
          <w:vertAlign w:val="superscript"/>
          <w:lang w:val="sq-AL"/>
        </w:rPr>
        <w:t>3</w:t>
      </w:r>
      <w:r w:rsidRPr="0011452C">
        <w:rPr>
          <w:sz w:val="21"/>
          <w:szCs w:val="21"/>
          <w:lang w:val="sq-AL"/>
        </w:rPr>
        <w:t>;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ii) licenca jepet për produkte të kategorisë III/c, jo më pak se 200 (dyqind) m</w:t>
      </w:r>
      <w:r w:rsidRPr="0011452C">
        <w:rPr>
          <w:sz w:val="21"/>
          <w:szCs w:val="21"/>
          <w:vertAlign w:val="superscript"/>
          <w:lang w:val="sq-AL"/>
        </w:rPr>
        <w:t>3</w:t>
      </w:r>
      <w:r w:rsidRPr="0011452C">
        <w:rPr>
          <w:sz w:val="21"/>
          <w:szCs w:val="21"/>
          <w:lang w:val="sq-AL"/>
        </w:rPr>
        <w:t>.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Bëjnë përjashtim nga kushti i plotësimit të kapacitetit më të vogël, sipas kësaj pike, shoqëritë anonime që kanë marrëdhënie kontraktore, sipas dispozitave ligjore në fuqi, për depozitat e karburanteve në Portin e Durrësit. Kushti i kapacitetit më të vogël i depozitave, i vendosjes në to të mjeteve matëse dhe i kalibrimit të tyre duhet të plotësohet brenda 18 (tetëmbëdhjetë) muajve pas fillimit të zbatimit të masterplanit në territorin e depozitave të karburanteve në Portin e Durrësit.”.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2. Ngarkohet Ministria e Ekonomisë, Tregtisë dhe Energjetikës për zbatimin e këtij vendimi.</w:t>
      </w:r>
    </w:p>
    <w:p w:rsidR="00F30418" w:rsidRPr="0011452C" w:rsidRDefault="00F30418" w:rsidP="00F3041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Ky vendim hyn në fuqi menjëherë dhe botohet në Fletoren Zyrtare.</w:t>
      </w:r>
    </w:p>
    <w:p w:rsidR="00F30418" w:rsidRPr="0011452C" w:rsidRDefault="00F30418" w:rsidP="00F30418">
      <w:pPr>
        <w:pStyle w:val="Paragrafi"/>
        <w:jc w:val="right"/>
        <w:rPr>
          <w:sz w:val="21"/>
          <w:szCs w:val="21"/>
          <w:lang w:val="sq-AL"/>
        </w:rPr>
      </w:pPr>
    </w:p>
    <w:p w:rsidR="00F30418" w:rsidRPr="0011452C" w:rsidRDefault="00F30418" w:rsidP="00F30418">
      <w:pPr>
        <w:pStyle w:val="Paragrafi"/>
        <w:jc w:val="right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KRYEMINISTRI</w:t>
      </w:r>
    </w:p>
    <w:p w:rsidR="00F30418" w:rsidRPr="0011452C" w:rsidRDefault="00F30418" w:rsidP="00F30418">
      <w:pPr>
        <w:pStyle w:val="Paragrafi"/>
        <w:jc w:val="right"/>
        <w:rPr>
          <w:b/>
          <w:sz w:val="21"/>
          <w:szCs w:val="21"/>
          <w:lang w:val="sq-AL"/>
        </w:rPr>
      </w:pPr>
      <w:r w:rsidRPr="0011452C">
        <w:rPr>
          <w:b/>
          <w:sz w:val="21"/>
          <w:szCs w:val="21"/>
          <w:lang w:val="sq-AL"/>
        </w:rPr>
        <w:t>Sali Berisha</w:t>
      </w:r>
    </w:p>
    <w:sectPr w:rsidR="00F30418" w:rsidRPr="0011452C" w:rsidSect="00F9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0418"/>
    <w:rsid w:val="009C7115"/>
    <w:rsid w:val="00F30418"/>
    <w:rsid w:val="00F9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C8E569-4E1C-42D4-B4BD-D532E6CE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3B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3041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3041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3041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3041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3041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3041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3041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3041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3041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3041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