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769" w:rsidRPr="00A0560D" w:rsidRDefault="00A17769" w:rsidP="00A17769">
      <w:pPr>
        <w:pStyle w:val="Akti"/>
        <w:rPr>
          <w:sz w:val="21"/>
          <w:szCs w:val="21"/>
          <w:lang w:val="sq-AL"/>
        </w:rPr>
      </w:pPr>
      <w:bookmarkStart w:id="0" w:name="_GoBack"/>
      <w:bookmarkEnd w:id="0"/>
      <w:r w:rsidRPr="00A0560D">
        <w:rPr>
          <w:sz w:val="21"/>
          <w:szCs w:val="21"/>
          <w:lang w:val="sq-AL"/>
        </w:rPr>
        <w:t>VENDIM</w:t>
      </w:r>
    </w:p>
    <w:p w:rsidR="00A17769" w:rsidRPr="00A0560D" w:rsidRDefault="00A17769" w:rsidP="00A17769">
      <w:pPr>
        <w:pStyle w:val="NumriData"/>
        <w:rPr>
          <w:sz w:val="21"/>
          <w:szCs w:val="21"/>
          <w:lang w:val="sq-AL"/>
        </w:rPr>
      </w:pPr>
      <w:r w:rsidRPr="00A0560D">
        <w:rPr>
          <w:sz w:val="21"/>
          <w:szCs w:val="21"/>
          <w:lang w:val="sq-AL"/>
        </w:rPr>
        <w:t>Nr. 541, datë 13.6.2013</w:t>
      </w:r>
    </w:p>
    <w:p w:rsidR="00A17769" w:rsidRPr="00AE43D0" w:rsidRDefault="00A17769" w:rsidP="00A17769">
      <w:pPr>
        <w:pStyle w:val="Paragrafi"/>
        <w:jc w:val="center"/>
        <w:rPr>
          <w:b/>
          <w:sz w:val="16"/>
          <w:szCs w:val="21"/>
          <w:lang w:val="sq-AL"/>
        </w:rPr>
      </w:pPr>
    </w:p>
    <w:p w:rsidR="00A17769" w:rsidRPr="00A0560D" w:rsidRDefault="00A17769" w:rsidP="00A17769">
      <w:pPr>
        <w:pStyle w:val="Paragrafi"/>
        <w:jc w:val="center"/>
        <w:rPr>
          <w:b/>
          <w:sz w:val="21"/>
          <w:szCs w:val="21"/>
          <w:lang w:val="sq-AL"/>
        </w:rPr>
      </w:pPr>
      <w:r w:rsidRPr="00A0560D">
        <w:rPr>
          <w:b/>
          <w:sz w:val="21"/>
          <w:szCs w:val="21"/>
          <w:lang w:val="sq-AL"/>
        </w:rPr>
        <w:t>PËR SHPRONËSIMIN, PËR INTERES PUBLIK, TË PRONARËVE TË PASURIVE TË PALUAJTSHME, PRONË PRIVATE, QË PREKEN NGA NDËRTIMI I LANDFILLIT “BAJKAJ”</w:t>
      </w:r>
    </w:p>
    <w:p w:rsidR="00A17769" w:rsidRPr="00AE43D0" w:rsidRDefault="00A17769" w:rsidP="00A17769">
      <w:pPr>
        <w:pStyle w:val="Paragrafi"/>
        <w:rPr>
          <w:sz w:val="14"/>
          <w:szCs w:val="21"/>
          <w:lang w:val="sq-AL"/>
        </w:rPr>
      </w:pPr>
    </w:p>
    <w:p w:rsidR="00A17769" w:rsidRPr="00A0560D" w:rsidRDefault="00A17769" w:rsidP="00A17769">
      <w:pPr>
        <w:pStyle w:val="Paragrafi"/>
        <w:rPr>
          <w:sz w:val="21"/>
          <w:szCs w:val="21"/>
          <w:lang w:val="sq-AL"/>
        </w:rPr>
      </w:pPr>
      <w:r w:rsidRPr="00A0560D">
        <w:rPr>
          <w:sz w:val="21"/>
          <w:szCs w:val="21"/>
          <w:lang w:val="sq-AL"/>
        </w:rPr>
        <w:t>Në mbështetje të nenit 100 të Kushtetutës, të neneve 5 pika 1, 20 e 21 të ligjit nr. 8561, datë 22.12.1999 “Për shpronësimet dhe marrjen në përdorim të përkohshëm të pasurisë, pronë private, për interes publik” dhe të ligjit nr. 10 487, datë 5.12.2011 “Për buxhetin e vitit 2012”, të ndryshuar, me propozimin e Ministrit të Punëve Publike dhe Transportit, Këshilli i Ministrave</w:t>
      </w:r>
    </w:p>
    <w:p w:rsidR="00A17769" w:rsidRPr="00AE43D0" w:rsidRDefault="00A17769" w:rsidP="00A17769">
      <w:pPr>
        <w:pStyle w:val="Paragrafi"/>
        <w:rPr>
          <w:sz w:val="18"/>
          <w:szCs w:val="21"/>
          <w:lang w:val="sq-AL"/>
        </w:rPr>
      </w:pPr>
    </w:p>
    <w:p w:rsidR="00A17769" w:rsidRPr="00A0560D" w:rsidRDefault="00A17769" w:rsidP="00A17769">
      <w:pPr>
        <w:pStyle w:val="Paragrafi"/>
        <w:ind w:firstLine="0"/>
        <w:jc w:val="center"/>
        <w:rPr>
          <w:sz w:val="21"/>
          <w:szCs w:val="21"/>
          <w:lang w:val="sq-AL"/>
        </w:rPr>
      </w:pPr>
      <w:r w:rsidRPr="00A0560D">
        <w:rPr>
          <w:sz w:val="21"/>
          <w:szCs w:val="21"/>
          <w:lang w:val="sq-AL"/>
        </w:rPr>
        <w:t>VENDOSI:</w:t>
      </w:r>
    </w:p>
    <w:p w:rsidR="00A17769" w:rsidRPr="00AE43D0" w:rsidRDefault="00A17769" w:rsidP="00A17769">
      <w:pPr>
        <w:pStyle w:val="Paragrafi"/>
        <w:rPr>
          <w:sz w:val="18"/>
          <w:szCs w:val="21"/>
          <w:lang w:val="sq-AL"/>
        </w:rPr>
      </w:pPr>
    </w:p>
    <w:p w:rsidR="00A17769" w:rsidRPr="00A0560D" w:rsidRDefault="00A17769" w:rsidP="00A17769">
      <w:pPr>
        <w:pStyle w:val="Paragrafi"/>
        <w:rPr>
          <w:sz w:val="21"/>
          <w:szCs w:val="21"/>
          <w:lang w:val="sq-AL"/>
        </w:rPr>
      </w:pPr>
      <w:r w:rsidRPr="00A0560D">
        <w:rPr>
          <w:sz w:val="21"/>
          <w:szCs w:val="21"/>
          <w:lang w:val="sq-AL"/>
        </w:rPr>
        <w:t>1. Shpronësimin, për interes publik, të pronarëve të pasurive të paluajtshme, pronë private, që preken nga ndërtimi i landfillit “Bajkaj”.</w:t>
      </w:r>
    </w:p>
    <w:p w:rsidR="00A17769" w:rsidRPr="00A0560D" w:rsidRDefault="00A17769" w:rsidP="00A17769">
      <w:pPr>
        <w:pStyle w:val="Paragrafi"/>
        <w:rPr>
          <w:sz w:val="21"/>
          <w:szCs w:val="21"/>
          <w:lang w:val="sq-AL"/>
        </w:rPr>
      </w:pPr>
      <w:r w:rsidRPr="00A0560D">
        <w:rPr>
          <w:sz w:val="21"/>
          <w:szCs w:val="21"/>
          <w:lang w:val="sq-AL"/>
        </w:rPr>
        <w:t xml:space="preserve">2. Shpronësimi bëhet në favor të Këshillit të Qarkut të Vlorës. </w:t>
      </w:r>
    </w:p>
    <w:p w:rsidR="00A17769" w:rsidRPr="00A0560D" w:rsidRDefault="00A17769" w:rsidP="00A17769">
      <w:pPr>
        <w:pStyle w:val="Paragrafi"/>
        <w:rPr>
          <w:sz w:val="21"/>
          <w:szCs w:val="21"/>
          <w:lang w:val="sq-AL"/>
        </w:rPr>
      </w:pPr>
      <w:r w:rsidRPr="00A0560D">
        <w:rPr>
          <w:sz w:val="21"/>
          <w:szCs w:val="21"/>
          <w:lang w:val="sq-AL"/>
        </w:rPr>
        <w:t>3. Pronarët e pasurive të paluajtshme, që shpronësohen, të kompensohen në vlerë të plotë sipas masës përkatëse, që paraqitet në tabelën bashkëlidhur këtij vendimi, për tokë bujqësore, me një vlerë të përgjithshme prej 20 865 792 (njëzet milionë e tetëqind e gjashtëdhjetë e pesë mijë e shtatëqind e nëntëdhjetë e dy) lekësh.</w:t>
      </w:r>
    </w:p>
    <w:p w:rsidR="00A17769" w:rsidRPr="00A0560D" w:rsidRDefault="00A17769" w:rsidP="00A17769">
      <w:pPr>
        <w:pStyle w:val="Paragrafi"/>
        <w:rPr>
          <w:sz w:val="21"/>
          <w:szCs w:val="21"/>
          <w:lang w:val="sq-AL"/>
        </w:rPr>
      </w:pPr>
      <w:r w:rsidRPr="00A0560D">
        <w:rPr>
          <w:sz w:val="21"/>
          <w:szCs w:val="21"/>
          <w:lang w:val="sq-AL"/>
        </w:rPr>
        <w:t>4. Shuma e përgjithshme e shpronësimit prej 20 865 792 (njëzet milionë e tetëqind e gjashtëdhjetë e pesë mijë e shtatëqind e nëntëdhjetë e dy) lekësh, të përballohet nga llogaria e veçantë e Ministrisë së Financave në Bankën e Shqipërisë “Fondi i shpronësimeve”.</w:t>
      </w:r>
    </w:p>
    <w:p w:rsidR="00A17769" w:rsidRPr="00A0560D" w:rsidRDefault="00A17769" w:rsidP="00A17769">
      <w:pPr>
        <w:pStyle w:val="Paragrafi"/>
        <w:rPr>
          <w:sz w:val="21"/>
          <w:szCs w:val="21"/>
          <w:lang w:val="sq-AL"/>
        </w:rPr>
      </w:pPr>
      <w:r w:rsidRPr="00A0560D">
        <w:rPr>
          <w:sz w:val="21"/>
          <w:szCs w:val="21"/>
          <w:lang w:val="sq-AL"/>
        </w:rPr>
        <w:t>5. Shpenzimet procedurale, në vlerën 596 000 (pesëqind e nëntëdhjetë e gjashtë mijë) lekë, të përballohen nga Këshilli i Qarkut të Vlorës.</w:t>
      </w:r>
    </w:p>
    <w:p w:rsidR="00A17769" w:rsidRPr="00A0560D" w:rsidRDefault="00A17769" w:rsidP="00A17769">
      <w:pPr>
        <w:pStyle w:val="Paragrafi"/>
        <w:rPr>
          <w:sz w:val="21"/>
          <w:szCs w:val="21"/>
          <w:lang w:val="sq-AL"/>
        </w:rPr>
      </w:pPr>
      <w:r w:rsidRPr="00A0560D">
        <w:rPr>
          <w:sz w:val="21"/>
          <w:szCs w:val="21"/>
          <w:lang w:val="sq-AL"/>
        </w:rPr>
        <w:t>6. Shpronësimi të fillojë më 20.6.2013.</w:t>
      </w:r>
    </w:p>
    <w:p w:rsidR="00A17769" w:rsidRPr="00A0560D" w:rsidRDefault="00A17769" w:rsidP="00A17769">
      <w:pPr>
        <w:pStyle w:val="Paragrafi"/>
        <w:rPr>
          <w:sz w:val="21"/>
          <w:szCs w:val="21"/>
          <w:lang w:val="sq-AL"/>
        </w:rPr>
      </w:pPr>
      <w:r w:rsidRPr="00A0560D">
        <w:rPr>
          <w:sz w:val="21"/>
          <w:szCs w:val="21"/>
          <w:lang w:val="sq-AL"/>
        </w:rPr>
        <w:t>7. Pronarët e përmendur në listën, që i bashkëlidhet këtij vendimi, për të cilët është bërë shënimi “Konfirmuar nga ZVRPP-ja”, të kompensohen, për efekt shpronësimi, pasi të kenë paraqitur dokumentacionin e plotë të pronësisë pranë Këshillit të Qarkut të Vlorës.</w:t>
      </w:r>
    </w:p>
    <w:p w:rsidR="00A17769" w:rsidRPr="00A0560D" w:rsidRDefault="00A17769" w:rsidP="00A17769">
      <w:pPr>
        <w:pStyle w:val="Paragrafi"/>
        <w:rPr>
          <w:sz w:val="21"/>
          <w:szCs w:val="21"/>
          <w:lang w:val="sq-AL"/>
        </w:rPr>
      </w:pPr>
      <w:r w:rsidRPr="00A0560D">
        <w:rPr>
          <w:sz w:val="21"/>
          <w:szCs w:val="21"/>
          <w:lang w:val="sq-AL"/>
        </w:rPr>
        <w:t xml:space="preserve">8. Zyra Qendrore e Regjistrimit të Pasurive të Paluajtshme dhe Zyra Vendore e Regjistrimit të Pasurive të Paluajtshme Sarandë, brenda 30 (tridhjetë) ditëve nga data e miratimit të këtij vendimi, në bashkëpunim me këshillin e qarkut të Vlorës, të fillojnë procedurat për hedhjen e gjurmës së projektit të landfillit “Bajkaj” në hartat treguese të regjistrimit, sipas planimetrisë së shpronësimeve, që do t’u vihet në dispozicion nga Këshilli i Qarkut të Vlorës, dhe të bëjnë kalimin e pronësisë për pasuritë e shpronësuara. </w:t>
      </w:r>
    </w:p>
    <w:p w:rsidR="00A17769" w:rsidRPr="00A0560D" w:rsidRDefault="00A17769" w:rsidP="00A17769">
      <w:pPr>
        <w:pStyle w:val="Paragrafi"/>
        <w:rPr>
          <w:sz w:val="21"/>
          <w:szCs w:val="21"/>
          <w:lang w:val="sq-AL"/>
        </w:rPr>
      </w:pPr>
      <w:r w:rsidRPr="00A0560D">
        <w:rPr>
          <w:sz w:val="21"/>
          <w:szCs w:val="21"/>
          <w:lang w:val="sq-AL"/>
        </w:rPr>
        <w:t>9. Zyra Vendore e Regjistrimit të P</w:t>
      </w:r>
      <w:r>
        <w:rPr>
          <w:sz w:val="21"/>
          <w:szCs w:val="21"/>
          <w:lang w:val="sq-AL"/>
        </w:rPr>
        <w:t>asurive të Paluajtshme, Sarandë</w:t>
      </w:r>
      <w:r w:rsidRPr="00A0560D">
        <w:rPr>
          <w:sz w:val="21"/>
          <w:szCs w:val="21"/>
          <w:lang w:val="sq-AL"/>
        </w:rPr>
        <w:t xml:space="preserve"> të pezullojë të gjitha transaksionet me pasuritë e shpronësuara deri në momentin kur do të realizohen procesi i hedhjes së gjurmës së projektit të landfillit “Bajkaj” në hartat treguese të regjistrimit, si dhe kalimi i pronësisë për pasuritë e shpronësuara.</w:t>
      </w:r>
    </w:p>
    <w:p w:rsidR="00A17769" w:rsidRPr="00A0560D" w:rsidRDefault="00A17769" w:rsidP="00A17769">
      <w:pPr>
        <w:pStyle w:val="Paragrafi"/>
        <w:rPr>
          <w:sz w:val="21"/>
          <w:szCs w:val="21"/>
          <w:lang w:val="sq-AL"/>
        </w:rPr>
      </w:pPr>
      <w:r w:rsidRPr="00A0560D">
        <w:rPr>
          <w:sz w:val="21"/>
          <w:szCs w:val="21"/>
          <w:lang w:val="sq-AL"/>
        </w:rPr>
        <w:t>10. Ngarkohen Ministria e Punëve Publike dhe Transportit, Ministria e Financave, Zyra Qendrore e Regjistrimit të Pasurive të Paluajtshme, Zyra Vendore e Regjistrimit të Pasurive të Paluajtshme, Sarandë dhe Këshilli i Qarkut të Vlorës për zbatimin e këtij vendimi.</w:t>
      </w:r>
    </w:p>
    <w:p w:rsidR="00A17769" w:rsidRPr="00A0560D" w:rsidRDefault="00A17769" w:rsidP="00A17769">
      <w:pPr>
        <w:pStyle w:val="Paragrafi"/>
        <w:rPr>
          <w:sz w:val="21"/>
          <w:szCs w:val="21"/>
          <w:lang w:val="sq-AL"/>
        </w:rPr>
      </w:pPr>
      <w:r w:rsidRPr="00A0560D">
        <w:rPr>
          <w:sz w:val="21"/>
          <w:szCs w:val="21"/>
          <w:lang w:val="sq-AL"/>
        </w:rPr>
        <w:t xml:space="preserve">Ky vendim hyn në fuqi menjëherë dhe botohet në Fletoren Zyrtare. </w:t>
      </w:r>
    </w:p>
    <w:p w:rsidR="00A17769" w:rsidRPr="00A0560D" w:rsidRDefault="00A17769" w:rsidP="00A17769">
      <w:pPr>
        <w:pStyle w:val="Autoriteti"/>
        <w:rPr>
          <w:sz w:val="21"/>
          <w:szCs w:val="21"/>
          <w:lang w:val="sq-AL"/>
        </w:rPr>
      </w:pPr>
    </w:p>
    <w:p w:rsidR="00A17769" w:rsidRPr="00A0560D" w:rsidRDefault="00A17769" w:rsidP="00A17769">
      <w:pPr>
        <w:pStyle w:val="Autoriteti"/>
        <w:rPr>
          <w:sz w:val="21"/>
          <w:szCs w:val="21"/>
          <w:lang w:val="sq-AL"/>
        </w:rPr>
      </w:pPr>
      <w:r w:rsidRPr="00A0560D">
        <w:rPr>
          <w:sz w:val="21"/>
          <w:szCs w:val="21"/>
          <w:lang w:val="sq-AL"/>
        </w:rPr>
        <w:t>KRYEMINISTRI</w:t>
      </w:r>
    </w:p>
    <w:p w:rsidR="00A17769" w:rsidRPr="00A0560D" w:rsidRDefault="00A17769" w:rsidP="00A17769">
      <w:pPr>
        <w:pStyle w:val="AutoritetiEmer"/>
        <w:rPr>
          <w:sz w:val="21"/>
          <w:szCs w:val="21"/>
          <w:lang w:val="sq-AL"/>
        </w:rPr>
      </w:pPr>
      <w:r w:rsidRPr="00A0560D">
        <w:rPr>
          <w:sz w:val="21"/>
          <w:szCs w:val="21"/>
          <w:lang w:val="sq-AL"/>
        </w:rPr>
        <w:t>Sali Berisha</w:t>
      </w:r>
    </w:p>
    <w:p w:rsidR="00A17769" w:rsidRDefault="00A17769" w:rsidP="00A17769">
      <w:pPr>
        <w:rPr>
          <w:lang w:val="sq-AL"/>
        </w:rPr>
      </w:pPr>
    </w:p>
    <w:p w:rsidR="00A17769" w:rsidRPr="00C32C70" w:rsidRDefault="00A17769" w:rsidP="00A17769">
      <w:pPr>
        <w:rPr>
          <w:lang w:val="sq-AL"/>
        </w:rPr>
      </w:pPr>
    </w:p>
    <w:tbl>
      <w:tblPr>
        <w:tblW w:w="5000" w:type="pct"/>
        <w:tblLook w:val="04A0" w:firstRow="1" w:lastRow="0" w:firstColumn="1" w:lastColumn="0" w:noHBand="0" w:noVBand="1"/>
      </w:tblPr>
      <w:tblGrid>
        <w:gridCol w:w="426"/>
        <w:gridCol w:w="906"/>
        <w:gridCol w:w="801"/>
        <w:gridCol w:w="124"/>
        <w:gridCol w:w="526"/>
        <w:gridCol w:w="204"/>
        <w:gridCol w:w="485"/>
        <w:gridCol w:w="243"/>
        <w:gridCol w:w="446"/>
        <w:gridCol w:w="282"/>
        <w:gridCol w:w="472"/>
        <w:gridCol w:w="256"/>
        <w:gridCol w:w="847"/>
        <w:gridCol w:w="327"/>
        <w:gridCol w:w="2942"/>
      </w:tblGrid>
      <w:tr w:rsidR="00A17769" w:rsidRPr="00C32C70" w:rsidTr="002C4FE3">
        <w:trPr>
          <w:trHeight w:val="139"/>
        </w:trPr>
        <w:tc>
          <w:tcPr>
            <w:tcW w:w="1498" w:type="pct"/>
            <w:gridSpan w:val="5"/>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KËSHILLI I QARKUT VLORË</w:t>
            </w: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406"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594"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1760"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139"/>
        </w:trPr>
        <w:tc>
          <w:tcPr>
            <w:tcW w:w="1869" w:type="pct"/>
            <w:gridSpan w:val="7"/>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AUTORITETI RRUGOR SHQIPTAR</w:t>
            </w: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06"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594"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1760"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30"/>
        </w:trPr>
        <w:tc>
          <w:tcPr>
            <w:tcW w:w="229"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88"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31"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49"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06"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594"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1760"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15"/>
        </w:trPr>
        <w:tc>
          <w:tcPr>
            <w:tcW w:w="229"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488"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431"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349"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406"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594"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color w:val="000000"/>
                <w:sz w:val="14"/>
                <w:szCs w:val="14"/>
                <w:lang w:val="sq-AL"/>
              </w:rPr>
            </w:pPr>
          </w:p>
        </w:tc>
        <w:tc>
          <w:tcPr>
            <w:tcW w:w="1760"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15"/>
        </w:trPr>
        <w:tc>
          <w:tcPr>
            <w:tcW w:w="229"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88"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31"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49"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71"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06"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594"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1760"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139"/>
        </w:trPr>
        <w:tc>
          <w:tcPr>
            <w:tcW w:w="229"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771" w:type="pct"/>
            <w:gridSpan w:val="14"/>
            <w:tcBorders>
              <w:top w:val="nil"/>
              <w:left w:val="nil"/>
              <w:bottom w:val="nil"/>
              <w:right w:val="nil"/>
            </w:tcBorders>
            <w:shd w:val="clear" w:color="auto" w:fill="auto"/>
            <w:noWrap/>
            <w:vAlign w:val="bottom"/>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LISTA E PRONARËVE QË PREKEN NGA NDËRTIMI I LANDFILLIT</w:t>
            </w:r>
            <w:r>
              <w:rPr>
                <w:rFonts w:ascii="CG Times" w:eastAsia="Times New Roman" w:hAnsi="CG Times" w:cs="Arial"/>
                <w:b/>
                <w:bCs/>
                <w:color w:val="000000"/>
                <w:sz w:val="14"/>
                <w:szCs w:val="14"/>
                <w:lang w:val="sq-AL"/>
              </w:rPr>
              <w:t>IT</w:t>
            </w:r>
            <w:r w:rsidRPr="00C32C70">
              <w:rPr>
                <w:rFonts w:ascii="CG Times" w:eastAsia="Times New Roman" w:hAnsi="CG Times" w:cs="Arial"/>
                <w:b/>
                <w:bCs/>
                <w:color w:val="000000"/>
                <w:sz w:val="14"/>
                <w:szCs w:val="14"/>
                <w:lang w:val="sq-AL"/>
              </w:rPr>
              <w:t xml:space="preserve"> NË FSHATIN PALAVLI, KOMUNA VERGO</w:t>
            </w:r>
          </w:p>
        </w:tc>
      </w:tr>
      <w:tr w:rsidR="00A17769" w:rsidRPr="00C32C70" w:rsidTr="002C4FE3">
        <w:trPr>
          <w:trHeight w:val="15"/>
        </w:trPr>
        <w:tc>
          <w:tcPr>
            <w:tcW w:w="229"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88"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497"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93"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9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9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39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63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b/>
                <w:bCs/>
                <w:color w:val="000000"/>
                <w:sz w:val="14"/>
                <w:szCs w:val="14"/>
                <w:lang w:val="sq-AL"/>
              </w:rPr>
            </w:pPr>
          </w:p>
        </w:tc>
        <w:tc>
          <w:tcPr>
            <w:tcW w:w="1584"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15"/>
        </w:trPr>
        <w:tc>
          <w:tcPr>
            <w:tcW w:w="229"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488"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497"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393"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39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39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39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632" w:type="pct"/>
            <w:gridSpan w:val="2"/>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c>
          <w:tcPr>
            <w:tcW w:w="1584" w:type="pct"/>
            <w:tcBorders>
              <w:top w:val="nil"/>
              <w:left w:val="nil"/>
              <w:bottom w:val="nil"/>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p>
        </w:tc>
      </w:tr>
      <w:tr w:rsidR="00A17769" w:rsidRPr="00C32C70" w:rsidTr="002C4FE3">
        <w:trPr>
          <w:trHeight w:val="180"/>
        </w:trPr>
        <w:tc>
          <w:tcPr>
            <w:tcW w:w="229" w:type="pct"/>
            <w:tcBorders>
              <w:top w:val="double" w:sz="6" w:space="0" w:color="auto"/>
              <w:left w:val="double" w:sz="6" w:space="0" w:color="auto"/>
              <w:bottom w:val="nil"/>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Nr.</w:t>
            </w:r>
          </w:p>
        </w:tc>
        <w:tc>
          <w:tcPr>
            <w:tcW w:w="986" w:type="pct"/>
            <w:gridSpan w:val="3"/>
            <w:tcBorders>
              <w:top w:val="double" w:sz="6" w:space="0" w:color="auto"/>
              <w:left w:val="nil"/>
              <w:bottom w:val="double" w:sz="6"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bCs/>
                <w:color w:val="000000"/>
                <w:sz w:val="14"/>
                <w:szCs w:val="14"/>
                <w:lang w:val="sq-AL"/>
              </w:rPr>
            </w:pPr>
            <w:r w:rsidRPr="00C32C70">
              <w:rPr>
                <w:rFonts w:ascii="CG Times" w:eastAsia="Times New Roman" w:hAnsi="CG Times" w:cs="Arial"/>
                <w:bCs/>
                <w:color w:val="000000"/>
                <w:sz w:val="14"/>
                <w:szCs w:val="14"/>
                <w:lang w:val="sq-AL"/>
              </w:rPr>
              <w:t>PRONARI</w:t>
            </w:r>
          </w:p>
        </w:tc>
        <w:tc>
          <w:tcPr>
            <w:tcW w:w="393" w:type="pct"/>
            <w:gridSpan w:val="2"/>
            <w:tcBorders>
              <w:top w:val="double" w:sz="6" w:space="0" w:color="auto"/>
              <w:left w:val="nil"/>
              <w:bottom w:val="nil"/>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 </w:t>
            </w:r>
          </w:p>
        </w:tc>
        <w:tc>
          <w:tcPr>
            <w:tcW w:w="392" w:type="pct"/>
            <w:gridSpan w:val="2"/>
            <w:tcBorders>
              <w:top w:val="double" w:sz="6" w:space="0" w:color="auto"/>
              <w:left w:val="nil"/>
              <w:bottom w:val="nil"/>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Nr. i</w:t>
            </w:r>
          </w:p>
        </w:tc>
        <w:tc>
          <w:tcPr>
            <w:tcW w:w="392" w:type="pct"/>
            <w:gridSpan w:val="2"/>
            <w:tcBorders>
              <w:top w:val="double" w:sz="6" w:space="0" w:color="auto"/>
              <w:left w:val="nil"/>
              <w:bottom w:val="nil"/>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Sip</w:t>
            </w:r>
            <w:r>
              <w:rPr>
                <w:rFonts w:ascii="CG Times" w:eastAsia="Times New Roman" w:hAnsi="CG Times" w:cs="Arial"/>
                <w:b/>
                <w:bCs/>
                <w:color w:val="000000"/>
                <w:sz w:val="14"/>
                <w:szCs w:val="14"/>
                <w:lang w:val="sq-AL"/>
              </w:rPr>
              <w:t>.</w:t>
            </w:r>
            <w:r w:rsidRPr="00C32C70">
              <w:rPr>
                <w:rFonts w:ascii="CG Times" w:eastAsia="Times New Roman" w:hAnsi="CG Times" w:cs="Arial"/>
                <w:b/>
                <w:bCs/>
                <w:color w:val="000000"/>
                <w:sz w:val="14"/>
                <w:szCs w:val="14"/>
                <w:lang w:val="sq-AL"/>
              </w:rPr>
              <w:t xml:space="preserve"> m</w:t>
            </w:r>
            <w:r w:rsidRPr="00C32C70">
              <w:rPr>
                <w:rFonts w:ascii="CG Times" w:eastAsia="Times New Roman" w:hAnsi="CG Times" w:cs="Arial"/>
                <w:b/>
                <w:bCs/>
                <w:color w:val="000000"/>
                <w:sz w:val="10"/>
                <w:szCs w:val="14"/>
                <w:vertAlign w:val="superscript"/>
                <w:lang w:val="sq-AL"/>
              </w:rPr>
              <w:t>2</w:t>
            </w:r>
          </w:p>
        </w:tc>
        <w:tc>
          <w:tcPr>
            <w:tcW w:w="392" w:type="pct"/>
            <w:gridSpan w:val="2"/>
            <w:tcBorders>
              <w:top w:val="double" w:sz="6" w:space="0" w:color="auto"/>
              <w:left w:val="nil"/>
              <w:bottom w:val="nil"/>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Çmimi</w:t>
            </w:r>
          </w:p>
        </w:tc>
        <w:tc>
          <w:tcPr>
            <w:tcW w:w="632" w:type="pct"/>
            <w:gridSpan w:val="2"/>
            <w:tcBorders>
              <w:top w:val="double" w:sz="6" w:space="0" w:color="auto"/>
              <w:left w:val="nil"/>
              <w:bottom w:val="nil"/>
              <w:right w:val="nil"/>
            </w:tcBorders>
            <w:shd w:val="clear" w:color="auto" w:fill="auto"/>
            <w:noWrap/>
            <w:vAlign w:val="bottom"/>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Vlera</w:t>
            </w:r>
          </w:p>
        </w:tc>
        <w:tc>
          <w:tcPr>
            <w:tcW w:w="1584" w:type="pct"/>
            <w:tcBorders>
              <w:top w:val="double" w:sz="6" w:space="0" w:color="auto"/>
              <w:left w:val="double" w:sz="6" w:space="0" w:color="auto"/>
              <w:bottom w:val="nil"/>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Shënime</w:t>
            </w:r>
          </w:p>
        </w:tc>
      </w:tr>
      <w:tr w:rsidR="00A17769" w:rsidRPr="00C32C70" w:rsidTr="002C4FE3">
        <w:trPr>
          <w:trHeight w:val="375"/>
        </w:trPr>
        <w:tc>
          <w:tcPr>
            <w:tcW w:w="229" w:type="pct"/>
            <w:tcBorders>
              <w:top w:val="nil"/>
              <w:left w:val="double" w:sz="6" w:space="0" w:color="auto"/>
              <w:bottom w:val="double" w:sz="6"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 </w:t>
            </w:r>
          </w:p>
        </w:tc>
        <w:tc>
          <w:tcPr>
            <w:tcW w:w="986" w:type="pct"/>
            <w:gridSpan w:val="3"/>
            <w:tcBorders>
              <w:top w:val="nil"/>
              <w:left w:val="nil"/>
              <w:bottom w:val="double" w:sz="6" w:space="0" w:color="auto"/>
              <w:right w:val="double" w:sz="6" w:space="0" w:color="auto"/>
            </w:tcBorders>
            <w:shd w:val="clear" w:color="auto" w:fill="auto"/>
            <w:noWrap/>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Emri, mbiemri</w:t>
            </w:r>
          </w:p>
        </w:tc>
        <w:tc>
          <w:tcPr>
            <w:tcW w:w="393" w:type="pct"/>
            <w:gridSpan w:val="2"/>
            <w:tcBorders>
              <w:top w:val="nil"/>
              <w:left w:val="nil"/>
              <w:bottom w:val="double" w:sz="6" w:space="0" w:color="auto"/>
              <w:right w:val="nil"/>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ZK</w:t>
            </w:r>
          </w:p>
        </w:tc>
        <w:tc>
          <w:tcPr>
            <w:tcW w:w="392" w:type="pct"/>
            <w:gridSpan w:val="2"/>
            <w:tcBorders>
              <w:top w:val="nil"/>
              <w:left w:val="double" w:sz="6" w:space="0" w:color="auto"/>
              <w:bottom w:val="double" w:sz="6" w:space="0" w:color="auto"/>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pas</w:t>
            </w:r>
            <w:r>
              <w:rPr>
                <w:rFonts w:ascii="CG Times" w:eastAsia="Times New Roman" w:hAnsi="CG Times" w:cs="Arial"/>
                <w:b/>
                <w:bCs/>
                <w:color w:val="000000"/>
                <w:sz w:val="14"/>
                <w:szCs w:val="14"/>
                <w:lang w:val="sq-AL"/>
              </w:rPr>
              <w:t>urisë</w:t>
            </w:r>
          </w:p>
        </w:tc>
        <w:tc>
          <w:tcPr>
            <w:tcW w:w="392" w:type="pct"/>
            <w:gridSpan w:val="2"/>
            <w:tcBorders>
              <w:top w:val="nil"/>
              <w:left w:val="nil"/>
              <w:bottom w:val="double" w:sz="6" w:space="0" w:color="auto"/>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 </w:t>
            </w:r>
          </w:p>
        </w:tc>
        <w:tc>
          <w:tcPr>
            <w:tcW w:w="392" w:type="pct"/>
            <w:gridSpan w:val="2"/>
            <w:tcBorders>
              <w:top w:val="nil"/>
              <w:left w:val="nil"/>
              <w:bottom w:val="double" w:sz="6" w:space="0" w:color="auto"/>
              <w:right w:val="double" w:sz="6" w:space="0" w:color="auto"/>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m</w:t>
            </w:r>
            <w:r w:rsidRPr="00451ADA">
              <w:rPr>
                <w:rFonts w:ascii="CG Times" w:eastAsia="Times New Roman" w:hAnsi="CG Times" w:cs="Arial"/>
                <w:b/>
                <w:bCs/>
                <w:color w:val="000000"/>
                <w:sz w:val="10"/>
                <w:szCs w:val="14"/>
                <w:vertAlign w:val="superscript"/>
                <w:lang w:val="sq-AL"/>
              </w:rPr>
              <w:t>2</w:t>
            </w:r>
          </w:p>
        </w:tc>
        <w:tc>
          <w:tcPr>
            <w:tcW w:w="632" w:type="pct"/>
            <w:gridSpan w:val="2"/>
            <w:tcBorders>
              <w:top w:val="nil"/>
              <w:left w:val="nil"/>
              <w:bottom w:val="double" w:sz="6" w:space="0" w:color="auto"/>
              <w:right w:val="nil"/>
            </w:tcBorders>
            <w:shd w:val="clear" w:color="auto" w:fill="auto"/>
            <w:vAlign w:val="center"/>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totale lekë</w:t>
            </w:r>
          </w:p>
        </w:tc>
        <w:tc>
          <w:tcPr>
            <w:tcW w:w="1584" w:type="pct"/>
            <w:tcBorders>
              <w:top w:val="nil"/>
              <w:left w:val="double" w:sz="6" w:space="0" w:color="auto"/>
              <w:bottom w:val="double" w:sz="6"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b/>
                <w:bCs/>
                <w:color w:val="000000"/>
                <w:sz w:val="14"/>
                <w:szCs w:val="14"/>
                <w:lang w:val="sq-AL"/>
              </w:rPr>
            </w:pPr>
            <w:r w:rsidRPr="00C32C70">
              <w:rPr>
                <w:rFonts w:ascii="CG Times" w:eastAsia="Times New Roman" w:hAnsi="CG Times" w:cs="Arial"/>
                <w:b/>
                <w:bCs/>
                <w:color w:val="000000"/>
                <w:sz w:val="14"/>
                <w:szCs w:val="14"/>
                <w:lang w:val="sq-AL"/>
              </w:rPr>
              <w:t> </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Kadri</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663</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399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257,594</w:t>
            </w:r>
          </w:p>
        </w:tc>
        <w:tc>
          <w:tcPr>
            <w:tcW w:w="1584" w:type="pct"/>
            <w:tcBorders>
              <w:top w:val="nil"/>
              <w:left w:val="double" w:sz="6" w:space="0" w:color="auto"/>
              <w:bottom w:val="nil"/>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Petrit</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664</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239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154,298</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3</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 xml:space="preserve">Eqerem </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665</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773</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499,049</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4</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Rabije</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Raça</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666</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356</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229,834</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5</w:t>
            </w:r>
          </w:p>
        </w:tc>
        <w:tc>
          <w:tcPr>
            <w:tcW w:w="488" w:type="pct"/>
            <w:tcBorders>
              <w:top w:val="nil"/>
              <w:left w:val="nil"/>
              <w:bottom w:val="single" w:sz="4" w:space="0" w:color="auto"/>
              <w:right w:val="nil"/>
            </w:tcBorders>
            <w:shd w:val="clear" w:color="auto" w:fill="auto"/>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Sihat</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Raça</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667</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310</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200,136</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Idriz</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Raça</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668</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528</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340,877</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7</w:t>
            </w:r>
          </w:p>
        </w:tc>
        <w:tc>
          <w:tcPr>
            <w:tcW w:w="488" w:type="pct"/>
            <w:tcBorders>
              <w:top w:val="nil"/>
              <w:left w:val="nil"/>
              <w:bottom w:val="single" w:sz="4" w:space="0" w:color="auto"/>
              <w:right w:val="nil"/>
            </w:tcBorders>
            <w:shd w:val="clear" w:color="auto" w:fill="auto"/>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Nesip</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Raça</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669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679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438,362</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8</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Bastri</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Raça</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670</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2076</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1,340,266</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9</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Vesel</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Sinani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671</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860</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555,216</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10</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Nazie</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Sinani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672</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1009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651,410</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11</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Taip</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Sinani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673</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1076</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694,666</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12</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Teki</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676/677</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4038</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2,606,933</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13</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Sinan</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Kuçi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678</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892</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575,875</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14</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Ago</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Kuçi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679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1859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1,200,170</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15</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Nedin</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Kuçi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680</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2349</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1,516,514</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16</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Shahin</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Haderi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681</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7123</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4,598,609</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17</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Arif</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Haderi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683</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3404</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2,197,622</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18</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Shpetim</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725</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22</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14,203</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19</w:t>
            </w:r>
          </w:p>
        </w:tc>
        <w:tc>
          <w:tcPr>
            <w:tcW w:w="488" w:type="pct"/>
            <w:tcBorders>
              <w:top w:val="nil"/>
              <w:left w:val="nil"/>
              <w:bottom w:val="single" w:sz="4" w:space="0" w:color="auto"/>
              <w:right w:val="nil"/>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Teno</w:t>
            </w:r>
          </w:p>
        </w:tc>
        <w:tc>
          <w:tcPr>
            <w:tcW w:w="497"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725</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2215</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1,430,004</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20</w:t>
            </w:r>
          </w:p>
        </w:tc>
        <w:tc>
          <w:tcPr>
            <w:tcW w:w="488" w:type="pct"/>
            <w:tcBorders>
              <w:top w:val="nil"/>
              <w:left w:val="nil"/>
              <w:bottom w:val="single" w:sz="4" w:space="0" w:color="auto"/>
              <w:right w:val="nil"/>
            </w:tcBorders>
            <w:shd w:val="clear" w:color="auto" w:fill="auto"/>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Daut</w:t>
            </w:r>
          </w:p>
        </w:tc>
        <w:tc>
          <w:tcPr>
            <w:tcW w:w="497" w:type="pct"/>
            <w:gridSpan w:val="2"/>
            <w:tcBorders>
              <w:top w:val="nil"/>
              <w:left w:val="nil"/>
              <w:bottom w:val="single" w:sz="4" w:space="0" w:color="auto"/>
              <w:right w:val="double" w:sz="6" w:space="0" w:color="auto"/>
            </w:tcBorders>
            <w:shd w:val="clear" w:color="auto" w:fill="auto"/>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Alinani</w:t>
            </w:r>
          </w:p>
        </w:tc>
        <w:tc>
          <w:tcPr>
            <w:tcW w:w="393"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2864</w:t>
            </w:r>
          </w:p>
        </w:tc>
        <w:tc>
          <w:tcPr>
            <w:tcW w:w="392" w:type="pct"/>
            <w:gridSpan w:val="2"/>
            <w:tcBorders>
              <w:top w:val="nil"/>
              <w:left w:val="double" w:sz="6" w:space="0" w:color="auto"/>
              <w:bottom w:val="single" w:sz="4"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725</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2113</w:t>
            </w:r>
          </w:p>
        </w:tc>
        <w:tc>
          <w:tcPr>
            <w:tcW w:w="392" w:type="pct"/>
            <w:gridSpan w:val="2"/>
            <w:tcBorders>
              <w:top w:val="nil"/>
              <w:left w:val="nil"/>
              <w:bottom w:val="single" w:sz="4"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645.6</w:t>
            </w:r>
          </w:p>
        </w:tc>
        <w:tc>
          <w:tcPr>
            <w:tcW w:w="632" w:type="pct"/>
            <w:gridSpan w:val="2"/>
            <w:tcBorders>
              <w:top w:val="nil"/>
              <w:left w:val="nil"/>
              <w:bottom w:val="single" w:sz="4"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sz w:val="14"/>
                <w:szCs w:val="14"/>
                <w:lang w:val="sq-AL"/>
              </w:rPr>
            </w:pPr>
            <w:r w:rsidRPr="00C32C70">
              <w:rPr>
                <w:rFonts w:ascii="CG Times" w:eastAsia="Times New Roman" w:hAnsi="CG Times" w:cs="Arial"/>
                <w:sz w:val="14"/>
                <w:szCs w:val="14"/>
                <w:lang w:val="sq-AL"/>
              </w:rPr>
              <w:t>1,364,153</w:t>
            </w:r>
          </w:p>
        </w:tc>
        <w:tc>
          <w:tcPr>
            <w:tcW w:w="1584" w:type="pct"/>
            <w:tcBorders>
              <w:top w:val="nil"/>
              <w:left w:val="double" w:sz="6" w:space="0" w:color="auto"/>
              <w:bottom w:val="single" w:sz="4" w:space="0" w:color="auto"/>
              <w:right w:val="double" w:sz="6" w:space="0" w:color="auto"/>
            </w:tcBorders>
            <w:shd w:val="clear" w:color="auto" w:fill="auto"/>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Konfirmuar nga ZVRPP-ja</w:t>
            </w:r>
          </w:p>
        </w:tc>
      </w:tr>
      <w:tr w:rsidR="00A17769" w:rsidRPr="00C32C70" w:rsidTr="002C4FE3">
        <w:trPr>
          <w:trHeight w:val="139"/>
        </w:trPr>
        <w:tc>
          <w:tcPr>
            <w:tcW w:w="229"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 </w:t>
            </w:r>
          </w:p>
        </w:tc>
        <w:tc>
          <w:tcPr>
            <w:tcW w:w="986" w:type="pct"/>
            <w:gridSpan w:val="3"/>
            <w:tcBorders>
              <w:top w:val="double" w:sz="6" w:space="0" w:color="auto"/>
              <w:left w:val="nil"/>
              <w:bottom w:val="double" w:sz="6" w:space="0" w:color="auto"/>
              <w:right w:val="double" w:sz="6" w:space="0" w:color="000000"/>
            </w:tcBorders>
            <w:shd w:val="clear" w:color="auto" w:fill="auto"/>
            <w:noWrap/>
            <w:vAlign w:val="bottom"/>
            <w:hideMark/>
          </w:tcPr>
          <w:p w:rsidR="00A17769" w:rsidRPr="00C32C70" w:rsidRDefault="00A17769" w:rsidP="002C4FE3">
            <w:pPr>
              <w:jc w:val="center"/>
              <w:rPr>
                <w:rFonts w:ascii="CG Times" w:eastAsia="Times New Roman" w:hAnsi="CG Times" w:cs="Arial"/>
                <w:b/>
                <w:bCs/>
                <w:sz w:val="14"/>
                <w:szCs w:val="14"/>
                <w:lang w:val="sq-AL"/>
              </w:rPr>
            </w:pPr>
            <w:r w:rsidRPr="00C32C70">
              <w:rPr>
                <w:rFonts w:ascii="CG Times" w:eastAsia="Times New Roman" w:hAnsi="CG Times" w:cs="Arial"/>
                <w:b/>
                <w:bCs/>
                <w:sz w:val="14"/>
                <w:szCs w:val="14"/>
                <w:lang w:val="sq-AL"/>
              </w:rPr>
              <w:t>TOTALI</w:t>
            </w:r>
          </w:p>
        </w:tc>
        <w:tc>
          <w:tcPr>
            <w:tcW w:w="393" w:type="pct"/>
            <w:gridSpan w:val="2"/>
            <w:tcBorders>
              <w:top w:val="double" w:sz="6" w:space="0" w:color="auto"/>
              <w:left w:val="nil"/>
              <w:bottom w:val="double" w:sz="6" w:space="0" w:color="auto"/>
              <w:right w:val="nil"/>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 </w:t>
            </w:r>
          </w:p>
        </w:tc>
        <w:tc>
          <w:tcPr>
            <w:tcW w:w="392"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A17769" w:rsidRPr="00C32C70" w:rsidRDefault="00A17769" w:rsidP="002C4FE3">
            <w:pPr>
              <w:jc w:val="center"/>
              <w:rPr>
                <w:rFonts w:ascii="CG Times" w:eastAsia="Times New Roman" w:hAnsi="CG Times" w:cs="Arial"/>
                <w:sz w:val="14"/>
                <w:szCs w:val="14"/>
                <w:lang w:val="sq-AL"/>
              </w:rPr>
            </w:pPr>
            <w:r w:rsidRPr="00C32C70">
              <w:rPr>
                <w:rFonts w:ascii="CG Times" w:eastAsia="Times New Roman" w:hAnsi="CG Times" w:cs="Arial"/>
                <w:sz w:val="14"/>
                <w:szCs w:val="14"/>
                <w:lang w:val="sq-AL"/>
              </w:rPr>
              <w:t> </w:t>
            </w:r>
          </w:p>
        </w:tc>
        <w:tc>
          <w:tcPr>
            <w:tcW w:w="392" w:type="pct"/>
            <w:gridSpan w:val="2"/>
            <w:tcBorders>
              <w:top w:val="double" w:sz="6" w:space="0" w:color="auto"/>
              <w:left w:val="nil"/>
              <w:bottom w:val="double" w:sz="6"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b/>
                <w:bCs/>
                <w:sz w:val="14"/>
                <w:szCs w:val="14"/>
                <w:lang w:val="sq-AL"/>
              </w:rPr>
            </w:pPr>
            <w:r w:rsidRPr="00C32C70">
              <w:rPr>
                <w:rFonts w:ascii="CG Times" w:eastAsia="Times New Roman" w:hAnsi="CG Times" w:cs="Arial"/>
                <w:b/>
                <w:bCs/>
                <w:sz w:val="14"/>
                <w:szCs w:val="14"/>
                <w:lang w:val="sq-AL"/>
              </w:rPr>
              <w:t>32320</w:t>
            </w:r>
          </w:p>
        </w:tc>
        <w:tc>
          <w:tcPr>
            <w:tcW w:w="392" w:type="pct"/>
            <w:gridSpan w:val="2"/>
            <w:tcBorders>
              <w:top w:val="double" w:sz="6" w:space="0" w:color="auto"/>
              <w:left w:val="nil"/>
              <w:bottom w:val="double" w:sz="6" w:space="0" w:color="auto"/>
              <w:right w:val="double" w:sz="6" w:space="0" w:color="auto"/>
            </w:tcBorders>
            <w:shd w:val="clear" w:color="auto" w:fill="auto"/>
            <w:noWrap/>
            <w:vAlign w:val="bottom"/>
            <w:hideMark/>
          </w:tcPr>
          <w:p w:rsidR="00A17769" w:rsidRPr="00C32C70" w:rsidRDefault="00A17769" w:rsidP="002C4FE3">
            <w:pPr>
              <w:jc w:val="right"/>
              <w:rPr>
                <w:rFonts w:ascii="CG Times" w:eastAsia="Times New Roman" w:hAnsi="CG Times" w:cs="Arial"/>
                <w:b/>
                <w:bCs/>
                <w:sz w:val="14"/>
                <w:szCs w:val="14"/>
                <w:lang w:val="sq-AL"/>
              </w:rPr>
            </w:pPr>
            <w:r w:rsidRPr="00C32C70">
              <w:rPr>
                <w:rFonts w:ascii="CG Times" w:eastAsia="Times New Roman" w:hAnsi="CG Times" w:cs="Arial"/>
                <w:b/>
                <w:bCs/>
                <w:sz w:val="14"/>
                <w:szCs w:val="14"/>
                <w:lang w:val="sq-AL"/>
              </w:rPr>
              <w:t> </w:t>
            </w:r>
          </w:p>
        </w:tc>
        <w:tc>
          <w:tcPr>
            <w:tcW w:w="632" w:type="pct"/>
            <w:gridSpan w:val="2"/>
            <w:tcBorders>
              <w:top w:val="double" w:sz="6" w:space="0" w:color="auto"/>
              <w:left w:val="nil"/>
              <w:bottom w:val="double" w:sz="6" w:space="0" w:color="auto"/>
              <w:right w:val="nil"/>
            </w:tcBorders>
            <w:shd w:val="clear" w:color="auto" w:fill="auto"/>
            <w:noWrap/>
            <w:vAlign w:val="bottom"/>
            <w:hideMark/>
          </w:tcPr>
          <w:p w:rsidR="00A17769" w:rsidRPr="00C32C70" w:rsidRDefault="00A17769" w:rsidP="002C4FE3">
            <w:pPr>
              <w:jc w:val="right"/>
              <w:rPr>
                <w:rFonts w:ascii="CG Times" w:eastAsia="Times New Roman" w:hAnsi="CG Times" w:cs="Arial"/>
                <w:b/>
                <w:bCs/>
                <w:sz w:val="14"/>
                <w:szCs w:val="14"/>
                <w:lang w:val="sq-AL"/>
              </w:rPr>
            </w:pPr>
            <w:r w:rsidRPr="00C32C70">
              <w:rPr>
                <w:rFonts w:ascii="CG Times" w:eastAsia="Times New Roman" w:hAnsi="CG Times" w:cs="Arial"/>
                <w:b/>
                <w:bCs/>
                <w:sz w:val="14"/>
                <w:szCs w:val="14"/>
                <w:lang w:val="sq-AL"/>
              </w:rPr>
              <w:t>20,865,792</w:t>
            </w:r>
          </w:p>
        </w:tc>
        <w:tc>
          <w:tcPr>
            <w:tcW w:w="1584"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A17769" w:rsidRPr="00C32C70" w:rsidRDefault="00A17769" w:rsidP="002C4FE3">
            <w:pPr>
              <w:rPr>
                <w:rFonts w:ascii="CG Times" w:eastAsia="Times New Roman" w:hAnsi="CG Times" w:cs="Arial"/>
                <w:sz w:val="14"/>
                <w:szCs w:val="14"/>
                <w:lang w:val="sq-AL"/>
              </w:rPr>
            </w:pPr>
            <w:r w:rsidRPr="00C32C70">
              <w:rPr>
                <w:rFonts w:ascii="CG Times" w:eastAsia="Times New Roman" w:hAnsi="CG Times" w:cs="Arial"/>
                <w:sz w:val="14"/>
                <w:szCs w:val="14"/>
                <w:lang w:val="sq-AL"/>
              </w:rPr>
              <w:t> </w:t>
            </w:r>
          </w:p>
        </w:tc>
      </w:tr>
    </w:tbl>
    <w:p w:rsidR="00A17769" w:rsidRPr="00C32C70" w:rsidRDefault="00A17769" w:rsidP="00A17769">
      <w:pPr>
        <w:rPr>
          <w:lang w:val="sq-AL"/>
        </w:rPr>
        <w:sectPr w:rsidR="00A17769" w:rsidRPr="00C32C70" w:rsidSect="0001541C">
          <w:headerReference w:type="even" r:id="rId6"/>
          <w:footerReference w:type="even" r:id="rId7"/>
          <w:footerReference w:type="default" r:id="rId8"/>
          <w:pgSz w:w="11907" w:h="16840" w:code="9"/>
          <w:pgMar w:top="1418" w:right="1418" w:bottom="1418" w:left="1418" w:header="720" w:footer="720" w:gutter="0"/>
          <w:pgNumType w:start="5000"/>
          <w:cols w:space="720"/>
          <w:docGrid w:linePitch="360"/>
        </w:sectPr>
      </w:pPr>
    </w:p>
    <w:p w:rsidR="00803E55" w:rsidRDefault="00803E55"/>
    <w:sectPr w:rsidR="00803E55" w:rsidSect="00803E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0409" w:rsidRDefault="006F0409">
      <w:r>
        <w:separator/>
      </w:r>
    </w:p>
  </w:endnote>
  <w:endnote w:type="continuationSeparator" w:id="0">
    <w:p w:rsidR="006F0409" w:rsidRDefault="006F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E3" w:rsidRPr="006614CB" w:rsidRDefault="002C4FE3">
    <w:pPr>
      <w:pStyle w:val="Footer"/>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 MERGEFORMAT </w:instrText>
    </w:r>
    <w:r w:rsidRPr="006614CB">
      <w:rPr>
        <w:rFonts w:ascii="CG Times" w:hAnsi="CG Times"/>
        <w:sz w:val="22"/>
        <w:szCs w:val="22"/>
      </w:rPr>
      <w:fldChar w:fldCharType="separate"/>
    </w:r>
    <w:r>
      <w:rPr>
        <w:rFonts w:ascii="CG Times" w:hAnsi="CG Times"/>
        <w:noProof/>
        <w:sz w:val="22"/>
        <w:szCs w:val="22"/>
      </w:rPr>
      <w:t>5004</w:t>
    </w:r>
    <w:r w:rsidRPr="006614CB">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E3" w:rsidRPr="006614CB" w:rsidRDefault="002C4FE3">
    <w:pPr>
      <w:pStyle w:val="Footer"/>
      <w:jc w:val="right"/>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 MERGEFORMAT </w:instrText>
    </w:r>
    <w:r w:rsidRPr="006614CB">
      <w:rPr>
        <w:rFonts w:ascii="CG Times" w:hAnsi="CG Times"/>
        <w:sz w:val="22"/>
        <w:szCs w:val="22"/>
      </w:rPr>
      <w:fldChar w:fldCharType="separate"/>
    </w:r>
    <w:r w:rsidR="0001541C">
      <w:rPr>
        <w:rFonts w:ascii="CG Times" w:hAnsi="CG Times"/>
        <w:noProof/>
        <w:sz w:val="22"/>
        <w:szCs w:val="22"/>
      </w:rPr>
      <w:t>5001</w:t>
    </w:r>
    <w:r w:rsidRPr="006614CB">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0409" w:rsidRDefault="006F0409">
      <w:r>
        <w:separator/>
      </w:r>
    </w:p>
  </w:footnote>
  <w:footnote w:type="continuationSeparator" w:id="0">
    <w:p w:rsidR="006F0409" w:rsidRDefault="006F04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E3" w:rsidRDefault="0070163B" w:rsidP="002C4FE3">
    <w:pPr>
      <w:pStyle w:val="Header"/>
    </w:pPr>
    <w:r>
      <w:rPr>
        <w:noProof/>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2C4FE3" w:rsidRPr="00AE7784" w:rsidRDefault="002C4FE3" w:rsidP="002C4FE3">
    <w:pPr>
      <w:pStyle w:val="Header"/>
      <w:pBdr>
        <w:top w:val="single" w:sz="2" w:space="1" w:color="auto"/>
      </w:pBdr>
      <w:tabs>
        <w:tab w:val="clear" w:pos="9360"/>
      </w:tabs>
      <w:ind w:right="-1369"/>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7769"/>
    <w:rsid w:val="0001541C"/>
    <w:rsid w:val="002C4FE3"/>
    <w:rsid w:val="006F0409"/>
    <w:rsid w:val="0070163B"/>
    <w:rsid w:val="00803E55"/>
    <w:rsid w:val="00A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3848105-0030-4D1E-94B4-53D55F84D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769"/>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1776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1776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17769"/>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1776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A17769"/>
    <w:rPr>
      <w:rFonts w:ascii="CG Times" w:eastAsia="MS Mincho" w:hAnsi="CG Times" w:cs="CG Times"/>
      <w:b/>
      <w:bCs/>
      <w:sz w:val="22"/>
      <w:szCs w:val="22"/>
      <w:lang w:val="en-GB" w:eastAsia="en-US" w:bidi="ar-SA"/>
    </w:rPr>
  </w:style>
  <w:style w:type="paragraph" w:customStyle="1" w:styleId="Paragrafi">
    <w:name w:val="Paragrafi"/>
    <w:link w:val="ParagrafiChar"/>
    <w:rsid w:val="00A17769"/>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A17769"/>
    <w:rPr>
      <w:rFonts w:ascii="CG Times" w:eastAsia="MS Mincho" w:hAnsi="CG Times" w:cs="CG Times"/>
      <w:sz w:val="22"/>
      <w:szCs w:val="22"/>
      <w:lang w:val="en-US" w:eastAsia="en-US" w:bidi="ar-SA"/>
    </w:rPr>
  </w:style>
  <w:style w:type="paragraph" w:styleId="Footer">
    <w:name w:val="footer"/>
    <w:basedOn w:val="Normal"/>
    <w:link w:val="FooterChar"/>
    <w:rsid w:val="00A17769"/>
    <w:pPr>
      <w:tabs>
        <w:tab w:val="center" w:pos="4320"/>
        <w:tab w:val="right" w:pos="8640"/>
      </w:tabs>
    </w:pPr>
  </w:style>
  <w:style w:type="character" w:customStyle="1" w:styleId="FooterChar">
    <w:name w:val="Footer Char"/>
    <w:link w:val="Footer"/>
    <w:rsid w:val="00A17769"/>
    <w:rPr>
      <w:rFonts w:ascii="Times New Roman" w:eastAsia="MS Mincho" w:hAnsi="Times New Roman" w:cs="Times New Roman"/>
      <w:sz w:val="24"/>
      <w:szCs w:val="24"/>
    </w:rPr>
  </w:style>
  <w:style w:type="paragraph" w:styleId="Header">
    <w:name w:val="header"/>
    <w:basedOn w:val="Normal"/>
    <w:link w:val="HeaderChar"/>
    <w:rsid w:val="00A17769"/>
    <w:pPr>
      <w:tabs>
        <w:tab w:val="center" w:pos="4680"/>
        <w:tab w:val="right" w:pos="9360"/>
      </w:tabs>
    </w:pPr>
  </w:style>
  <w:style w:type="character" w:customStyle="1" w:styleId="HeaderChar">
    <w:name w:val="Header Char"/>
    <w:link w:val="Header"/>
    <w:rsid w:val="00A17769"/>
    <w:rPr>
      <w:rFonts w:ascii="Times New Roman" w:eastAsia="MS Mincho" w:hAnsi="Times New Roman" w:cs="Times New Roman"/>
      <w:sz w:val="24"/>
      <w:szCs w:val="24"/>
    </w:rPr>
  </w:style>
  <w:style w:type="character" w:customStyle="1" w:styleId="AutoritetiChar">
    <w:name w:val="Autoriteti Char"/>
    <w:link w:val="Autoriteti"/>
    <w:locked/>
    <w:rsid w:val="00A17769"/>
    <w:rPr>
      <w:rFonts w:ascii="CG Times" w:eastAsia="MS Mincho" w:hAnsi="CG Times" w:cs="CG Times"/>
      <w:caps/>
      <w:sz w:val="22"/>
      <w:szCs w:val="22"/>
      <w:lang w:val="en-GB" w:eastAsia="en-US" w:bidi="ar-SA"/>
    </w:rPr>
  </w:style>
  <w:style w:type="character" w:customStyle="1" w:styleId="AktiChar">
    <w:name w:val="Akti Char"/>
    <w:link w:val="Akti"/>
    <w:rsid w:val="00A1776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2019-03-18T13:49:00Z</dcterms:created>
  <dcterms:modified xsi:type="dcterms:W3CDTF">2019-03-18T13:49:00Z</dcterms:modified>
</cp:coreProperties>
</file>