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900" w:rsidRPr="005C24A7" w:rsidRDefault="00035900" w:rsidP="00035900">
      <w:pPr>
        <w:pStyle w:val="Akti"/>
        <w:keepNext w:val="0"/>
        <w:rPr>
          <w:lang w:val="sq-AL"/>
        </w:rPr>
      </w:pPr>
      <w:bookmarkStart w:id="0" w:name="_GoBack"/>
      <w:bookmarkEnd w:id="0"/>
      <w:r w:rsidRPr="005C24A7">
        <w:rPr>
          <w:lang w:val="sq-AL"/>
        </w:rPr>
        <w:t>Vendim</w:t>
      </w:r>
    </w:p>
    <w:p w:rsidR="00035900" w:rsidRPr="005C24A7" w:rsidRDefault="00035900" w:rsidP="00035900">
      <w:pPr>
        <w:pStyle w:val="NumriData"/>
        <w:keepNext w:val="0"/>
        <w:rPr>
          <w:lang w:val="sq-AL"/>
        </w:rPr>
      </w:pPr>
      <w:r w:rsidRPr="005C24A7">
        <w:rPr>
          <w:lang w:val="sq-AL"/>
        </w:rPr>
        <w:t>Nr. 599, datë 17.7.2013</w:t>
      </w:r>
    </w:p>
    <w:p w:rsidR="00035900" w:rsidRPr="005C24A7" w:rsidRDefault="00035900" w:rsidP="00035900">
      <w:pPr>
        <w:pStyle w:val="Paragrafi"/>
        <w:rPr>
          <w:lang w:val="sq-AL"/>
        </w:rPr>
      </w:pPr>
    </w:p>
    <w:p w:rsidR="00035900" w:rsidRPr="005C24A7" w:rsidRDefault="00035900" w:rsidP="00035900">
      <w:pPr>
        <w:pStyle w:val="Titulli"/>
        <w:keepNext w:val="0"/>
        <w:rPr>
          <w:lang w:val="sq-AL"/>
        </w:rPr>
      </w:pPr>
      <w:r w:rsidRPr="005C24A7">
        <w:rPr>
          <w:lang w:val="sq-AL"/>
        </w:rPr>
        <w:t>PËR PËRCAKTIMIN E RREGULLAVE DHE TË KRITEREVE PËR SHPËRNDARJEN E FONDIT TË KOMPENSIMIT TË PRONARËVE, NË TË HOLLA, PËR VITIN 2013</w:t>
      </w:r>
    </w:p>
    <w:p w:rsidR="00035900" w:rsidRPr="005C24A7" w:rsidRDefault="00035900" w:rsidP="00035900">
      <w:pPr>
        <w:pStyle w:val="Paragrafi"/>
        <w:rPr>
          <w:lang w:val="sq-AL"/>
        </w:rPr>
      </w:pP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Në mbështetje të nenit 100 të Kushtetutës, të neneve 11 pika 1 shkronja “d” e 17 të ligjit nr. 9235, datë 29.7.2004 “Për kthimin dhe kompensimin e pronës”, të ndryshuar, dhe të pikës 1 të nenit 5 të ligjit nr. 10 239, datë 25.2.2010 “Për krijimin e fondit special të kompensimit të pronave”, me propozimin e Ministrit të Drejtësisë, Këshilli i Ministrave</w:t>
      </w:r>
    </w:p>
    <w:p w:rsidR="00035900" w:rsidRPr="005C24A7" w:rsidRDefault="00035900" w:rsidP="00035900">
      <w:pPr>
        <w:pStyle w:val="VENDOSI"/>
        <w:keepNext w:val="0"/>
        <w:rPr>
          <w:lang w:val="sq-AL"/>
        </w:rPr>
      </w:pPr>
      <w:r w:rsidRPr="005C24A7">
        <w:rPr>
          <w:lang w:val="sq-AL"/>
        </w:rPr>
        <w:br/>
        <w:t>VENDOSI:</w:t>
      </w:r>
    </w:p>
    <w:p w:rsidR="00035900" w:rsidRPr="005C24A7" w:rsidRDefault="00035900" w:rsidP="00035900">
      <w:pPr>
        <w:pStyle w:val="Paragrafi"/>
        <w:ind w:left="720" w:firstLine="0"/>
        <w:rPr>
          <w:lang w:val="sq-AL"/>
        </w:rPr>
      </w:pP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 xml:space="preserve">1. Subjektet e shpronësuara, prona e të cilave është njohur për kompensim, të kompensohen sipas radhës kronologjike, të përcaktuar nga numri dhe data e vendimit vetëm nëse përmbushen këto kritere: 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a) Vendimi, që ka përcaktuar kompensimin e pronës, është përfundimtar;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b) Vendimi, që ka përcaktuar kompensimin e pronës, është i ekzekutueshëm;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c) Vendimi, për të cilin aplikohet, nuk është trajtuar asnjëherë me kompensim.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Në rastin e vendimeve, të cilat janë ndryshuar pjesërisht, për efekt klasifikimi, do të merren numri dhe data e vendimit bazë, që është më i hershëm në radhë kronologjike për njohjen, kthimin dhe kompensimin e asaj prone.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2. Kompensimi të bëhet për pronën e llojit truall, në bazë të çmimit të përcaktuar në hartën e vlerës, të miratuar sipas vendndodhjes së pronës që kompensohet. Masa e kompensimit të jetë sipas skemës së mëposhtme: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a) Për pronat e njohura për kompensim deri në 1500 (një mijë e pesëqind) m², masa e kompensimit të jetë deri në 200 (dyqind) m².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b) Për pronat e njohura për kompensim mbi 1500 (një mijë e pesëqind) m² deri në 3000 (tre mijë) m², masa e kompensimit të jetë 300 (treqind) m².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c) Për pronat e njohura për kompensim mbi 3000 (tre mijë) m² deri në 5000 (pesë mijë) m², masa e kompensimit të jetë 400 (katërqind) m².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ç) Për pronat e njohura për kompensim mbi 5000 (pesë mijë) m² deri në 10 000 (dhjetë mijë) m², masa e kompensimit të jetë 500 (pesëqind) m².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d) Për pronat e njohura për kompensim mbi 10 000 (dhjetë mijë) m², masa e kompensimit të jetë 600 (gjashtëqind) m².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3. Subjektet, që kanë depozituar kërkesat e tyre në vitet 2006, 2007, 2008, 2009, 2011 dhe 2012 dhe që vërtetojnë kryerjen e pagesës, nuk paguajnë tarifën e aplikimit për vitin 2013.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4. Subjekti duhet të plotësojë dhe të paraqesë pranë AKKP-së dokumentacionin e mëposhtëm: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a) Kërkesën për kompensim në të holla, sipas formularit 1, që i bashkëlidhet këtij vendimi;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b) Deklaratën për pranimin e kritereve për kompensim dhe të kushteve të tjera që lidhen me to, sipas formularit 2, që i bashkëlidhet këtij vendimi;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c) Titullin për njohjen dhe kompensimin e pronës, që, sipas rastit, mund të jetë vendim i Komisionit të Kthimit dhe Kompensimit të Pronave, vendim i Agjencisë së Kthimit dhe Kompensimit të Pronave, si dhe vendim i gjykatës, në rastet kur vendimet e sipërpërmendura janë ndryshuar në rrugë gjyqësore;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ç) Planvendosjen përkatëse bashkëlidhur vendimit, si dhe planin e rilevimit aktual të pronës së njohur për kompensim;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d) Dëshminë e trashëgimisë;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dh) Nëse disponon, prokurë të posaçme, të nënshkruar nga të gjithë trashëgimtarët e ligjshëm apo disa prej tyre, ku të jetë e përcaktuar tagri për të tërhequr shumën e parave për pjesët takuese, në rast se shpallen fitues;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e) Vendimet e KKP-së/ZRAKKP-së ku janë përcaktuar pjesët takuese të secilit bashkëpronar, në rastet kur aplikimi kryhet nga një pjesë e trashëgimtarëve përfitues;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ë) Çdo akt tjetër gjyqësor apo administrativ, me anë të të cilit provohet pjesa takuese e secilit bashkëpronar;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f) Dokumentin e identifikimit (letërnjoftim apo pasaportë) të përfaqësuesit të pajisur me prokurë;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g) Mandatpagesën.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5. Në rastin e kërkesave të paraqitura në AKKP, në mbështetje të vendimeve të Këshillit të Ministrave nr. 1343, datë 4.6.2008 “Për miratimin e procedurave të shpërndarjes së fondit të kompensimit të pronarëve, në të holla, për vitin 2008”, nr. 487, datë 6.5.2009 “Për përcaktimin e rregullave dhe të kritereve për shpërndarjen e fondit të kompensimit të pronarëve, në të holla, për vitin 2009”, nr. 192, datë 9.3.2011 “Për përcaktimin e rregullave dhe të kritereve për shpërndarjen e fondit të kompensimit të pronarëve, në të holla, për vitin 2011”, dhe nr. 768, datë 7.11.2012 “Për përcaktimin e rregullave dhe kritereve për shpërndarjen e fondit të kompensimit të pronarëve, në të holla, për vitin 2012”, të cilat nuk janë realizuar nga AKKP-ja për arsye të ndryshme, kërkuesit duhet të pohojnë vullnetin e tyre, nëpërmjet një kërkese të re për kompensimin, të shoqëruar me dokumentet e parashkruara në pikën 6 të këtij vendimi.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6. Subjektet, që kanë aplikuar për kompensimin në të holla, në vitet 2008, 2009, 2011 dhe 2012, të paraqesin dokumentacionin e mëposhtëm: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a) Kërkesën për kompensim financiar, sipas formularit 1, që i bashkëlidhet këtij vendimi;</w:t>
      </w:r>
    </w:p>
    <w:p w:rsidR="00035900" w:rsidRPr="005C24A7" w:rsidRDefault="00035900" w:rsidP="00035900">
      <w:pPr>
        <w:pStyle w:val="Paragrafi"/>
        <w:rPr>
          <w:lang w:val="sq-AL"/>
        </w:rPr>
      </w:pPr>
      <w:r>
        <w:rPr>
          <w:lang w:val="sq-AL"/>
        </w:rPr>
        <w:t xml:space="preserve">b) </w:t>
      </w:r>
      <w:r w:rsidRPr="005C24A7">
        <w:rPr>
          <w:lang w:val="sq-AL"/>
        </w:rPr>
        <w:t>Deklaratën për pranimin e kritereve për kompensim dhe të kushteve të tjera që lidhen me to, sipas formularit 2, që i bashkëlidhet këtij vendimi;</w:t>
      </w:r>
    </w:p>
    <w:p w:rsidR="00035900" w:rsidRPr="005C24A7" w:rsidRDefault="00035900" w:rsidP="00035900">
      <w:pPr>
        <w:pStyle w:val="Paragrafi"/>
        <w:rPr>
          <w:lang w:val="sq-AL"/>
        </w:rPr>
      </w:pPr>
      <w:r>
        <w:rPr>
          <w:lang w:val="sq-AL"/>
        </w:rPr>
        <w:t>c</w:t>
      </w:r>
      <w:r w:rsidRPr="005C24A7">
        <w:rPr>
          <w:lang w:val="sq-AL"/>
        </w:rPr>
        <w:t>) Dëshminë e trashëgimisë, nëse ka ndryshime në rrethin e trashëgimtarëve të ligjshëm të subjektit të shpronësuar, sipas radhës së trashëgimtarëve, të përcaktuar në Kodin Civil;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ç) Prokurën e posaçme, nëse ajo e paraqitur në vitet 2008, 2009, 2011 apo 2012 ka kufizimin në kohë për tagrin e tërheqjes së shumës në të holla.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7. AKKP-ja shqyrton dokumentacionin e subjekteve që kërkojnë kompensim në të holla, duke kryer veprimet e mëposhtme: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a) Verifikon dosjen dhe vendimin përkatës, të dhënë nga Komisioni i Kthimit dhe Kompensimit të Pronave ose Agjencia e Kthimit dhe Kompensimit të Pronave.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b) Kërkon nga zyrat vendore të regjistrimit të pasurive të paluajtshme, që, brenda 10 (dhjetë) ditëve, të konfirmojnë, për: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i) regjistrimin e vendimit përkatës në ZVRPP;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ii) përcaktimin e gjendjes juridike aktuale të pronës dhe verifikimin nëse ajo ka ndryshuar nga momenti i daljes së vendimit me të cilin aplikohet;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iii) verifikimin e ushtrimit të së drejtës së parablerjes.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c) Kryen verifikimin në terren të gjendjes së pronës dhe mban procesverbalin përkatës.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ç) Përgatit planvendosjen e pronës që kompensohet dhe cakton: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i) në hartën e vlerës zonën ku ndodhet prona;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ii) në bashkëpunim me subjektin e shpronësuar, pjesën e pronës, që kërkohet për t’u kompensuar, sipas masës që përcaktohet në pikën 2 të këtij vendimi, dhe i kërkon përfaqësuesit me prokurë të nënshkruajë për pjesën që kompensohet.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d) Llogarit vlerën e sipërfaqes, që kompensohet.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dh) Përgatit vlerësimin ligjor, ku shpjegohen me hollësi për secilin subjekt kërkues: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i) vlefshmëria e vendimit të paraqitur nga kërkuesi;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ii) konfirmimet e zyrës vendore të regjistrimit të pasurive të paluajtshme;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iii) vlerësimi i pronës për kompensim.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e) Merr vendimin për pranimin apo refuzimin e kërkesës për kompensim të subjektit të shpronësuar.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ë) U dërgon subjektit të shpronësuar, Avokaturës së Shtetit dhe zyrës vendore të regjistrimit të pasurive të paluajtshme kopje të vendimeve të marra për t’u dhënë mundësi të ushtrojnë kompetencat ligjore.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f) Shpall listën e subjekteve fituese.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g) Kryen veprimet me thesarin dhe bankën për kalimin e fondit të kompensimit, në të holla, në emër të subjektit të shpronësuar, përfitues të kompensimit, apo përfaqësuesit të tij me prokurë, në përputhje me procedurat për zbatimin e Buxhetit të Shtetit.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8. Procesi i regjistrimit/pranimit të kërkesave për kompensim fillon menjëherë pas hyrjes në fuqi të këtij vendimi dhe vazhdon për 15 (pesëmbëdhjetë) ditë.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9. Procesi i trajtimit të kërkesave të subjekteve të shpronësuara duhet të kryhet në përputhje me këtë vendim dhe me afatin ligjor, të përcaktuar në pikën 2 të nenit 17 të ligjit nr. 9235, datë 29.7.2004 “Për kthimin dhe kompensimin e pronës”, të ndryshuar.</w:t>
      </w:r>
    </w:p>
    <w:p w:rsidR="00035900" w:rsidRPr="005C24A7" w:rsidRDefault="00035900" w:rsidP="00035900">
      <w:pPr>
        <w:pStyle w:val="Paragrafi"/>
        <w:rPr>
          <w:lang w:val="sq-AL"/>
        </w:rPr>
      </w:pP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10. Paraqitja e të dhënave të rreme ose fshehja e tyre nga subjektet e shpronësuara, në zbatim të këtij vendimi, sjell përjashtimin e menjëhershëm të këtyre subjekteve nga procedura e kompensimit në të holla dhe i ngarkon ata me përgjegjësi penale, sipas legjislacionit në fuqi.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11. Ngarkohen Ministria e Drejtësisë, Agjencia e Kthimit dhe Kompensimit të Pronave dhe Zyra e Regjistrimit të Pasurive të Paluajtshme për zbatimin e këtij vendimi.</w:t>
      </w:r>
    </w:p>
    <w:p w:rsidR="00035900" w:rsidRPr="005C24A7" w:rsidRDefault="00035900" w:rsidP="00035900">
      <w:pPr>
        <w:pStyle w:val="Paragrafi"/>
        <w:rPr>
          <w:lang w:val="sq-AL"/>
        </w:rPr>
      </w:pPr>
      <w:r w:rsidRPr="005C24A7">
        <w:rPr>
          <w:lang w:val="sq-AL"/>
        </w:rPr>
        <w:t>Ky vendim hyn në fuqi pas botimit në Fletoren Zyrtare.</w:t>
      </w:r>
    </w:p>
    <w:p w:rsidR="00035900" w:rsidRPr="005C24A7" w:rsidRDefault="00035900" w:rsidP="00035900">
      <w:pPr>
        <w:pStyle w:val="Autoriteti"/>
        <w:keepNext w:val="0"/>
        <w:rPr>
          <w:lang w:val="sq-AL"/>
        </w:rPr>
      </w:pPr>
      <w:r w:rsidRPr="005C24A7">
        <w:rPr>
          <w:lang w:val="sq-AL"/>
        </w:rPr>
        <w:t>Kryeministri</w:t>
      </w:r>
    </w:p>
    <w:p w:rsidR="00035900" w:rsidRPr="002F372E" w:rsidRDefault="00035900" w:rsidP="00035900">
      <w:pPr>
        <w:pStyle w:val="AutoritetiEmer"/>
        <w:rPr>
          <w:rStyle w:val="Strong"/>
          <w:b/>
          <w:bCs/>
          <w:lang w:val="sq-AL"/>
        </w:rPr>
      </w:pPr>
      <w:r w:rsidRPr="005C24A7">
        <w:rPr>
          <w:lang w:val="sq-AL"/>
        </w:rPr>
        <w:t>Sali Berisha</w:t>
      </w:r>
    </w:p>
    <w:p w:rsidR="00035900" w:rsidRDefault="00035900" w:rsidP="00035900">
      <w:pPr>
        <w:pStyle w:val="Paragrafi"/>
        <w:ind w:firstLine="0"/>
        <w:rPr>
          <w:rStyle w:val="Strong"/>
          <w:b w:val="0"/>
          <w:bCs w:val="0"/>
          <w:szCs w:val="28"/>
          <w:lang w:val="sq-AL"/>
        </w:rPr>
      </w:pPr>
    </w:p>
    <w:p w:rsidR="00035900" w:rsidRDefault="00326A6C" w:rsidP="00035900">
      <w:pPr>
        <w:pStyle w:val="Paragrafi"/>
        <w:ind w:firstLine="0"/>
        <w:rPr>
          <w:rStyle w:val="Strong"/>
          <w:b w:val="0"/>
          <w:bCs w:val="0"/>
          <w:szCs w:val="28"/>
          <w:lang w:val="sq-AL"/>
        </w:rPr>
      </w:pPr>
      <w:r w:rsidRPr="00035900">
        <w:rPr>
          <w:noProof/>
          <w:szCs w:val="28"/>
        </w:rPr>
        <w:drawing>
          <wp:inline distT="0" distB="0" distL="0" distR="0">
            <wp:extent cx="5753100" cy="3276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00" w:rsidRDefault="00326A6C" w:rsidP="00035900">
      <w:pPr>
        <w:pStyle w:val="Paragrafi"/>
        <w:ind w:firstLine="0"/>
        <w:rPr>
          <w:rStyle w:val="Strong"/>
          <w:b w:val="0"/>
          <w:bCs w:val="0"/>
          <w:szCs w:val="28"/>
          <w:lang w:val="sq-AL"/>
        </w:rPr>
      </w:pPr>
      <w:r w:rsidRPr="003E6D7C">
        <w:rPr>
          <w:noProof/>
        </w:rPr>
        <w:drawing>
          <wp:inline distT="0" distB="0" distL="0" distR="0">
            <wp:extent cx="5753100" cy="1466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28" b="60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00" w:rsidRDefault="00326A6C" w:rsidP="00035900">
      <w:pPr>
        <w:pStyle w:val="Paragrafi"/>
        <w:ind w:firstLine="0"/>
        <w:rPr>
          <w:rStyle w:val="Strong"/>
          <w:b w:val="0"/>
          <w:bCs w:val="0"/>
          <w:szCs w:val="28"/>
          <w:lang w:val="sq-AL"/>
        </w:rPr>
      </w:pPr>
      <w:r w:rsidRPr="00035900">
        <w:rPr>
          <w:noProof/>
          <w:szCs w:val="28"/>
        </w:rPr>
        <w:drawing>
          <wp:inline distT="0" distB="0" distL="0" distR="0">
            <wp:extent cx="5753100" cy="1809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00" w:rsidRDefault="00326A6C" w:rsidP="00035900">
      <w:pPr>
        <w:pStyle w:val="Paragrafi"/>
        <w:ind w:firstLine="0"/>
        <w:rPr>
          <w:rStyle w:val="Strong"/>
          <w:b w:val="0"/>
          <w:bCs w:val="0"/>
          <w:szCs w:val="28"/>
          <w:lang w:val="sq-AL"/>
        </w:rPr>
      </w:pPr>
      <w:r w:rsidRPr="003E6D7C">
        <w:rPr>
          <w:noProof/>
        </w:rPr>
        <w:drawing>
          <wp:inline distT="0" distB="0" distL="0" distR="0">
            <wp:extent cx="5753100" cy="73437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5900" w:rsidSect="00542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35900"/>
    <w:rsid w:val="00035900"/>
    <w:rsid w:val="00326A6C"/>
    <w:rsid w:val="0054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15B6B14-BE57-4D1C-873C-A942B23D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40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3590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03590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03590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03590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3590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3590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03590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3590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03590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03590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styleId="Strong">
    <w:name w:val="Strong"/>
    <w:basedOn w:val="DefaultParagraphFont"/>
    <w:uiPriority w:val="22"/>
    <w:qFormat/>
    <w:rsid w:val="00035900"/>
    <w:rPr>
      <w:b/>
      <w:bCs/>
    </w:rPr>
  </w:style>
  <w:style w:type="character" w:customStyle="1" w:styleId="TitulliChar">
    <w:name w:val="Titulli Char"/>
    <w:basedOn w:val="DefaultParagraphFont"/>
    <w:link w:val="Titulli"/>
    <w:rsid w:val="0003590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03590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3590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5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1221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2019-03-18T13:54:00Z</dcterms:created>
  <dcterms:modified xsi:type="dcterms:W3CDTF">2019-03-18T13:54:00Z</dcterms:modified>
</cp:coreProperties>
</file>