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F37" w:rsidRPr="00CA1580" w:rsidRDefault="00016F37" w:rsidP="00016F37">
      <w:pPr>
        <w:pStyle w:val="Akti"/>
        <w:keepNext w:val="0"/>
        <w:rPr>
          <w:lang w:val="sq-AL"/>
        </w:rPr>
      </w:pPr>
      <w:bookmarkStart w:id="0" w:name="_GoBack"/>
      <w:bookmarkEnd w:id="0"/>
      <w:r w:rsidRPr="00CA1580">
        <w:rPr>
          <w:lang w:val="sq-AL"/>
        </w:rPr>
        <w:t>VENDIM</w:t>
      </w:r>
    </w:p>
    <w:p w:rsidR="00016F37" w:rsidRPr="00CA1580" w:rsidRDefault="00016F37" w:rsidP="00016F37">
      <w:pPr>
        <w:pStyle w:val="NumriData"/>
        <w:keepNext w:val="0"/>
        <w:rPr>
          <w:lang w:val="sq-AL"/>
        </w:rPr>
      </w:pPr>
      <w:r w:rsidRPr="00CA1580">
        <w:rPr>
          <w:lang w:val="sq-AL"/>
        </w:rPr>
        <w:t>Nr. 695, datë 31.7.2013</w:t>
      </w:r>
    </w:p>
    <w:p w:rsidR="00016F37" w:rsidRPr="00E61F90" w:rsidRDefault="00016F37" w:rsidP="00016F37">
      <w:pPr>
        <w:pStyle w:val="Paragrafi"/>
        <w:rPr>
          <w:sz w:val="14"/>
          <w:lang w:val="sq-AL"/>
        </w:rPr>
      </w:pPr>
    </w:p>
    <w:p w:rsidR="00016F37" w:rsidRPr="00CA1580" w:rsidRDefault="00016F37" w:rsidP="00016F37">
      <w:pPr>
        <w:pStyle w:val="Titulli"/>
        <w:keepNext w:val="0"/>
        <w:rPr>
          <w:lang w:val="sq-AL"/>
        </w:rPr>
      </w:pPr>
      <w:r w:rsidRPr="00CA1580">
        <w:rPr>
          <w:lang w:val="sq-AL"/>
        </w:rPr>
        <w:t>PËR shpronËsimin, pËr INTERES PUBLIK, TË PRONARËVE TË PASURIVE TË PALUAJTSHME, PRONË PRIVATE, QË PREKEN NGA NDËRTIMI I SEGMENTIT RRUGOR “ZGJERIMI I RRUGËS SË ELBASANIT (FAKULTETI I HISTORISË DHE I FILOLOGJISË</w:t>
      </w:r>
      <w:r>
        <w:rPr>
          <w:lang w:val="sq-AL"/>
        </w:rPr>
        <w:t xml:space="preserve"> </w:t>
      </w:r>
      <w:r w:rsidRPr="00CA1580">
        <w:rPr>
          <w:lang w:val="sq-AL"/>
        </w:rPr>
        <w:t>-</w:t>
      </w:r>
      <w:r>
        <w:rPr>
          <w:lang w:val="sq-AL"/>
        </w:rPr>
        <w:t xml:space="preserve"> </w:t>
      </w:r>
      <w:r w:rsidRPr="00CA1580">
        <w:rPr>
          <w:lang w:val="sq-AL"/>
        </w:rPr>
        <w:t>UNAZA E MADHE E TIRANËS)”</w:t>
      </w:r>
    </w:p>
    <w:p w:rsidR="00016F37" w:rsidRPr="00CA1580" w:rsidRDefault="00016F37" w:rsidP="00016F37">
      <w:pPr>
        <w:pStyle w:val="Paragrafi"/>
        <w:rPr>
          <w:rFonts w:cs="Times New Roman"/>
          <w:lang w:val="sq-AL"/>
        </w:rPr>
      </w:pPr>
    </w:p>
    <w:p w:rsidR="00016F37" w:rsidRPr="00CA1580" w:rsidRDefault="00016F37" w:rsidP="00016F37">
      <w:pPr>
        <w:pStyle w:val="Paragrafi"/>
        <w:rPr>
          <w:rFonts w:cs="Times New Roman"/>
          <w:lang w:val="sq-AL"/>
        </w:rPr>
      </w:pPr>
      <w:r w:rsidRPr="00CA1580">
        <w:rPr>
          <w:rFonts w:cs="Times New Roman"/>
          <w:lang w:val="sq-AL"/>
        </w:rPr>
        <w:t>Në mbështetje të nenit 100 të Kushtetutës dhe të neneve 5 pika 1, 20 e 21 të ligjit nr.</w:t>
      </w:r>
      <w:r>
        <w:rPr>
          <w:rFonts w:cs="Times New Roman"/>
          <w:lang w:val="sq-AL"/>
        </w:rPr>
        <w:t xml:space="preserve"> </w:t>
      </w:r>
      <w:r w:rsidRPr="00CA1580">
        <w:rPr>
          <w:rFonts w:cs="Times New Roman"/>
          <w:lang w:val="sq-AL"/>
        </w:rPr>
        <w:t xml:space="preserve">8561, datë 22.12.1999 “Për shpronësimet dhe marrjen në përdorim të përkohshëm të pasurisë, pronë private, për interes publik”, me propozimin e Ministrit të Punëve Publike dhe Transportit, Këshilli i Ministrave </w:t>
      </w:r>
    </w:p>
    <w:p w:rsidR="00016F37" w:rsidRDefault="00016F37" w:rsidP="00016F37">
      <w:pPr>
        <w:pStyle w:val="VENDOSI"/>
        <w:keepNext w:val="0"/>
        <w:rPr>
          <w:lang w:val="sq-AL"/>
        </w:rPr>
      </w:pPr>
    </w:p>
    <w:p w:rsidR="00016F37" w:rsidRPr="00CA1580" w:rsidRDefault="00016F37" w:rsidP="00016F37">
      <w:pPr>
        <w:pStyle w:val="VENDOSI"/>
        <w:keepNext w:val="0"/>
        <w:rPr>
          <w:lang w:val="sq-AL"/>
        </w:rPr>
      </w:pPr>
      <w:r w:rsidRPr="00CA1580">
        <w:rPr>
          <w:lang w:val="sq-AL"/>
        </w:rPr>
        <w:t>VENDOSI:</w:t>
      </w:r>
    </w:p>
    <w:p w:rsidR="00016F37" w:rsidRPr="00CA1580" w:rsidRDefault="00016F37" w:rsidP="00016F37">
      <w:pPr>
        <w:pStyle w:val="Paragrafi"/>
        <w:rPr>
          <w:bCs/>
          <w:lang w:val="sq-AL"/>
        </w:rPr>
      </w:pPr>
    </w:p>
    <w:p w:rsidR="00016F37" w:rsidRPr="00CA1580" w:rsidRDefault="00016F37" w:rsidP="00016F37">
      <w:pPr>
        <w:pStyle w:val="Paragrafi"/>
        <w:rPr>
          <w:rFonts w:cs="Times New Roman"/>
          <w:lang w:val="sq-AL"/>
        </w:rPr>
      </w:pPr>
      <w:r w:rsidRPr="00CA1580">
        <w:rPr>
          <w:rFonts w:cs="Times New Roman"/>
          <w:lang w:val="sq-AL"/>
        </w:rPr>
        <w:t>1. Shpronësimin, për interes publik, të pronarëve të pasurive të paluajtshme, pronë private, që preken nga ndërtimi i segmentit rrugor “Zgjerimi i rrugës së Elbasanit (Fakulteti i Historisë dhe i Filologjisë - Unaza e Madhe e Tiranës)”.</w:t>
      </w:r>
    </w:p>
    <w:p w:rsidR="00016F37" w:rsidRPr="00CA1580" w:rsidRDefault="00016F37" w:rsidP="00016F37">
      <w:pPr>
        <w:pStyle w:val="Paragrafi"/>
        <w:rPr>
          <w:rFonts w:cs="Times New Roman"/>
          <w:lang w:val="sq-AL"/>
        </w:rPr>
      </w:pPr>
      <w:r w:rsidRPr="00CA1580">
        <w:rPr>
          <w:rFonts w:cs="Times New Roman"/>
          <w:lang w:val="sq-AL"/>
        </w:rPr>
        <w:t>2. Shpronësimi bëhet në favor të Autoritetit Rrugor Shqiptar.</w:t>
      </w:r>
    </w:p>
    <w:p w:rsidR="00016F37" w:rsidRPr="00CA1580" w:rsidRDefault="00016F37" w:rsidP="00016F37">
      <w:pPr>
        <w:pStyle w:val="Paragrafi"/>
        <w:rPr>
          <w:rFonts w:cs="Times New Roman"/>
          <w:lang w:val="sq-AL"/>
        </w:rPr>
      </w:pPr>
      <w:r w:rsidRPr="00CA1580">
        <w:rPr>
          <w:rFonts w:cs="Times New Roman"/>
          <w:lang w:val="sq-AL"/>
        </w:rPr>
        <w:t>3. Pronarët e pasurive të paluajtshme, që shpronësohen, të kompensohen në vlerë të plotë, sipas masës përkatëse, që paraqitet në tabelën bashkëlidhur  këtij vendimi, për sipërfaqen me vlerë të përgjithshme shpronësimi prej 200 603 463 (dyqind milionë e gjashtëqind e tri mijë e katërqind e gjashtëdhjetë e tre) lekësh, dhe për objekte me vlerë 20 212 834 (njëzet milionë e dyqind e dymbëdhjetë mijë e tetëqind e tridhjetë e katër) lekë.</w:t>
      </w:r>
    </w:p>
    <w:p w:rsidR="00016F37" w:rsidRPr="00CA1580" w:rsidRDefault="00016F37" w:rsidP="00016F37">
      <w:pPr>
        <w:pStyle w:val="Paragrafi"/>
        <w:rPr>
          <w:rFonts w:cs="Times New Roman"/>
          <w:lang w:val="sq-AL"/>
        </w:rPr>
      </w:pPr>
      <w:r w:rsidRPr="00CA1580">
        <w:rPr>
          <w:rFonts w:cs="Times New Roman"/>
          <w:lang w:val="sq-AL"/>
        </w:rPr>
        <w:t>4. Vlera e plotë e shpronësimit, prej 220 816 297 (dyqind e njëzet milionë e tetëqind e gjashtëmbëdhjetë mijë e dyqind e nëntëdhjetë e shtatë) lekësh, të përballohet në masën 136 904 720 (njëqind e tridhjetë e gjashtë milionë e nëntëqind e katër mijë e shtatëqind e njëzet) lekë nga zëri “Fondi i shpronësimeve”, në llogarinë e veçantë të Ministrisë së Financave pranë Bankës së Shqipërisë, ndërsa pjesa e mbetur, në masën 83 911 577 (tetëdhjetë e tre milionë e nëntëqind e njëmbëdhjetë mijë e pesëqind e shtatëdhjetë e shtatë) lekë, do të përballohet sipas mënyrës që do të përcaktohet me vendim të veçantë të Këshillit të Ministrave.</w:t>
      </w:r>
    </w:p>
    <w:p w:rsidR="00016F37" w:rsidRPr="00CA1580" w:rsidRDefault="00016F37" w:rsidP="00016F37">
      <w:pPr>
        <w:pStyle w:val="Paragrafi"/>
        <w:rPr>
          <w:rFonts w:cs="Times New Roman"/>
          <w:lang w:val="sq-AL"/>
        </w:rPr>
      </w:pPr>
      <w:r w:rsidRPr="00CA1580">
        <w:rPr>
          <w:rFonts w:cs="Times New Roman"/>
          <w:lang w:val="sq-AL"/>
        </w:rPr>
        <w:t>Vlera e vënë në dispozicion, në masën 136 904 720 (njëqind e tridhjetë e gjashtë milionë e nëntëqind e katër mijë e shtatëqind e njëzet) lekë, do t’u paguhet pronarëve të shpronësuar në përpjesëtim të drejtë me masën përkatëse që u takon, sipas tabelës bashkëlidhur këtij vendimi.</w:t>
      </w:r>
    </w:p>
    <w:p w:rsidR="00016F37" w:rsidRPr="00CA1580" w:rsidRDefault="00016F37" w:rsidP="00016F37">
      <w:pPr>
        <w:pStyle w:val="Paragrafi"/>
        <w:rPr>
          <w:rFonts w:cs="Times New Roman"/>
          <w:lang w:val="sq-AL"/>
        </w:rPr>
      </w:pPr>
      <w:r w:rsidRPr="00CA1580">
        <w:rPr>
          <w:rFonts w:cs="Times New Roman"/>
          <w:lang w:val="sq-AL"/>
        </w:rPr>
        <w:t>5. Shpenzimet procedurale, në vlerën 890 000 (tetëqind e nëntëdhjetë mijë) lekë, të përballohen nga Autoriteti Rrugor Shqiptar.</w:t>
      </w:r>
    </w:p>
    <w:p w:rsidR="00016F37" w:rsidRPr="00CA1580" w:rsidRDefault="00016F37" w:rsidP="00016F37">
      <w:pPr>
        <w:pStyle w:val="Paragrafi"/>
        <w:rPr>
          <w:rFonts w:cs="Times New Roman"/>
          <w:lang w:val="sq-AL"/>
        </w:rPr>
      </w:pPr>
      <w:r w:rsidRPr="00CA1580">
        <w:rPr>
          <w:rFonts w:cs="Times New Roman"/>
          <w:lang w:val="sq-AL"/>
        </w:rPr>
        <w:t>6. Shpronësimi të fillojë më 15.8.2013.</w:t>
      </w:r>
    </w:p>
    <w:p w:rsidR="00016F37" w:rsidRPr="00CA1580" w:rsidRDefault="00016F37" w:rsidP="00016F37">
      <w:pPr>
        <w:pStyle w:val="Paragrafi"/>
        <w:rPr>
          <w:rFonts w:cs="Times New Roman"/>
          <w:lang w:val="sq-AL"/>
        </w:rPr>
      </w:pPr>
      <w:r w:rsidRPr="00CA1580">
        <w:rPr>
          <w:rFonts w:cs="Times New Roman"/>
          <w:lang w:val="sq-AL"/>
        </w:rPr>
        <w:t>7. Për objektet, për të cilat në kolonën përkatëse është bërë shënimi “Proces legalizimi”, poseduesit e këtyre objekteve të likuidohen, për efekt shpronësimi, pasi të ketë përfunduar procesi i legalizimit dhe ai i regjistrimit pranë ZVRPP-së Tiranë, fakt i cili do të konfirmohet zyrtarisht nga kjo e fundit, si dhe pasi të kenë dorëzuar dokumentacionin e plotë të pronësisë pranë ARSH-së.</w:t>
      </w:r>
    </w:p>
    <w:p w:rsidR="00016F37" w:rsidRPr="00CA1580" w:rsidRDefault="00016F37" w:rsidP="00016F37">
      <w:pPr>
        <w:pStyle w:val="Paragrafi"/>
        <w:rPr>
          <w:rFonts w:cs="Times New Roman"/>
          <w:lang w:val="sq-AL"/>
        </w:rPr>
      </w:pPr>
      <w:r w:rsidRPr="00CA1580">
        <w:rPr>
          <w:rFonts w:cs="Times New Roman"/>
          <w:lang w:val="sq-AL"/>
        </w:rPr>
        <w:t>8. Për pasurinë me pronar “të papërcaktuar”, për të cilën është bërë shënimi “Konflikt gjyqësor”, të likuidohet, për efekt shpronësimi, personi i cili do të rezultojë pronar me vendim të formës së prerë të gjykatës, kjo në përputhje me nenin 16/2, të ligjit nr.</w:t>
      </w:r>
      <w:r>
        <w:rPr>
          <w:rFonts w:cs="Times New Roman"/>
          <w:lang w:val="sq-AL"/>
        </w:rPr>
        <w:t xml:space="preserve"> </w:t>
      </w:r>
      <w:r w:rsidRPr="00CA1580">
        <w:rPr>
          <w:rFonts w:cs="Times New Roman"/>
          <w:lang w:val="sq-AL"/>
        </w:rPr>
        <w:t>8561, datë 22.12.1999 “Për shpronësimin dhe marrjen në përdorim të përkohshëm të pasurisë, pronë private, për interes publik”, si dhe në bazë të dokumentacionit të plotë ligjor, që do të dorëzojë pranë Autoritetit Rrugor Shqiptar.</w:t>
      </w:r>
    </w:p>
    <w:p w:rsidR="00016F37" w:rsidRPr="00CA1580" w:rsidRDefault="00016F37" w:rsidP="00016F37">
      <w:pPr>
        <w:pStyle w:val="Paragrafi"/>
        <w:rPr>
          <w:rFonts w:cs="Times New Roman"/>
          <w:lang w:val="sq-AL"/>
        </w:rPr>
      </w:pPr>
      <w:r w:rsidRPr="00CA1580">
        <w:rPr>
          <w:rFonts w:cs="Times New Roman"/>
          <w:lang w:val="sq-AL"/>
        </w:rPr>
        <w:t>9. Autoriteti Rrugor Shqiptar të kryejë likuidimin e pronarëve sipas pikave 7, 8 e 9 të këtij vendimi, në bazë të dokumentacionit të plotë të pronësisë.</w:t>
      </w:r>
    </w:p>
    <w:p w:rsidR="00016F37" w:rsidRPr="00CA1580" w:rsidRDefault="00016F37" w:rsidP="00016F37">
      <w:pPr>
        <w:pStyle w:val="Paragrafi"/>
        <w:rPr>
          <w:rFonts w:cs="Times New Roman"/>
          <w:lang w:val="sq-AL"/>
        </w:rPr>
      </w:pPr>
      <w:r w:rsidRPr="00CA1580">
        <w:rPr>
          <w:rFonts w:cs="Times New Roman"/>
          <w:lang w:val="sq-AL"/>
        </w:rPr>
        <w:t>10. Brenda 30 (tridhjetë)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në hartat kadastrale, sipas planimetrisë së shpronësimit, që do t’u vihet në dispozicion nga Autoriteti Rrugor Shqiptar, dhe të bëjnë kalimin e pronësisë për pasuritë e shpronësuara në favor të shtetit.</w:t>
      </w:r>
    </w:p>
    <w:p w:rsidR="00016F37" w:rsidRPr="00CA1580" w:rsidRDefault="00016F37" w:rsidP="00016F37">
      <w:pPr>
        <w:pStyle w:val="Paragrafi"/>
        <w:rPr>
          <w:rFonts w:cs="Times New Roman"/>
          <w:lang w:val="sq-AL"/>
        </w:rPr>
      </w:pPr>
      <w:r w:rsidRPr="00CA1580">
        <w:rPr>
          <w:rFonts w:cs="Times New Roman"/>
          <w:lang w:val="sq-AL"/>
        </w:rPr>
        <w:t>11. Zyra Qendrore e Regjistrimit të Pasurive të Paluajtshme dhe Zyra Vendore e Regjistrimit të Pasurive të Paluajtshme, Tiranë, të pezullojnë të gjitha transaksionet me pasuritë e shpronësuara deri në momentin kur do të realizohen procesi i hedhjes së trupit të rrugës në hartat kadastrale dhe kalimi i pronësisë për pasuritë e shpronësuara.</w:t>
      </w:r>
    </w:p>
    <w:p w:rsidR="00016F37" w:rsidRPr="00CA1580" w:rsidRDefault="00016F37" w:rsidP="00016F37">
      <w:pPr>
        <w:pStyle w:val="Paragrafi"/>
        <w:rPr>
          <w:rFonts w:cs="Times New Roman"/>
          <w:lang w:val="sq-AL"/>
        </w:rPr>
      </w:pPr>
      <w:r w:rsidRPr="00CA1580">
        <w:rPr>
          <w:rFonts w:cs="Times New Roman"/>
          <w:lang w:val="sq-AL"/>
        </w:rPr>
        <w:t>12. Ngarkohen Ministria e Punëve Publike dhe Transportit, Ministria e Financave, Autoriteti Rrugor Shqiptar, Zyra Qendrore e Regjistrimit të Pasurive të Paluajtshme dhe Zyra Vendore e Regjistrimit të Pasurive të Paluajtshme, Tiranë, për zbatimin e këtij vendimi.</w:t>
      </w:r>
    </w:p>
    <w:p w:rsidR="00016F37" w:rsidRPr="00CA1580" w:rsidRDefault="00016F37" w:rsidP="00016F37">
      <w:pPr>
        <w:pStyle w:val="Paragrafi"/>
        <w:rPr>
          <w:rFonts w:cs="Times New Roman"/>
          <w:lang w:val="sq-AL"/>
        </w:rPr>
      </w:pPr>
      <w:r w:rsidRPr="00CA1580">
        <w:rPr>
          <w:rFonts w:cs="Times New Roman"/>
          <w:lang w:val="sq-AL"/>
        </w:rPr>
        <w:t xml:space="preserve"> Ky vendim hyn në fuqi menjëherë dhe botohet në Fletoren Zyrtare.  </w:t>
      </w:r>
    </w:p>
    <w:p w:rsidR="00016F37" w:rsidRPr="00CA1580" w:rsidRDefault="00016F37" w:rsidP="00016F37">
      <w:pPr>
        <w:pStyle w:val="Paragrafi"/>
        <w:rPr>
          <w:rFonts w:cs="Times New Roman"/>
          <w:lang w:val="sq-AL"/>
        </w:rPr>
      </w:pPr>
      <w:r w:rsidRPr="00CA1580">
        <w:rPr>
          <w:rFonts w:cs="Times New Roman"/>
          <w:lang w:val="sq-AL"/>
        </w:rPr>
        <w:t xml:space="preserve">        </w:t>
      </w:r>
    </w:p>
    <w:p w:rsidR="00016F37" w:rsidRPr="00CA1580" w:rsidRDefault="00016F37" w:rsidP="00016F37">
      <w:pPr>
        <w:pStyle w:val="Autoriteti"/>
        <w:keepNext w:val="0"/>
        <w:rPr>
          <w:lang w:val="sq-AL"/>
        </w:rPr>
      </w:pPr>
      <w:r w:rsidRPr="00CA1580">
        <w:rPr>
          <w:lang w:val="sq-AL"/>
        </w:rPr>
        <w:t>Kryeministri</w:t>
      </w:r>
    </w:p>
    <w:p w:rsidR="00016F37" w:rsidRPr="00CA1580" w:rsidRDefault="00016F37" w:rsidP="00016F37">
      <w:pPr>
        <w:pStyle w:val="AutoritetiEmer"/>
        <w:rPr>
          <w:lang w:val="sq-AL"/>
        </w:rPr>
      </w:pPr>
      <w:r w:rsidRPr="00CA1580">
        <w:rPr>
          <w:lang w:val="sq-AL"/>
        </w:rPr>
        <w:t>Sali Berisha</w:t>
      </w: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E10928" w:rsidP="00016F37">
      <w:pPr>
        <w:pStyle w:val="Paragrafi"/>
        <w:ind w:firstLine="0"/>
        <w:jc w:val="center"/>
        <w:rPr>
          <w:lang w:val="sq-AL"/>
        </w:rPr>
      </w:pPr>
      <w:r w:rsidRPr="00CA1580">
        <w:rPr>
          <w:noProof/>
        </w:rPr>
        <mc:AlternateContent>
          <mc:Choice Requires="wps">
            <w:drawing>
              <wp:anchor distT="0" distB="0" distL="114300" distR="114300" simplePos="0" relativeHeight="251656704" behindDoc="0" locked="0" layoutInCell="1" allowOverlap="1">
                <wp:simplePos x="0" y="0"/>
                <wp:positionH relativeFrom="column">
                  <wp:posOffset>5650230</wp:posOffset>
                </wp:positionH>
                <wp:positionV relativeFrom="paragraph">
                  <wp:posOffset>77470</wp:posOffset>
                </wp:positionV>
                <wp:extent cx="27305" cy="1303020"/>
                <wp:effectExtent l="11430" t="10795" r="8890" b="1016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05" cy="1303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E5463A" id="_x0000_t32" coordsize="21600,21600" o:spt="32" o:oned="t" path="m,l21600,21600e" filled="f">
                <v:path arrowok="t" fillok="f" o:connecttype="none"/>
                <o:lock v:ext="edit" shapetype="t"/>
              </v:shapetype>
              <v:shape id="AutoShape 3" o:spid="_x0000_s1026" type="#_x0000_t32" style="position:absolute;margin-left:444.9pt;margin-top:6.1pt;width:2.15pt;height:102.6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le8KgIAAEk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"/>
            </w:pict>
          </mc:Fallback>
        </mc:AlternateContent>
      </w:r>
      <w:r w:rsidRPr="00D45202">
        <w:rPr>
          <w:noProof/>
        </w:rPr>
        <w:drawing>
          <wp:inline distT="0" distB="0" distL="0" distR="0">
            <wp:extent cx="5762625" cy="7429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62625" cy="7429500"/>
                    </a:xfrm>
                    <a:prstGeom prst="rect">
                      <a:avLst/>
                    </a:prstGeom>
                    <a:noFill/>
                    <a:ln>
                      <a:noFill/>
                    </a:ln>
                  </pic:spPr>
                </pic:pic>
              </a:graphicData>
            </a:graphic>
          </wp:inline>
        </w:drawing>
      </w: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016F37" w:rsidP="00016F37">
      <w:pPr>
        <w:pStyle w:val="Paragrafi"/>
        <w:rPr>
          <w:lang w:val="sq-AL"/>
        </w:rPr>
      </w:pPr>
    </w:p>
    <w:p w:rsidR="00016F37" w:rsidRPr="00CA1580" w:rsidRDefault="00E10928" w:rsidP="00016F37">
      <w:pPr>
        <w:pStyle w:val="Paragrafi"/>
        <w:ind w:firstLine="0"/>
        <w:rPr>
          <w:lang w:val="sq-AL"/>
        </w:rPr>
      </w:pPr>
      <w:r w:rsidRPr="00CA1580">
        <w:rPr>
          <w:noProof/>
        </w:rPr>
        <mc:AlternateContent>
          <mc:Choice Requires="wps">
            <w:drawing>
              <wp:anchor distT="0" distB="0" distL="114300" distR="114300" simplePos="0" relativeHeight="251658752" behindDoc="0" locked="0" layoutInCell="1" allowOverlap="1">
                <wp:simplePos x="0" y="0"/>
                <wp:positionH relativeFrom="column">
                  <wp:posOffset>170815</wp:posOffset>
                </wp:positionH>
                <wp:positionV relativeFrom="paragraph">
                  <wp:posOffset>4961255</wp:posOffset>
                </wp:positionV>
                <wp:extent cx="0" cy="730250"/>
                <wp:effectExtent l="8890" t="8255" r="10160" b="1397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124F39" id="AutoShape 5" o:spid="_x0000_s1026" type="#_x0000_t32" style="position:absolute;margin-left:13.45pt;margin-top:390.65pt;width:0;height: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"/>
            </w:pict>
          </mc:Fallback>
        </mc:AlternateContent>
      </w:r>
      <w:r w:rsidRPr="00CA1580">
        <w:rPr>
          <w:noProof/>
        </w:rPr>
        <mc:AlternateContent>
          <mc:Choice Requires="wps">
            <w:drawing>
              <wp:anchor distT="0" distB="0" distL="114300" distR="114300" simplePos="0" relativeHeight="251657728" behindDoc="0" locked="0" layoutInCell="1" allowOverlap="1">
                <wp:simplePos x="0" y="0"/>
                <wp:positionH relativeFrom="column">
                  <wp:posOffset>170815</wp:posOffset>
                </wp:positionH>
                <wp:positionV relativeFrom="paragraph">
                  <wp:posOffset>3528060</wp:posOffset>
                </wp:positionV>
                <wp:extent cx="6985" cy="894080"/>
                <wp:effectExtent l="8890" t="13335" r="12700" b="698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894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58D4D9" id="AutoShape 4" o:spid="_x0000_s1026" type="#_x0000_t32" style="position:absolute;margin-left:13.45pt;margin-top:277.8pt;width:.55pt;height:7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"/>
            </w:pict>
          </mc:Fallback>
        </mc:AlternateContent>
      </w:r>
      <w:r w:rsidRPr="00D45202">
        <w:rPr>
          <w:noProof/>
        </w:rPr>
        <w:drawing>
          <wp:inline distT="0" distB="0" distL="0" distR="0">
            <wp:extent cx="4305300" cy="788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05300" cy="7886700"/>
                    </a:xfrm>
                    <a:prstGeom prst="rect">
                      <a:avLst/>
                    </a:prstGeom>
                    <a:noFill/>
                    <a:ln>
                      <a:noFill/>
                    </a:ln>
                  </pic:spPr>
                </pic:pic>
              </a:graphicData>
            </a:graphic>
          </wp:inline>
        </w:drawing>
      </w:r>
    </w:p>
    <w:p w:rsidR="00016F37" w:rsidRPr="00CA1580" w:rsidRDefault="00E10928" w:rsidP="00016F37">
      <w:pPr>
        <w:pStyle w:val="Paragrafi"/>
        <w:ind w:firstLine="0"/>
        <w:rPr>
          <w:lang w:val="sq-AL"/>
        </w:rPr>
      </w:pPr>
      <w:r w:rsidRPr="00D45202">
        <w:rPr>
          <w:noProof/>
        </w:rPr>
        <w:drawing>
          <wp:inline distT="0" distB="0" distL="0" distR="0">
            <wp:extent cx="5753100" cy="37147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3100" cy="3714750"/>
                    </a:xfrm>
                    <a:prstGeom prst="rect">
                      <a:avLst/>
                    </a:prstGeom>
                    <a:noFill/>
                    <a:ln>
                      <a:noFill/>
                    </a:ln>
                  </pic:spPr>
                </pic:pic>
              </a:graphicData>
            </a:graphic>
          </wp:inline>
        </w:drawing>
      </w:r>
    </w:p>
    <w:sectPr w:rsidR="00016F37" w:rsidRPr="00CA1580" w:rsidSect="0073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16F37"/>
    <w:rsid w:val="00016F37"/>
    <w:rsid w:val="00730F0E"/>
    <w:rsid w:val="00E1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7"/>
        <o:r id="V:Rule2" type="connector" idref="#_x0000_s1028"/>
        <o:r id="V:Rule3" type="connector" idref="#_x0000_s1029"/>
      </o:rules>
    </o:shapelayout>
  </w:shapeDefaults>
  <w:decimalSymbol w:val="."/>
  <w:listSeparator w:val=","/>
  <w15:chartTrackingRefBased/>
  <w15:docId w15:val="{CC584DE0-EEA7-4D2B-91E9-E666DBE6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F0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16F37"/>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016F37"/>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016F37"/>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016F37"/>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016F37"/>
    <w:rPr>
      <w:rFonts w:ascii="CG Times" w:eastAsia="MS Mincho" w:hAnsi="CG Times" w:cs="CG Times"/>
      <w:b/>
      <w:bCs/>
      <w:sz w:val="22"/>
      <w:szCs w:val="22"/>
      <w:lang w:val="en-GB" w:eastAsia="en-US" w:bidi="ar-SA"/>
    </w:rPr>
  </w:style>
  <w:style w:type="paragraph" w:customStyle="1" w:styleId="Paragrafi">
    <w:name w:val="Paragrafi"/>
    <w:link w:val="ParagrafiChar"/>
    <w:rsid w:val="00016F37"/>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016F37"/>
    <w:rPr>
      <w:rFonts w:ascii="CG Times" w:eastAsia="MS Mincho" w:hAnsi="CG Times" w:cs="CG Times"/>
      <w:sz w:val="22"/>
      <w:szCs w:val="22"/>
      <w:lang w:val="en-US" w:eastAsia="en-US" w:bidi="ar-SA"/>
    </w:rPr>
  </w:style>
  <w:style w:type="paragraph" w:customStyle="1" w:styleId="Titulli">
    <w:name w:val="Titulli"/>
    <w:next w:val="Normal"/>
    <w:link w:val="TitulliChar"/>
    <w:rsid w:val="00016F37"/>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016F37"/>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016F37"/>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016F37"/>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016F37"/>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016F37"/>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016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6F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698</Words>
  <Characters>3980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2019-03-18T14:00:00Z</dcterms:created>
  <dcterms:modified xsi:type="dcterms:W3CDTF">2019-03-18T14:00:00Z</dcterms:modified>
</cp:coreProperties>
</file>