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7A3" w:rsidRPr="00AD54F0" w:rsidRDefault="007B37A3" w:rsidP="007B37A3">
      <w:pPr>
        <w:pStyle w:val="Akti"/>
        <w:keepNext w:val="0"/>
        <w:rPr>
          <w:lang w:val="sq-AL"/>
        </w:rPr>
      </w:pPr>
      <w:bookmarkStart w:id="0" w:name="_GoBack"/>
      <w:bookmarkEnd w:id="0"/>
      <w:r w:rsidRPr="00AD54F0">
        <w:rPr>
          <w:lang w:val="sq-AL"/>
        </w:rPr>
        <w:t>VENDIM</w:t>
      </w:r>
    </w:p>
    <w:p w:rsidR="007B37A3" w:rsidRPr="00AD54F0" w:rsidRDefault="007B37A3" w:rsidP="007B37A3">
      <w:pPr>
        <w:pStyle w:val="NumriData"/>
        <w:keepNext w:val="0"/>
        <w:rPr>
          <w:lang w:val="sq-AL"/>
        </w:rPr>
      </w:pPr>
      <w:r w:rsidRPr="00AD54F0">
        <w:rPr>
          <w:lang w:val="sq-AL"/>
        </w:rPr>
        <w:t>Nr. 712, datë 31.7.2013</w:t>
      </w:r>
    </w:p>
    <w:p w:rsidR="007B37A3" w:rsidRPr="00AD54F0" w:rsidRDefault="007B37A3" w:rsidP="007B37A3">
      <w:pPr>
        <w:pStyle w:val="Paragrafi"/>
        <w:rPr>
          <w:lang w:val="sq-AL"/>
        </w:rPr>
      </w:pPr>
    </w:p>
    <w:p w:rsidR="007B37A3" w:rsidRPr="00AD54F0" w:rsidRDefault="007B37A3" w:rsidP="007B37A3">
      <w:pPr>
        <w:pStyle w:val="Titulli"/>
        <w:keepNext w:val="0"/>
        <w:rPr>
          <w:lang w:val="sq-AL"/>
        </w:rPr>
      </w:pPr>
      <w:r w:rsidRPr="00AD54F0">
        <w:rPr>
          <w:lang w:val="sq-AL"/>
        </w:rPr>
        <w:t>PËR PËRCAKTIMIN E PROCEDURAVE TË KONKURRIMIT PUBLIK PËR TË DREJTËN E PESHKIMIT në ujërat e brendshme TË REPUBLIKËS SË SHQIPËRISË</w:t>
      </w:r>
      <w:r>
        <w:rPr>
          <w:rStyle w:val="FootnoteReference"/>
          <w:lang w:val="sq-AL"/>
        </w:rPr>
        <w:footnoteReference w:id="1"/>
      </w:r>
    </w:p>
    <w:p w:rsidR="007B37A3" w:rsidRPr="00AD54F0" w:rsidRDefault="007B37A3" w:rsidP="007B37A3">
      <w:pPr>
        <w:pStyle w:val="Paragrafi"/>
        <w:rPr>
          <w:lang w:val="sq-AL"/>
        </w:rPr>
      </w:pP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Në mbështetje të nenit 100 të Kushtetutës dhe të pikës 3 të nenit 52 të ligjit nr. 64/2012, datë 31.5.2012 “Për peshkimin”, me propozimin e Ministrit të Mjedisit, Pyjeve dhe Administrimit të Ujërave, Këshilli i Ministrave</w:t>
      </w:r>
    </w:p>
    <w:p w:rsidR="007B37A3" w:rsidRPr="00AD54F0" w:rsidRDefault="007B37A3" w:rsidP="007B37A3">
      <w:pPr>
        <w:pStyle w:val="Paragrafi"/>
        <w:rPr>
          <w:lang w:val="sq-AL"/>
        </w:rPr>
      </w:pPr>
    </w:p>
    <w:p w:rsidR="007B37A3" w:rsidRPr="00AD54F0" w:rsidRDefault="007B37A3" w:rsidP="007B37A3">
      <w:pPr>
        <w:pStyle w:val="VENDOSI"/>
        <w:keepNext w:val="0"/>
        <w:rPr>
          <w:lang w:val="sq-AL"/>
        </w:rPr>
      </w:pPr>
      <w:r w:rsidRPr="00AD54F0">
        <w:rPr>
          <w:lang w:val="sq-AL"/>
        </w:rPr>
        <w:t>VENDOSI:</w:t>
      </w:r>
    </w:p>
    <w:p w:rsidR="007B37A3" w:rsidRPr="00AD54F0" w:rsidRDefault="007B37A3" w:rsidP="007B37A3">
      <w:pPr>
        <w:pStyle w:val="Paragrafi"/>
        <w:rPr>
          <w:lang w:val="sq-AL"/>
        </w:rPr>
      </w:pP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 xml:space="preserve">1. Miratimin e rregullave, të procedurave e të afateve për zhvillimin e procedurës së konkurrimit publik për fitimin e së drejtës së peshkimit në ujërat e brendshme. </w:t>
      </w:r>
    </w:p>
    <w:p w:rsidR="007B37A3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2. Ky vendim ka për qëllim sigurimin e një shfrytëzimi racional dhe të përgjegjshëm të burimeve biologjike të ujërave të brendshme të Republikës së Shqipërisë.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3. Të gjithë termat e përcaktuar në këtë vend</w:t>
      </w:r>
      <w:r>
        <w:rPr>
          <w:lang w:val="sq-AL"/>
        </w:rPr>
        <w:t>im kanë të njëjtin kuptim me ata të përcaktuar</w:t>
      </w:r>
      <w:r w:rsidRPr="00AD54F0">
        <w:rPr>
          <w:lang w:val="sq-AL"/>
        </w:rPr>
        <w:t xml:space="preserve"> në ligjin nr. 64/2012 “Për peshkimin”. 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4. Nëpërmjet këtij vendimi përcaktohen rregullat, kriteret dhe procedurat për: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aplikimin për leje peshkimi për ujërat e brendshme, shqyrtimin e kërkesës dhe të dokumentacionit që e shoqëron atë si dhe lëshimin e aktit të miratimit të saj;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mënyrën e zhvillimit të konkurrimit publik për peshkimin në ujërat e brendshme;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zbatimin korrekt të kushteve të dhënies së lejeve, nëpërmjet kritereve, ligjore e teknike, të përcaktuara në kontratë dhe/ose në lejen përkatëse.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5. Të drejtën e peshkimit në ujërat e brendshme e gëzojnë subjektet, të cilat duhet të jenë persona, fizikë dhe/ose juridikë, të regjistruar në regjistrin tregtar të Qendrës Kombëtare të Regjistrimit (QKR) dhe që shpallen fitues nëpërmjet procedurës së konkurrimit publik.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6. Peshkimi në ujërat e brendshme për zonat bashkëmenaxhuese të miratuara me vendim të Këshillit të Ministrave, sipas përcaktimit në nenet 54 e 55 të ligjit nr. 64/2012, ku ministria bashkëpunon me organizatat funksionale të menaxhimit të peshkimit (OMP) ushtrohet në bazë të planit të bashkëmenaxhimit.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7. Në këto kategori ujore, të shpallura si zona bashkëmenaxhimi, ku funksionojnë organizatat e menaxhimit të peshkimit (OMP), të njohura sipas ligjit si persona juridikë privatë, ministria lidh kontratë me OMP-në. Modeli i kontratës tip miratohet me urdhër të ministrit.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8. OMP-ja pajis anëtarët e vet, peshkatarë, me lejen përkatëse për ushtrimin e së drejtës së veprimtarisë së peshkimit, sipas modelit të lejes tip, të miratuar nga ministri.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9. Numri maksimal i lejeve të peshkimit në zonat e bashkëmenaxhimit përcaktohet çdo vit nga ministria, sipas planit të administrimit të peshkimit.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10. Në kategoritë ujore ku nuk funksionojnë OMP-të, sipas pikës 7 të këtij vendimi, subjektet e interesuara për zhvillimin e aktivitetit të peshkimit paraqesin në ministri dokumentacionin e përgjithshëm, si më poshtë vijon: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kërkesë me shkrim për zhvillimin e veprimtarisë së peshkimit;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regjistrimin në QKR për objektin e veprimtarisë, së bashku me ekstraktin historik;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planbiznesin për zhvillimin e veprimtarisë;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projektin teknik dhe dokumentacionin e nevojshëm tekniko-ligjor;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d) të dhëna për nivelin e punësimit;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dh) të dhëna për nivelin e investimit;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e) vetëdeklarimin se veprimtaria përputhet me planin e bashkëmenaxhimit të peshkimit për ato ujëra të brendshme ku, plani është miratuar me vendim të Këshillit të Ministrave, si dhe me kërkesat mjedisore të zonës;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ë) mandatpagesën e tarifës së shërbimit;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f) vërtetimin nga organet tatimore të gjashtë muajve të fundit, që subjekti nuk ka detyrime tatimore.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11. Përveç dokumentacionit të përcaktuar në pikën 10 të këtij vendimi, subjektet e interesuara paraqesin për konkurrim, sipas kategorive ujore dhe llojit të aktivitetit, edhe dokumentacionin e veçantë, si më poshtë vijon: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A. Për ujëmbledhësit e bujqësisë: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marrëveshje ose kontratë përdorimi të ujit ose të ujëmbledhësit me përfaqësuesin e organit që administron atë ujëmbledhës;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hartë topografike në shkallën 1:25 000, si dhe karakteristikat teknike të ujëmbledhësit të dhëna nga bordi i kullimit;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garancinë financiare, të mjaftueshme për përballimin e investimeve të parashikuara në planbiznes.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B. Për lagunat bregdetare, jo me dajlan: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hartë topografike në shkallën 1:25 000;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planvendosjen e instalimeve peshkore me koordinata metrike, në sistemin Gauss-Krüger;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llojin e mjeteve të peshkimit;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sasinë (gjatësi dhe/ose numër);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d) garancinë financiare, të mjaftueshme për përballimin e investimeve të parashikuara në planbiznes.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C. Për lumenjtë, bilance dhe stavnikë: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planvendosjen e instalimit të mjetit/mjeteve të peshkimit me koordinata metrike, duke treguar distancën nga subjekti më i afërt i peshkimit apo i ndonjë aktiviteti tjetër;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të dhëna për llojin e mjeteve të peshkimit;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sasinë e mjeteve të peshkimit (gjatësi dhe/ose numër);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 xml:space="preserve">ç) garancinë financiare, të mjaftueshme për përballimin e 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investimeve të parashikuara në planbiznes.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Për peshkimin artizanal, me instalim stavniku në laguna dhe bregdet: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planvendosjen ku do të instalohen mjetet e peshkimit (stavniku), me koordinata metrike në sistemin Gauss-Krüger, duke përcaktuar distancat nga subjekti më i afërt i peshkimit apo aktiviteti të akuakulturës dhe distanca nga bregu;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të dhëna për llojin e mjeteve dhe veglave të peshkimit (gjatësia dhe sasia e tyre);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sasinë e mjeteve të lundrimit dhe dokumentacionin përkatës të tyre;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garancinë financiare, të mjaftueshme për përballimin e investimeve të parashikuara në planbiznes.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D. Për lagunat bregdetare me instalim dajlani: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hartat e lagunës/njësisë lagunore me karakteristikat fizike (sipërfaqja, gryka/t e komunikimit me detin etj.). Harta topografike duhet të jetë me shkallën 1:25 000;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planin e instalimit të dajlanit dhe projektin teknik të tij;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të dhëna për llojin, sasinë e mjeteve dhe të veglave të tjera të peshkimit;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planin e administrimit të lagunës;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d) garancinë financiare, të mjaftueshme për përballimin e investimeve të parashikuara në planbiznes.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12. Kërkesat për zhvillimin e veprimtarisë së peshkimit në ujërat e brendshme së bashku me statusin e objektit ujor të kërkuar grumbullohen, verifikohen dhe regjistrohen në ministri. Objektet ujore, pasi seleksionohen dhe kategorizohen, renditen në listën për shpallje për konkurrim publik.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13. Për kryerjen e procedurave të konkurrimit publik për ushtrimin e veprimtarisë së peshkimit në ujërat e brendshme, me urdhër të ministrit krijohet Komisioni i Vlerësimit të Kërkesave.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14. Komisioni i Vlerësimit të Kërkesave, në përmbushje të detyrimeve të tij, kryen procedurat e mëposhtme: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a) Hap, në prani të konkurrentëve, dokumentacionin e paraqitur prej tyre, duke bërë të njohur</w:t>
      </w:r>
      <w:r>
        <w:rPr>
          <w:lang w:val="sq-AL"/>
        </w:rPr>
        <w:t>a</w:t>
      </w:r>
      <w:r w:rsidRPr="00AD54F0">
        <w:rPr>
          <w:lang w:val="sq-AL"/>
        </w:rPr>
        <w:t xml:space="preserve"> të dhënat kryesore për çdo ofertë të paraqitur. Kur dokumentacioni i paraqitur nuk është i plotë, konkurrenti skualifikohet;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b) Kryen procesin e vlerësimit të dokumentacionit të paraqitur edhe në rastin kur për objektin ujor të shpallur për konkurrim është paraqitur një konkurrues i vetëm;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c) Harton procesverbalin e zhvillimit të konkurrimit, ku përshkruhen pjesëmarrësit, konkurrentët e skualifikuar dhe shkaku i skualifikimit, konkurrentët e kualifikuar dhe lista e dokumenteve të paraqitura prej tyre;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ç) Bën shqyrtimin brenda 20 (njëzet) ditëve kalendarike të dokumentacionit të paraqitur dhe vlerëson me pikë sipas çdo elementi konkurrimi dhe përcaktimeve të shpalluara në njoftim;</w:t>
      </w:r>
    </w:p>
    <w:p w:rsidR="007B37A3" w:rsidRDefault="007B37A3" w:rsidP="007B37A3">
      <w:pPr>
        <w:pStyle w:val="Paragrafi"/>
        <w:rPr>
          <w:lang w:val="sq-AL"/>
        </w:rPr>
      </w:pP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d) Verifikon nëse subjekti kërkues është dënuar ose jo, është në procedurë për shkelje ligjore në peshkim dhe/ose është debitor;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dh) Rendit, pas përfundimit të konkurrimit, konkurruesit në bazë të pikëve të fituara;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e) Paraqet te ministri, brenda afatit të përcaktuar në shkronjën “ç” të kësaj pike, një informacion për zhvillimin e konkurrimit, së bashku me procesverbalin dhe listën e konkurruesve, të renditur sipas pikëve të fituara, për të kërkuar miratimin e procedurës;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ë) Shpall subjektin/et fitues/e. Njoftimi për shpalljen fitues vendoset në këndin e njoftimeve të ministrisë, si dhe dërgohet për publikim në Buletinin e Njoftimeve Publike.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15. Pas përfundimit të procedurave të sipërpërmendura, ministria lidh kontratën për zhvillimin e veprimtarisë së kërkuar dhe të miratuar në procesin e konkurrimit me subjektin fitues brenda 30 (tridhjetë) ditëve kalendarike nga dita e shpalljes së fituesit në Buletinin e Njoftimeve Publike.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16. Kontrata tip ndërmjet ministrisë dhe subjektit fitues miratohet me urdhër të ministrit.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17. Subjektet konkurruese kanë të drejtën e ankimit te ministri sipas legjislacionit në fuqi.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18. Afati i kontratës për ushtrimin e veprimtarisë së peshkimit në ujërat e brendshme është jo më shumë se 10 (dhjetë) vjet.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19. Kriteret dhe niveli i vlerësimit, si dhe detajimi i pikësimit për të gjitha kategoritë ujore në ujërat e brendshme për procedurën e konkurrimit publik përcaktohen me udhëzim të ministrit.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20. Me hyrjen në fuqi të këtij vendimi, rregullorja nr. 12, datë 4.6.2012 “Për përcaktimin e procedurave për pajisjen me leje peshkimi dhe të konkurrimit publik për ushtrimin e veprimtarisë së peshkimit në det, në ujërat e brendshme dhe akuakulturën tokësore dhe ujore detare”, për kategoritë e objekteve ujore të sipërpërmendura në ujërat e brendshme, shfuqizohet.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21. Ngarkohet Ministria e Mjedisit, Pyjeve dhe Administrimit të Ujërave për zbatimin e këtij vendimi.</w:t>
      </w:r>
    </w:p>
    <w:p w:rsidR="007B37A3" w:rsidRPr="00AD54F0" w:rsidRDefault="007B37A3" w:rsidP="007B37A3">
      <w:pPr>
        <w:pStyle w:val="Paragrafi"/>
        <w:rPr>
          <w:lang w:val="sq-AL"/>
        </w:rPr>
      </w:pPr>
      <w:r w:rsidRPr="00AD54F0">
        <w:rPr>
          <w:lang w:val="sq-AL"/>
        </w:rPr>
        <w:t>Ky vendim hyn në fuqi pas botimit në Fletoren Zyrtare.</w:t>
      </w:r>
    </w:p>
    <w:p w:rsidR="007B37A3" w:rsidRPr="00AD54F0" w:rsidRDefault="007B37A3" w:rsidP="007B37A3">
      <w:pPr>
        <w:pStyle w:val="Autoriteti"/>
        <w:keepNext w:val="0"/>
        <w:rPr>
          <w:lang w:val="sq-AL"/>
        </w:rPr>
      </w:pPr>
      <w:r w:rsidRPr="00AD54F0">
        <w:rPr>
          <w:lang w:val="sq-AL"/>
        </w:rPr>
        <w:t>Kryeministri</w:t>
      </w:r>
    </w:p>
    <w:p w:rsidR="007B37A3" w:rsidRPr="00AD54F0" w:rsidRDefault="007B37A3" w:rsidP="007B37A3">
      <w:pPr>
        <w:pStyle w:val="AutoritetiEmer"/>
        <w:rPr>
          <w:lang w:val="sq-AL"/>
        </w:rPr>
      </w:pPr>
      <w:r w:rsidRPr="00AD54F0">
        <w:rPr>
          <w:lang w:val="sq-AL"/>
        </w:rPr>
        <w:t>Sali Berisha</w:t>
      </w:r>
    </w:p>
    <w:sectPr w:rsidR="007B37A3" w:rsidRPr="00AD54F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B88" w:rsidRDefault="00AE3B88" w:rsidP="007B37A3">
      <w:pPr>
        <w:spacing w:after="0" w:line="240" w:lineRule="auto"/>
      </w:pPr>
      <w:r>
        <w:separator/>
      </w:r>
    </w:p>
  </w:endnote>
  <w:endnote w:type="continuationSeparator" w:id="0">
    <w:p w:rsidR="00AE3B88" w:rsidRDefault="00AE3B88" w:rsidP="007B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B88" w:rsidRDefault="00AE3B88" w:rsidP="007B37A3">
      <w:pPr>
        <w:spacing w:after="0" w:line="240" w:lineRule="auto"/>
      </w:pPr>
      <w:r>
        <w:separator/>
      </w:r>
    </w:p>
  </w:footnote>
  <w:footnote w:type="continuationSeparator" w:id="0">
    <w:p w:rsidR="00AE3B88" w:rsidRDefault="00AE3B88" w:rsidP="007B37A3">
      <w:pPr>
        <w:spacing w:after="0" w:line="240" w:lineRule="auto"/>
      </w:pPr>
      <w:r>
        <w:continuationSeparator/>
      </w:r>
    </w:p>
  </w:footnote>
  <w:footnote w:id="1">
    <w:p w:rsidR="007B37A3" w:rsidRPr="00476DA1" w:rsidRDefault="007B37A3" w:rsidP="007B37A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Rregullore e Këshillit (CE) 1967/2006, 21 dhjetor 2006, e cila modifikon rregulloren e (CEE) nr. 2847/93 dhe shfuqizon rregulloren (CE) nr. 1626/94, gazeta zyrtare L 409, datë 31.12.2006, faqe 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37A3"/>
    <w:rsid w:val="00607C65"/>
    <w:rsid w:val="007B37A3"/>
    <w:rsid w:val="00AE3B8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537A5F-B711-4B3F-A9B6-AA3ACAF0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37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37A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37A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37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37A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B37A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37A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37A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37A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37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7B37A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7B37A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7B37A3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7B37A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B37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37A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