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9E0" w:rsidRPr="002E048C" w:rsidRDefault="003D29E0" w:rsidP="003D29E0">
      <w:pPr>
        <w:pStyle w:val="Akti"/>
        <w:rPr>
          <w:rFonts w:ascii="Garamond" w:hAnsi="Garamond"/>
          <w:sz w:val="24"/>
          <w:szCs w:val="24"/>
          <w:lang w:val="sq-AL"/>
        </w:rPr>
      </w:pPr>
      <w:r w:rsidRPr="002E048C">
        <w:rPr>
          <w:rFonts w:ascii="Garamond" w:hAnsi="Garamond"/>
          <w:sz w:val="24"/>
          <w:szCs w:val="24"/>
          <w:lang w:val="sq-AL"/>
        </w:rPr>
        <w:t>VENDIM</w:t>
      </w:r>
    </w:p>
    <w:p w:rsidR="003D29E0" w:rsidRPr="002E048C" w:rsidRDefault="003D29E0" w:rsidP="003D29E0">
      <w:pPr>
        <w:pStyle w:val="NumriData"/>
        <w:rPr>
          <w:rFonts w:ascii="Garamond" w:hAnsi="Garamond"/>
          <w:sz w:val="24"/>
          <w:szCs w:val="24"/>
          <w:lang w:val="sq-AL"/>
        </w:rPr>
      </w:pPr>
      <w:r w:rsidRPr="002E048C">
        <w:rPr>
          <w:rFonts w:ascii="Garamond" w:hAnsi="Garamond"/>
          <w:sz w:val="24"/>
          <w:szCs w:val="24"/>
          <w:lang w:val="sq-AL"/>
        </w:rPr>
        <w:t>Nr. 672, datë 7.8.2013</w:t>
      </w:r>
    </w:p>
    <w:p w:rsidR="003D29E0" w:rsidRPr="002E048C" w:rsidRDefault="003D29E0" w:rsidP="003D29E0">
      <w:pPr>
        <w:pStyle w:val="Paragrafi"/>
        <w:rPr>
          <w:rFonts w:ascii="Garamond" w:hAnsi="Garamond"/>
          <w:sz w:val="24"/>
          <w:szCs w:val="24"/>
          <w:lang w:val="sq-AL"/>
        </w:rPr>
      </w:pPr>
    </w:p>
    <w:p w:rsidR="003D29E0" w:rsidRPr="002E048C" w:rsidRDefault="003D29E0" w:rsidP="003D29E0">
      <w:pPr>
        <w:pStyle w:val="Titulli"/>
        <w:rPr>
          <w:rFonts w:ascii="Garamond" w:hAnsi="Garamond"/>
          <w:sz w:val="24"/>
          <w:szCs w:val="24"/>
          <w:lang w:val="sq-AL"/>
        </w:rPr>
      </w:pPr>
      <w:r w:rsidRPr="002E048C">
        <w:rPr>
          <w:rFonts w:ascii="Garamond" w:hAnsi="Garamond"/>
          <w:sz w:val="24"/>
          <w:szCs w:val="24"/>
          <w:lang w:val="sq-AL"/>
        </w:rPr>
        <w:t>PËR KUOTAT FINANCIARE TË USHQIMIT NË MENSA E KONVIKTE, BURSAT E SHTETIT DHE PAGESAT E NXËNËSVE E TË STUDENTËVE NË INSTITUCIONET ARSIMORE PUBLIKE, PËR VITIN SHKOLLOR 2013 - 2014</w:t>
      </w:r>
    </w:p>
    <w:p w:rsidR="002E048C" w:rsidRPr="002E048C" w:rsidRDefault="002E048C" w:rsidP="00F4018F">
      <w:pPr>
        <w:pStyle w:val="NeniTitull"/>
        <w:rPr>
          <w:b w:val="0"/>
          <w:i/>
          <w:spacing w:val="-4"/>
          <w:szCs w:val="24"/>
          <w:lang w:val="sq-AL"/>
        </w:rPr>
      </w:pPr>
      <w:r w:rsidRPr="002E048C">
        <w:rPr>
          <w:b w:val="0"/>
          <w:i/>
          <w:szCs w:val="24"/>
          <w:lang w:val="sq-AL"/>
        </w:rPr>
        <w:t xml:space="preserve">(Ndryshuar me VKM nr. </w:t>
      </w:r>
      <w:r w:rsidRPr="002E048C">
        <w:rPr>
          <w:b w:val="0"/>
          <w:i/>
          <w:spacing w:val="-4"/>
          <w:szCs w:val="24"/>
          <w:lang w:val="sq-AL"/>
        </w:rPr>
        <w:t>329, datë 28.5.2014</w:t>
      </w:r>
      <w:r w:rsidR="00F4018F">
        <w:rPr>
          <w:b w:val="0"/>
          <w:i/>
          <w:spacing w:val="-4"/>
          <w:szCs w:val="24"/>
          <w:lang w:val="sq-AL"/>
        </w:rPr>
        <w:t xml:space="preserve">; </w:t>
      </w:r>
      <w:r w:rsidR="00F4018F" w:rsidRPr="00F4018F">
        <w:rPr>
          <w:b w:val="0"/>
          <w:i/>
          <w:lang w:val="sq-AL"/>
        </w:rPr>
        <w:t>Nr. 382, datë 6.5.2015</w:t>
      </w:r>
      <w:r w:rsidRPr="002E048C">
        <w:rPr>
          <w:b w:val="0"/>
          <w:i/>
          <w:spacing w:val="-4"/>
          <w:szCs w:val="24"/>
          <w:lang w:val="sq-AL"/>
        </w:rPr>
        <w:t>)</w:t>
      </w:r>
    </w:p>
    <w:p w:rsidR="003D29E0" w:rsidRPr="002E048C" w:rsidRDefault="002E048C" w:rsidP="002E048C">
      <w:pPr>
        <w:pStyle w:val="Paragrafi"/>
        <w:jc w:val="right"/>
        <w:rPr>
          <w:rFonts w:ascii="Garamond" w:hAnsi="Garamond"/>
          <w:i/>
          <w:sz w:val="24"/>
          <w:szCs w:val="24"/>
          <w:lang w:val="sq-AL"/>
        </w:rPr>
      </w:pPr>
      <w:r w:rsidRPr="002E048C">
        <w:rPr>
          <w:rFonts w:ascii="Garamond" w:hAnsi="Garamond"/>
          <w:i/>
          <w:sz w:val="24"/>
          <w:szCs w:val="24"/>
          <w:lang w:val="sq-AL"/>
        </w:rPr>
        <w:t>(I pwrditwsuar)</w:t>
      </w:r>
    </w:p>
    <w:p w:rsidR="002E048C" w:rsidRPr="002E048C" w:rsidRDefault="002E048C" w:rsidP="002E048C">
      <w:pPr>
        <w:pStyle w:val="Paragrafi"/>
        <w:jc w:val="right"/>
        <w:rPr>
          <w:rFonts w:ascii="Garamond" w:hAnsi="Garamond"/>
          <w:i/>
          <w:sz w:val="24"/>
          <w:szCs w:val="24"/>
          <w:lang w:val="sq-AL"/>
        </w:rPr>
      </w:pP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Në mbështetje të nenit 100 të Kushtetutës të neneve 6, 19 e 28 të ligjit nr. 69/2012, datë 21.6.2012 “Për sistemin arsimor parauniversitar në Republikën e Shqipërisë”, të nenit 57 të ligjit nr. 9741, datë 21.5.2007 “Për arsimin e lartë në Republikën e Shqipërisë”, të ndryshuar, të neneve 1 e 5 të ligjit nr. 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apo për shkak të detyrës”, të nenit 29 të ligjit nr. 8872, datë 29.3.2002 “Për arsimim dhe formim profesional në Republikën e Shqipërisë”, të ndryshuar, të ligjit nr. 7889, datë 14.12.1994 “Për statusin e invalidit”, të ndryshuar, të ligjit nr. 8153, datë 31.10.1996 “Për statusin e jetimit”, të ndryshuar dhe të ligjit nr. 119/2012, datë 17.12.2012 “Për buxhetin e vitit 2013”, me propozimin e Ministrit të Arsimit dhe Shkencës, Këshilli i Ministrave</w:t>
      </w:r>
    </w:p>
    <w:p w:rsidR="003D29E0" w:rsidRPr="002E048C" w:rsidRDefault="003D29E0" w:rsidP="003D29E0">
      <w:pPr>
        <w:pStyle w:val="Paragrafi"/>
        <w:rPr>
          <w:rFonts w:ascii="Garamond" w:hAnsi="Garamond"/>
          <w:sz w:val="24"/>
          <w:szCs w:val="24"/>
          <w:lang w:val="sq-AL"/>
        </w:rPr>
      </w:pPr>
    </w:p>
    <w:p w:rsidR="003D29E0" w:rsidRPr="002E048C" w:rsidRDefault="003D29E0" w:rsidP="003D29E0">
      <w:pPr>
        <w:pStyle w:val="VENDOSI"/>
        <w:rPr>
          <w:rFonts w:ascii="Garamond" w:hAnsi="Garamond"/>
          <w:sz w:val="24"/>
          <w:szCs w:val="24"/>
          <w:lang w:val="sq-AL"/>
        </w:rPr>
      </w:pPr>
      <w:r w:rsidRPr="002E048C">
        <w:rPr>
          <w:rFonts w:ascii="Garamond" w:hAnsi="Garamond"/>
          <w:sz w:val="24"/>
          <w:szCs w:val="24"/>
          <w:lang w:val="sq-AL"/>
        </w:rPr>
        <w:t>VENDOSI:</w:t>
      </w:r>
    </w:p>
    <w:p w:rsidR="003D29E0" w:rsidRPr="002E048C" w:rsidRDefault="003D29E0" w:rsidP="003D29E0">
      <w:pPr>
        <w:pStyle w:val="Paragrafi"/>
        <w:rPr>
          <w:rFonts w:ascii="Garamond" w:hAnsi="Garamond"/>
          <w:sz w:val="24"/>
          <w:szCs w:val="24"/>
          <w:lang w:val="sq-AL"/>
        </w:rPr>
      </w:pP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 Përfitojnë bursë nxënësit dhe studentët, brenda kuotave dhe kritereve të përcaktuara në këtë vendim:</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2.1 Sipas kriterit ekonomik (nxënës/studentë):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a) Nxënësit/studentët, që vazhdojnë studimet larg vendbanimit të tyre në largësinë mbi 5 km dhe plotësojnë kriterin ekonomik, sipas pasqyrës nr. 1 që i bashkëlidhet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b) Nxënësit, që banojnë në fshat, të cilët nuk kanë shkollë 9-vjeçare brenda rrezes prej 5 km e që vendosen në konvikt publik.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c) Nxënësit/studentët, që kanë përfituar statusin e jetimit dhe që plotësojnë kriterin ekonomik.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ç) Nxënësit/studentët, të cilët kanë humbur kujdestarinë prindërore me vendim gjykate të formës së prerë dhe që plotësojnë kriterin ekonomik.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d) Secili nga studentët, bashkëshort me fëmijë, që plotëson kriterin ekonomik dhe që vendoset në konvikt publik.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dh) Fëmijët, nxënës apo studentë, që kanë statusin e invalidit paraplegjik dhe tetraplegjik dhe që plotësojnë kriterin ekonomik.</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2.2 Sipas rezultateve të arritura (nxënës/studentë):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a) Nxënësit e arsimit të mesëm profesional, që kanë mbaruar vitin shkollor pararendës me të gjitha notat 10 (dhjeta).</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b) Nxënësit, të cilët vazhdojnë studimet në shkollat profesionale, në degët bujqësore, veterinare, pyjore dhe ndërtim, në vitet e dyta e lart, dhe që kanë mbaruar vitin akademik pararendës me notën mesatare mbi 8 (tetë).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lastRenderedPageBreak/>
        <w:t>c) Studentët, që regjistrohen në vitin e parë të shkollës së lartë, që kanë mbaruar shkollën e mesme me medalje ari.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ç) Studentët, që regjistrohen në vitin e parë të shkollës së lartë, që janë shpallur nga Ministria e Arsimit dhe Shkencës më të mirët e maturës shtetërore, sipas renditjes në listën e vlerësimit të realizuar nga Agjencia Kombëtare e Provimeve. Për vitin akademik 2013-2014, numri i tyre do të jetë 25 (njëzet e pesë) studentë. Kjo kategori studentësh përfiton bursë kur ata vazhdojnë studimet në institucionet publike të arsimit të lartë dhe vetëm për vitin akademik 2013-2014.</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d) Studentët që kanë mbaruar vitin akademik pararendës me të gjitha notat 10 (dhjeta).</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dh) Studentët që vazhdojnë studimet në programin e studimit “Matematikë” dhe në programin e studimit “Fizikë”, në vitin e dytë e lart, dhe kanë mbaruar vitin akademik paraardhës me notën mesatare mbi 8 (tetë).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2.3 Jashtë kriterit ekonomik (nxënës/studentë):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Nxënës apo studentë, fëmijë të punonjësve të Policisë së Shtetit, të Gardës së Republikës, të Shërbimit të Kontrollit të Brendshëm, të Policisë së Mbrojtjes nga Zjarri dhe të Shpëtimit, të Forcave të Armatosura, të Shërbimit Informativ të Shtetit dhe të Policisë së Burgjeve, që kanë humbur jetën në krye dhe për shkak të detyrës.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Në fillim të çdo viti akademik, por jo më vonë se data 15.12.2013, Ministria e Brendshme, Ministria e Drejtësisë, Ministria e Mbrojtjes dhe Shërbimi Informativ i Shtetit të dërgojnë në Ministrinë e Arsimit dhe Shkencës listën për këtë kategori nxënësish/studentësh.</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2.4 Sipas degëve prioritare për zhvillimin e ekonomisë (nxënës):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Nxënësit, që regjistrohen në shkollat e mesme profesionale në degët bujqësore, veterinare, pyjore, ndërtim, shpim e shfrytëzim i vendburimeve të naftës dhe gazit dhe gjeologji-miniera. Prioritet në trajtimin me bursë kanë nxënësit që ndjekin shkollat profesionale dhe me vendbanim të përhershëm në zonat verilindore dhe juglindore të vendit, si: Tropoja, Hasi, Puka, Kukësi, Dibra, Bulqiza, Mati, Mirdita, Malësia e Madhe, Librazhdi, Gramshi, Kolonja, Përmeti, Pogradeci, Skrapari dhe rrethi Tepelenë.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3. Nxënësit dhe studentët e të gjitha kategorive të sipërpërmendura nuk përfitojnë bursë ose humbasin të drejtën e përfitimit të bursës, kur:</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a) janë ndarë nga trungu familjar;</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b) familjet e tyre ushtrojnë veprimtari private;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c) vazhdojnë studimet në një program të dytë studimi;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ç) shpallen ngelës dhe humbasin vitin shkollor për arsye të rezultateve jokaluese.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4. Ministria e Arsimit dhe Shkencës harton planin e shpërndarjes së bursave, për drejtoritë arsimore rajonale (DAR) dhe zyrat arsimore (ZA), për vitet e para, sipas kuotave të miratuara (për nxënës/studentë). DAR/ZA-të, pas këshillimit me njësitë bazë të qeverisjes vendore, hartojnë planin e shpërndarjes së bursave dhe e dërgojnë në njësitë bazë të qeverisjes vendore (bashki/komunë), në përshtatje me kërkesat e paraqitura paraprakisht prej tyre për kategoritë, sipas pikës 2.1 të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5. Njësitë bazë të qeverisjes vendore, bazuar në planin e përcaktuar për to nga DAR/ZA-të, vendosin, me këshillat e tyre, për dhënien e bursave, sipas kritereve të përcaktuara në pikat 2.1, 2.2 dhe 2.4 të këtij vendimi, duke u dhënë përparësi nxënësve dhe studentëve nga shtresat sociale në nevojë, për trajtimin me bursë të plotë ose, në pamundësi, trajtimin me gjysmë burse.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5.1 Njësitë bazë të qeverisjes vendore, detyrimisht, duhet t’u dërgojnë, në rrugë zyrtare, institucioneve publike të arsimit të lartë, njësive bazë të qeverisjes vendore, drejtorive arsimore rajonale apo zyrave arsimore përkatëse, vendimet për dhënien e bursave, të shoqëruara me dokumentacionin përkatës.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5.2 Drejtoritë arsimore rajonale dhe zyrat arsimore duhet të dërgojnë pranë institucioneve të arsimit të lartë, si dhe bashkive/komunave që menaxhojnë konviktet, listën emërore të nxënësve dhe të studentëve, përfitues të bursës, së bashku me vendimet origjinale të këshillave të bashkive dhe të </w:t>
      </w:r>
      <w:r w:rsidRPr="002E048C">
        <w:rPr>
          <w:rFonts w:ascii="Garamond" w:hAnsi="Garamond"/>
          <w:sz w:val="24"/>
          <w:szCs w:val="24"/>
          <w:lang w:val="sq-AL"/>
        </w:rPr>
        <w:lastRenderedPageBreak/>
        <w:t>këshillave të komunave. Një kopje e listës emërore të nxënësve dhe studentëve të trajtuar me bursë dërgohet edhe në Ministrinë e Arsimit dhe Shkencës.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5.3 Informacion për nxënësit që regjistrohen dhe vazhdojnë studimet në vitin e parë shkollor 2013-2014, në shkollat profesionale, në degët bujqësore, veterinare, pyjore, ndërtim, shpim e shfrytëzim i vendburimeve të naftës dhe të gazit dhe gjeologji-miniera, u dërgohet njësive bazë të qeverisjes vendore nga drejtoria arsimore rajonale dhe zyra arsimore, të cilat, jo më vonë se data 15.10.2013, vendosin për dhënien e bursave sipas vendndodhjes territoriale dhe administrative të konvikteve në të cilat janë vendosur nxënësit mbështetur në numrin e nxënësve të regjistruar në këto degë, brenda numrit të përgjithshëm të bursave të dhëna për vitin akademik 2013-2014. Drejtoria arsimore rajonale dhe zyra arsimore menjëherë, me mbarimin e regjistrimit në këto degë, dërgojnë informacion në Ministrinë e Arsimit dhe Shkencës.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6. Bursat e nxënësve, për vitin e dytë e lart, rishqyrtohen dhe miratohen çdo vit nga këshilli i bashkisë dhe i komunës, sipas vendndodhjes territoriale dhe administrative të konvikteve ku janë vendosur nxënësit konviktorë. Drejtoritë arsimore rajonale paraqesin/dërgojnë zyrtarisht në njësitë vendore kërkesat për miratim burse për nxënësit që përfitojnë bursë sipas shkronjave “a”, “b” dhe “c” të pikës 2.2 të këtij vendimi.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Nxënësit që vitin e parë kanë përfituar bursë, me vendim të këshillit të bashkisë apo komunës ku ata kanë vendbanimin e përhershëm, e marrin këtë bursë deri në përfundim të viteve të shkollimit, nëse atyre nuk u ndryshojnë kriteret ekonomike dhe nuk rezultojnë mbetës.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Nxënësit e klasës së12-të të shkollës së mesme “Nazmi Rushiti”, Dibër, dhe nxënësit e klasës së12-të të shkollës së mesme “Havzi Nela”, Kukës, të cilët transferojnë programet e nivelit të dytë në shkollat e mesme profesionale, Shkodër, pra nga njësitë vendore, bashkia Peshkopi dhe bashkia Kukës, në njësinë vendore, bashkia Shkodër, njëkohësisht transferojnë zyrtarisht në bashkinë Shkodër, numrin e bursave (listën e nxënësve), që kanë përfituar bursë për vitin shkollor 2012-2013.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Për nxënësit e tjerë të klasës së 12-të të shkollës së mesme “Nazmi Rushiti”, Dibër, dhe nxënësit e klasës së12-të të shkollës së mesme “Havzi Nela”, Kukës, që plotësojnë kriteret ekonomike dhe kriterin e largësisë nga vendbanimi sipas pikës 2.1 “Sipas kriterit ekonomik”, kërkesat e tyre shqyrtohen dhe trajtohen me bursë nga njësia e qeverisjes vendore, bashkia Shkodër.</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6.1 Nxënësit, që kanë përfituar bursë, e përfitojnë atë dhe gjatë periudhës së zhvillimit të praktikës profesionale. Bursa jepet në formën e kuotës ushqimore nga njësia bazë e qeverisjes vendore gjatë periudhës së zhvillimit të praktikës mësimore.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Nxënësve të klasës së 13-të të shkollave profesionale, drejtimi instalues i sistemeve termohidraulike, që nuk kanë përfituar bursë me vendim të këshillave të njësive të qeverisjes vendore, për periudhën e zhvillimit të praktikës profesionale, miratuar për vitin akademik 2013-2014, u akordohet/miratohet bursë nga Ministri i Arsimit dhe Shkencës, mbështetur në kërkesën e drejtorisë arsimore rajonale.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Bursat e akorduara/miratuara nga Ministri i Arsimit dhe Shkencës u dërgohen zyrtarisht njësive bazë të qeverisjes vendore sipas vendndodhjes territoriale dhe administrative të konvikteve ku janë vendosur nxënësit që zhvillojnë praktikën profesionale. Nxënësit e përfitojnë bursën në formën e kuotës ushqimore. Drejtorët e shkollave profesionale e social-kulturore dërgojnë zyrtarisht çdo muaj, pranë njësive bazë të qeverisjes vendore, informacion për frekuentimin e shkollës/praktikës profesionale për nxënësit që përfitojnë bursë.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7. Bursat e studentëve, për vitin e dytë e lart, rishqyrtohen dhe miratohen çdo vit nga institucionet publike të arsimit të lartë. Studentët e vitit të dytë e lart, që nuk kanë përfituar bursë dhe plotësojnë kriterin ekonomik, mund të përfitojnë bursë brenda numrit të planit të bursave, të përcaktuara sipas këtij vendimi.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Numri i bursave për këtë kategori studentësh dhe për studentët që përfitojnë bursë sipas pikës 2.2 është deri në 150 (njëqind e pesëdhjetë) në shkallë vendi, brenda numrit të përgjithshëm të bursave </w:t>
      </w:r>
      <w:r w:rsidRPr="002E048C">
        <w:rPr>
          <w:rFonts w:ascii="Garamond" w:hAnsi="Garamond"/>
          <w:sz w:val="24"/>
          <w:szCs w:val="24"/>
          <w:lang w:val="sq-AL"/>
        </w:rPr>
        <w:lastRenderedPageBreak/>
        <w:t>të dhëna për vitin akademik 2013-2014. Institucionet publike të arsimit të lartë paraqesin në Ministrinë e Arsimit dhe Shkencës kërkesat për studentët që përfitojnë bursë sipas shkronjave “ç”, “d” dhe “dh” të pikës 2.2 të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Ministria e Arsimit dhe Shkencës harton planin e shpërndarjes dhe e dërgon për ekzekutim në institucionet publike të arsimit të lartë. Studentët që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8. Nga plani i bursave të miratuara për vitin akademik 2013-2014, Bashkisë së Tiranës i jepen deri 10 (dhjetë) bursa për studentët, të cilët, pavarësisht nga kriteri i vendbanimit apo kritereve ekonomike, kanë statusin ligjor të jetimit, si dhe statusin e invalidit paraplegjik apo tetraplegjik, ndërsa bashkive të tjera, të cilat në vendndodhjen e tyre territoriale kanë institucione të arsimit të lartë publik për këtë kategori studentësh, u jepen deri në 3 (tri) bursa.</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9. Nxënësit dhe studentët, që kanë përfituar statusin e jetimit, nxënësit e Institutit të Fëmijëve që nuk Dëgjojnë dhe të Institutit të Fëmijëve që nuk Shikojnë përfitojnë falas veshmbathje, libra dhe fletore, sipas pasqyrës nr. 6 që i bashkëlidhet këtij vendimi.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Nxënësit e Institutit të Fëmijëve që nuk Dëgjojnë dhe të Institutit të Fëmijëve që nuk Shikojnë përjashtohen nga detyrimet e tarifave të shërbimeve të ndryshme që ofrojnë shkollat.</w:t>
      </w:r>
      <w:r w:rsidRPr="002E048C">
        <w:rPr>
          <w:rFonts w:ascii="Garamond" w:hAnsi="Garamond"/>
          <w:sz w:val="24"/>
          <w:szCs w:val="24"/>
          <w:lang w:val="sq-AL"/>
        </w:rPr>
        <w:tab/>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9.1 Nxënësve dhe studentëve, që kanë përfituar statusin e jetimit, u sigurohen falas, nga fondet e shkollave përkatëse, shërbimi shëndetësor, shërbimi dentar dhe medikamentet, pas paraqitjes së librezës dhe të kartës shëndetësore, si dhe të epikrizës, nga qendra spitalore e rrethit.</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9.2 Nxënësit jetimë, që vazhdojnë shkollat e mesme ose institucionet publike të arsimit të lartë, trajtohen me pagesë suplementare dhe për periudhën e pushimeve verore që përcaktohet nga Këshilli i Ministrave, si dhe vetëm një vit kur humbasin vitin shkollor për arsye të rezultateve jokaluese, nga njësitë e qeverisjes vendore, sipas vendndodhjes territoriale.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9.3 Fëmijët/nxënësit dhe mësuesit e institucioneve të arsimit special, me nevoja të veçanta psikosociale, pa konvikt, trajtohen falas nga shteti me një kuotë ushqimore (drekë), me vlerë deri në 150 (njëqind e pesëdhjetë) lekë në ditë.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10. Fondet buxhetore për mbulimin e shpenzimeve për bursat, si dhe numri i bursave për studentët administrohen nga institucionet publike të arsimit të lartë. Bursa përllogaritet si shpenzim mesatar, lekë në ditë, dhe paguhet çdo muaj me kalim në numrin e llogarisë bankare të çdo studenti. Drejtuesit e fakulteteve dërgojnë zyrtarisht, çdo muaj, pranë njësive/departamentit të financës, frekuentimin e shkollës për studentët që përfitojnë bursë.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10.1 Fondet buxhetore për mbulimin e shpenzimeve për bursat, si dhe numri i bursave për nxënësit administrohen nga bashkia e komuna, sipas vendndodhjes territoriale dhe administrative të konvikteve ku janë vendosur nxënësit konviktorë. Masa mujore e bursës u jepet nxënësve në formën e kuotës ushqimore, në konvikt.</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10.2 Nxënësve, të cilët për mungesë kapacitetesh, nuk janë vendosur/akomoduar në konvikte apo që përfitojnë bursë jashtë kriterit ekonomik, masa e miratuar e bursës mujore u paguhet çdo muaj nga bashkia/komuna, në llogarinë bankare të nxënësit/prindit përfitues, pranë bankave të nivelit të dytë apo në zyrat e Postës Shqiptare. Drejtorët e shkollave profesionale e social-kulturore dërgojnë zyrtarisht çdo muaj, pranë njësive bazë të qeverisjes vendore, informacion për ndjekjen/frekuentimin e shkollës për nxënësit që përfitojnë bursë.</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11. Niveli/masa e bursës për nxënësit dhe studentët jepet sipas pasqyrave nr. 2 e nr. 3 dhe kuota financiare ushqimore ditore jepet sipas pasqyrave nr. 4 e nr. 5, që i bashkëlidhen këtij vendimi. </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 xml:space="preserve">12. Ministria e Arsimit dhe Shkencës, për vitin e ri akademik 2013-2014, të japë 1650 (një mijë e gjashtëqind e pesëdhjetë) bursa për nxënësit dhe 1900 (një mijë e nëntëqind) bursa për studentët, për hyrjet e reja në vitin e parë në sistemin arsimor publik, për të gjitha kategoritë e parashikuara në </w:t>
      </w:r>
      <w:r w:rsidRPr="002E048C">
        <w:rPr>
          <w:rFonts w:ascii="Garamond" w:hAnsi="Garamond"/>
          <w:sz w:val="24"/>
          <w:szCs w:val="24"/>
          <w:lang w:val="sq-AL"/>
        </w:rPr>
        <w:lastRenderedPageBreak/>
        <w:t>pikën 2 të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13. Efektet financiare të vitit akademik 2013-2014 të përballohen nga fondet e Buxhetit të Shtetit, miratuar për Ministrinë e Arsimit dhe Shkencës për vitin 2013, për pjesën e vitit 2013, si dhe nga fondet e Buxhetit të Shtetit që do të miratohet për vitin 2014, për pjesën e vitit 2014.</w:t>
      </w:r>
    </w:p>
    <w:p w:rsidR="002E048C" w:rsidRPr="002E048C" w:rsidRDefault="003D29E0" w:rsidP="002E048C">
      <w:pPr>
        <w:pStyle w:val="Paragrafi"/>
        <w:rPr>
          <w:rFonts w:ascii="Garamond" w:hAnsi="Garamond"/>
          <w:i/>
          <w:spacing w:val="-6"/>
          <w:sz w:val="24"/>
          <w:szCs w:val="24"/>
          <w:lang w:val="sq-AL"/>
        </w:rPr>
      </w:pPr>
      <w:r w:rsidRPr="002E048C">
        <w:rPr>
          <w:rFonts w:ascii="Garamond" w:hAnsi="Garamond"/>
          <w:i/>
          <w:sz w:val="24"/>
          <w:szCs w:val="24"/>
          <w:lang w:val="sq-AL"/>
        </w:rPr>
        <w:t xml:space="preserve">14. </w:t>
      </w:r>
      <w:r w:rsidR="002E048C" w:rsidRPr="002E048C">
        <w:rPr>
          <w:rFonts w:ascii="Garamond" w:hAnsi="Garamond"/>
          <w:i/>
          <w:spacing w:val="-6"/>
          <w:sz w:val="24"/>
          <w:szCs w:val="24"/>
          <w:lang w:val="sq-AL"/>
        </w:rPr>
        <w:t>Afati përfundimtar për paraqitjen e kërkesave për bursa pranë këshillave bashkiakë apo të komunës do të jetë data 15 dhjetor 2013, për të gjitha kategoritë e shkollave/institucioneve të arsimit të lartë, ndërsa për vitin e dytë e lart do të jetë data 15 nëntor 2013. Miratimi i bursave nga këshillat bashkiakë apo të komunës për këtë vit shkollor për të gjitha kategoritë e shkollave/institucioneve të arsimit të lartë duhet të përfundojë deri në datën 30 maj 2014.</w:t>
      </w:r>
    </w:p>
    <w:p w:rsidR="00F4018F" w:rsidRPr="00F4018F" w:rsidRDefault="003D29E0" w:rsidP="00F4018F">
      <w:pPr>
        <w:pStyle w:val="Paragrafi"/>
        <w:rPr>
          <w:rFonts w:ascii="Garamond" w:hAnsi="Garamond"/>
          <w:i/>
          <w:sz w:val="24"/>
          <w:szCs w:val="24"/>
          <w:lang w:val="sq-AL"/>
        </w:rPr>
      </w:pPr>
      <w:r w:rsidRPr="00F4018F">
        <w:rPr>
          <w:rFonts w:ascii="Garamond" w:hAnsi="Garamond"/>
          <w:sz w:val="24"/>
          <w:szCs w:val="24"/>
          <w:lang w:val="sq-AL"/>
        </w:rPr>
        <w:t>15.</w:t>
      </w:r>
      <w:r w:rsidR="00F4018F" w:rsidRPr="00F4018F">
        <w:rPr>
          <w:rFonts w:ascii="Garamond" w:hAnsi="Garamond"/>
          <w:sz w:val="24"/>
          <w:szCs w:val="24"/>
          <w:lang w:val="sq-AL"/>
        </w:rPr>
        <w:t xml:space="preserve"> </w:t>
      </w:r>
      <w:r w:rsidR="00F4018F" w:rsidRPr="00F4018F">
        <w:rPr>
          <w:rFonts w:ascii="Garamond" w:hAnsi="Garamond"/>
          <w:i/>
          <w:sz w:val="24"/>
          <w:szCs w:val="24"/>
          <w:lang w:val="sq-AL"/>
        </w:rPr>
        <w:t>Afati përfundimtar për shqyrtimin dhe miratimin e bursave, për vitet e para, është data 31 dhjetor 2014, për të gjitha kategoritë e shkollave, ndërsa për vitin e dytë e lart është data 15 nëntor 2014. Miratimi i bursave nga këshillat bashkiakë apo të komunës, për këtë vit shkollor, për të gjitha kategoritë e shkollave/institucioneve të arsimit të lartë, duhet të përfundojë deri në datën 30 prill 2015.</w:t>
      </w:r>
    </w:p>
    <w:p w:rsidR="003D29E0" w:rsidRPr="002E048C" w:rsidRDefault="00F4018F" w:rsidP="003D29E0">
      <w:pPr>
        <w:pStyle w:val="Paragrafi"/>
        <w:rPr>
          <w:rFonts w:ascii="Garamond" w:hAnsi="Garamond"/>
          <w:sz w:val="24"/>
          <w:szCs w:val="24"/>
          <w:lang w:val="sq-AL"/>
        </w:rPr>
      </w:pPr>
      <w:r w:rsidRPr="00F4018F">
        <w:rPr>
          <w:rFonts w:ascii="Garamond" w:hAnsi="Garamond"/>
          <w:i/>
          <w:sz w:val="24"/>
          <w:szCs w:val="24"/>
          <w:lang w:val="sq-AL"/>
        </w:rPr>
        <w:t xml:space="preserve"> </w:t>
      </w:r>
      <w:r w:rsidR="003D29E0" w:rsidRPr="002E048C">
        <w:rPr>
          <w:rFonts w:ascii="Garamond" w:hAnsi="Garamond"/>
          <w:sz w:val="24"/>
          <w:szCs w:val="24"/>
          <w:lang w:val="sq-AL"/>
        </w:rPr>
        <w:t>16. Vendimet e njësive bazë të qeverisjes vendore dhe ato të institucioneve publike të arsimit të lartë bëhen publike për komunitetin, median dhe institucionet e tjera vendore apo qendrore.</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17. Ngarkohen Ministria e Arsimit dhe Shkencës, DAR/ZA-të, institucionet publike të arsimit të lartë dhe njësitë bazë të qeverisjes vendore për zbatimin e këtij vendimi.</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Ky vendim hyn në fuqi pas botimit në Fletoren Zyrtare.</w:t>
      </w:r>
    </w:p>
    <w:p w:rsidR="003D29E0" w:rsidRPr="002E048C" w:rsidRDefault="003D29E0" w:rsidP="003D29E0">
      <w:pPr>
        <w:pStyle w:val="Paragrafi"/>
        <w:rPr>
          <w:rFonts w:ascii="Garamond" w:hAnsi="Garamond"/>
          <w:sz w:val="24"/>
          <w:szCs w:val="24"/>
          <w:lang w:val="sq-AL"/>
        </w:rPr>
      </w:pPr>
    </w:p>
    <w:p w:rsidR="003D29E0" w:rsidRPr="002E048C" w:rsidRDefault="003D29E0" w:rsidP="003D29E0">
      <w:pPr>
        <w:pStyle w:val="Autoriteti"/>
        <w:rPr>
          <w:rFonts w:ascii="Garamond" w:hAnsi="Garamond"/>
          <w:sz w:val="24"/>
          <w:szCs w:val="24"/>
          <w:lang w:val="sq-AL"/>
        </w:rPr>
      </w:pPr>
      <w:bookmarkStart w:id="0" w:name="_GoBack"/>
      <w:bookmarkEnd w:id="0"/>
      <w:r w:rsidRPr="002E048C">
        <w:rPr>
          <w:rFonts w:ascii="Garamond" w:hAnsi="Garamond"/>
          <w:sz w:val="24"/>
          <w:szCs w:val="24"/>
          <w:lang w:val="sq-AL"/>
        </w:rPr>
        <w:t>KRYEMINISTRI</w:t>
      </w:r>
    </w:p>
    <w:p w:rsidR="003D29E0" w:rsidRPr="002E048C" w:rsidRDefault="003D29E0" w:rsidP="003D29E0">
      <w:pPr>
        <w:pStyle w:val="AutoritetiEmer"/>
        <w:rPr>
          <w:rFonts w:ascii="Garamond" w:hAnsi="Garamond"/>
          <w:sz w:val="24"/>
          <w:szCs w:val="24"/>
          <w:lang w:val="sq-AL"/>
        </w:rPr>
      </w:pPr>
      <w:r w:rsidRPr="002E048C">
        <w:rPr>
          <w:rFonts w:ascii="Garamond" w:hAnsi="Garamond"/>
          <w:sz w:val="24"/>
          <w:szCs w:val="24"/>
          <w:lang w:val="sq-AL"/>
        </w:rPr>
        <w:t>Sali Berisha</w:t>
      </w:r>
    </w:p>
    <w:p w:rsidR="003D29E0" w:rsidRPr="002E048C" w:rsidRDefault="003D29E0" w:rsidP="003D29E0">
      <w:pPr>
        <w:pStyle w:val="Paragrafi"/>
        <w:rPr>
          <w:rFonts w:ascii="Garamond" w:hAnsi="Garamond"/>
          <w:sz w:val="24"/>
          <w:szCs w:val="24"/>
          <w:lang w:val="sq-AL"/>
        </w:rPr>
      </w:pPr>
      <w:r w:rsidRPr="002E048C">
        <w:rPr>
          <w:rFonts w:ascii="Garamond" w:hAnsi="Garamond"/>
          <w:sz w:val="24"/>
          <w:szCs w:val="24"/>
          <w:lang w:val="sq-AL"/>
        </w:rPr>
        <w:tab/>
      </w:r>
    </w:p>
    <w:p w:rsidR="003D29E0" w:rsidRPr="002E048C" w:rsidRDefault="00005E63" w:rsidP="003D29E0">
      <w:pPr>
        <w:pStyle w:val="Paragrafi"/>
        <w:rPr>
          <w:rFonts w:ascii="Garamond" w:hAnsi="Garamond"/>
          <w:sz w:val="24"/>
          <w:szCs w:val="24"/>
          <w:lang w:val="sq-AL"/>
        </w:rPr>
      </w:pPr>
      <w:r w:rsidRPr="002E048C">
        <w:rPr>
          <w:rFonts w:ascii="Garamond" w:hAnsi="Garamond"/>
          <w:noProof/>
          <w:sz w:val="24"/>
          <w:szCs w:val="24"/>
        </w:rPr>
        <w:lastRenderedPageBreak/>
        <w:drawing>
          <wp:anchor distT="0" distB="0" distL="114300" distR="114300" simplePos="0" relativeHeight="251656192" behindDoc="0" locked="0" layoutInCell="1" allowOverlap="1">
            <wp:simplePos x="0" y="0"/>
            <wp:positionH relativeFrom="column">
              <wp:align>center</wp:align>
            </wp:positionH>
            <wp:positionV relativeFrom="paragraph">
              <wp:posOffset>0</wp:posOffset>
            </wp:positionV>
            <wp:extent cx="5681980" cy="7875270"/>
            <wp:effectExtent l="0" t="0" r="0" b="0"/>
            <wp:wrapSquare wrapText="bothSides"/>
            <wp:docPr id="5" name="Picture 2"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2"/>
                    <pic:cNvPicPr>
                      <a:picLocks noChangeAspect="1" noChangeArrowheads="1"/>
                    </pic:cNvPicPr>
                  </pic:nvPicPr>
                  <pic:blipFill>
                    <a:blip r:embed="rId4" cstate="print">
                      <a:extLst>
                        <a:ext uri="{28A0092B-C50C-407E-A947-70E740481C1C}">
                          <a14:useLocalDpi xmlns:a14="http://schemas.microsoft.com/office/drawing/2010/main" val="0"/>
                        </a:ext>
                      </a:extLst>
                    </a:blip>
                    <a:srcRect l="5261" t="1831" r="5727" b="20039"/>
                    <a:stretch>
                      <a:fillRect/>
                    </a:stretch>
                  </pic:blipFill>
                  <pic:spPr bwMode="auto">
                    <a:xfrm>
                      <a:off x="0" y="0"/>
                      <a:ext cx="5681980" cy="7875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29E0" w:rsidRPr="002E048C" w:rsidRDefault="00005E63" w:rsidP="003D29E0">
      <w:pPr>
        <w:pStyle w:val="Paragrafi"/>
        <w:rPr>
          <w:rFonts w:ascii="Garamond" w:hAnsi="Garamond"/>
          <w:sz w:val="24"/>
          <w:szCs w:val="24"/>
          <w:lang w:val="sq-AL"/>
        </w:rPr>
      </w:pPr>
      <w:r w:rsidRPr="002E048C">
        <w:rPr>
          <w:rFonts w:ascii="Garamond" w:hAnsi="Garamond"/>
          <w:noProof/>
          <w:sz w:val="24"/>
          <w:szCs w:val="24"/>
        </w:rPr>
        <w:lastRenderedPageBreak/>
        <w:drawing>
          <wp:anchor distT="0" distB="0" distL="114300" distR="114300" simplePos="0" relativeHeight="251659264" behindDoc="0" locked="0" layoutInCell="1" allowOverlap="1">
            <wp:simplePos x="0" y="0"/>
            <wp:positionH relativeFrom="column">
              <wp:align>center</wp:align>
            </wp:positionH>
            <wp:positionV relativeFrom="paragraph">
              <wp:posOffset>3810</wp:posOffset>
            </wp:positionV>
            <wp:extent cx="5701665" cy="8107680"/>
            <wp:effectExtent l="0" t="0" r="0" b="7620"/>
            <wp:wrapSquare wrapText="bothSides"/>
            <wp:docPr id="4" name="Picture 3"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3"/>
                    <pic:cNvPicPr>
                      <a:picLocks noChangeAspect="1" noChangeArrowheads="1"/>
                    </pic:cNvPicPr>
                  </pic:nvPicPr>
                  <pic:blipFill>
                    <a:blip r:embed="rId5" cstate="print">
                      <a:extLst>
                        <a:ext uri="{28A0092B-C50C-407E-A947-70E740481C1C}">
                          <a14:useLocalDpi xmlns:a14="http://schemas.microsoft.com/office/drawing/2010/main" val="0"/>
                        </a:ext>
                      </a:extLst>
                    </a:blip>
                    <a:srcRect l="5710" t="2260" r="7660" b="15790"/>
                    <a:stretch>
                      <a:fillRect/>
                    </a:stretch>
                  </pic:blipFill>
                  <pic:spPr bwMode="auto">
                    <a:xfrm>
                      <a:off x="0" y="0"/>
                      <a:ext cx="5701665" cy="8107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048C" w:rsidRPr="002E048C" w:rsidRDefault="002E048C">
      <w:pPr>
        <w:pStyle w:val="Paragrafi"/>
        <w:rPr>
          <w:rFonts w:ascii="Garamond" w:hAnsi="Garamond"/>
          <w:sz w:val="24"/>
          <w:szCs w:val="24"/>
          <w:lang w:val="sq-AL"/>
        </w:rPr>
      </w:pPr>
    </w:p>
    <w:sectPr w:rsidR="002E048C" w:rsidRPr="002E048C"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9E0"/>
    <w:rsid w:val="00005E63"/>
    <w:rsid w:val="002E048C"/>
    <w:rsid w:val="003D29E0"/>
    <w:rsid w:val="00CE303F"/>
    <w:rsid w:val="00F40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DB029"/>
  <w15:chartTrackingRefBased/>
  <w15:docId w15:val="{6A5D1C63-BB2F-441A-BD46-D3C3658B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D29E0"/>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D29E0"/>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D29E0"/>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3D29E0"/>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D29E0"/>
    <w:rPr>
      <w:rFonts w:ascii="CG Times" w:eastAsia="MS Mincho" w:hAnsi="CG Times" w:cs="CG Times"/>
      <w:b/>
      <w:bCs/>
      <w:sz w:val="22"/>
      <w:szCs w:val="22"/>
      <w:lang w:val="en-GB" w:eastAsia="en-US" w:bidi="ar-SA"/>
    </w:rPr>
  </w:style>
  <w:style w:type="paragraph" w:customStyle="1" w:styleId="Paragrafi">
    <w:name w:val="Paragrafi"/>
    <w:link w:val="ParagrafiChar"/>
    <w:rsid w:val="003D29E0"/>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D29E0"/>
    <w:rPr>
      <w:rFonts w:ascii="CG Times" w:eastAsia="MS Mincho" w:hAnsi="CG Times" w:cs="CG Times"/>
      <w:sz w:val="22"/>
      <w:szCs w:val="22"/>
      <w:lang w:val="en-US" w:eastAsia="en-US" w:bidi="ar-SA"/>
    </w:rPr>
  </w:style>
  <w:style w:type="paragraph" w:customStyle="1" w:styleId="Titulli">
    <w:name w:val="Titulli"/>
    <w:next w:val="Normal"/>
    <w:link w:val="TitulliChar"/>
    <w:rsid w:val="003D29E0"/>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D29E0"/>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D29E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D29E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3D29E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D29E0"/>
    <w:rPr>
      <w:rFonts w:ascii="CG Times" w:eastAsia="MS Mincho" w:hAnsi="CG Times" w:cs="CG Times"/>
      <w:b/>
      <w:bCs/>
      <w:caps/>
      <w:color w:val="000000"/>
      <w:sz w:val="22"/>
      <w:szCs w:val="22"/>
      <w:lang w:val="en-GB" w:eastAsia="en-US" w:bidi="ar-SA"/>
    </w:rPr>
  </w:style>
  <w:style w:type="paragraph" w:customStyle="1" w:styleId="NeniTitull">
    <w:name w:val="Neni_Titull"/>
    <w:next w:val="Normal"/>
    <w:rsid w:val="00F4018F"/>
    <w:pPr>
      <w:keepNext/>
      <w:widowControl w:val="0"/>
      <w:jc w:val="center"/>
      <w:outlineLvl w:val="2"/>
    </w:pPr>
    <w:rPr>
      <w:rFonts w:ascii="Garamond" w:eastAsia="MS Mincho" w:hAnsi="Garamond" w:cs="CG Times"/>
      <w:b/>
      <w:bCs/>
      <w:sz w:val="24"/>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29398">
      <w:bodyDiv w:val="1"/>
      <w:marLeft w:val="0"/>
      <w:marRight w:val="0"/>
      <w:marTop w:val="0"/>
      <w:marBottom w:val="0"/>
      <w:divBdr>
        <w:top w:val="none" w:sz="0" w:space="0" w:color="auto"/>
        <w:left w:val="none" w:sz="0" w:space="0" w:color="auto"/>
        <w:bottom w:val="none" w:sz="0" w:space="0" w:color="auto"/>
        <w:right w:val="none" w:sz="0" w:space="0" w:color="auto"/>
      </w:divBdr>
    </w:div>
    <w:div w:id="24434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2564</Words>
  <Characters>14618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2025-10-29T13:10:00Z</dcterms:created>
  <dcterms:modified xsi:type="dcterms:W3CDTF">2025-10-29T13:10:00Z</dcterms:modified>
</cp:coreProperties>
</file>