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D87" w:rsidRPr="00AD54F0" w:rsidRDefault="00620D87" w:rsidP="00620D87">
      <w:pPr>
        <w:pStyle w:val="Akti"/>
        <w:keepNext w:val="0"/>
        <w:rPr>
          <w:lang w:val="sq-AL"/>
        </w:rPr>
      </w:pPr>
      <w:bookmarkStart w:id="0" w:name="_GoBack"/>
      <w:bookmarkEnd w:id="0"/>
      <w:r w:rsidRPr="00AD54F0">
        <w:rPr>
          <w:lang w:val="sq-AL"/>
        </w:rPr>
        <w:t>VENDIM</w:t>
      </w:r>
    </w:p>
    <w:p w:rsidR="00620D87" w:rsidRPr="00AD54F0" w:rsidRDefault="00620D87" w:rsidP="00620D87">
      <w:pPr>
        <w:pStyle w:val="NumriData"/>
        <w:keepNext w:val="0"/>
        <w:rPr>
          <w:lang w:val="sq-AL"/>
        </w:rPr>
      </w:pPr>
      <w:r w:rsidRPr="00AD54F0">
        <w:rPr>
          <w:lang w:val="sq-AL"/>
        </w:rPr>
        <w:t>Nr. 707, datë 21.8.2013</w:t>
      </w:r>
    </w:p>
    <w:p w:rsidR="00620D87" w:rsidRPr="00AD54F0" w:rsidRDefault="00620D87" w:rsidP="00620D87">
      <w:pPr>
        <w:pStyle w:val="Paragrafi"/>
        <w:rPr>
          <w:lang w:val="sq-AL"/>
        </w:rPr>
      </w:pPr>
    </w:p>
    <w:p w:rsidR="00620D87" w:rsidRDefault="00620D87" w:rsidP="00620D87">
      <w:pPr>
        <w:pStyle w:val="Titulli"/>
        <w:keepNext w:val="0"/>
        <w:rPr>
          <w:lang w:val="sq-AL"/>
        </w:rPr>
      </w:pPr>
      <w:r w:rsidRPr="00AD54F0">
        <w:rPr>
          <w:lang w:val="sq-AL"/>
        </w:rPr>
        <w:t xml:space="preserve">PËR DISA SHTESA DHE NDRYSHIME NË </w:t>
      </w:r>
    </w:p>
    <w:p w:rsidR="00620D87" w:rsidRPr="00AD54F0" w:rsidRDefault="00620D87" w:rsidP="00620D87">
      <w:pPr>
        <w:pStyle w:val="Titulli"/>
        <w:keepNext w:val="0"/>
        <w:rPr>
          <w:lang w:val="sq-AL"/>
        </w:rPr>
      </w:pPr>
      <w:r w:rsidRPr="00AD54F0">
        <w:rPr>
          <w:lang w:val="sq-AL"/>
        </w:rPr>
        <w:t>VENDIMIN NR. 23, DATË 12.1.2011 TË KËSHILLIT TË MINISTRAVE “PËR PËRCAKTIMIN E FUNKSIONEVE, TË PËRGJEGJËSIVE DHE TË MARRËDHËNIEVE NDËRMJET AUTORITETEVE E STRUKTURAVE TË MENAXHIMIT TË DECENTRALIZUAR TË ASISTENCËS SË BASHKIMIT EUROPIAN, NË KUADËR TË INSTRUMENTIT TË PA</w:t>
      </w:r>
      <w:r>
        <w:rPr>
          <w:lang w:val="sq-AL"/>
        </w:rPr>
        <w:t>RAZGJERIMIT (IPA), KOMPONENTI I</w:t>
      </w:r>
      <w:r w:rsidRPr="00AD54F0">
        <w:rPr>
          <w:lang w:val="sq-AL"/>
        </w:rPr>
        <w:t xml:space="preserve"> “ASISTENCA E TRANZICIONIT DHE FORCIMI INSTITUCIONAL””, TË NDRYSHUAR</w:t>
      </w:r>
      <w:r w:rsidRPr="00AD54F0">
        <w:rPr>
          <w:rStyle w:val="FootnoteReference"/>
          <w:lang w:val="sq-AL"/>
        </w:rPr>
        <w:footnoteReference w:id="1"/>
      </w:r>
      <w:r w:rsidRPr="00AD54F0">
        <w:rPr>
          <w:lang w:val="sq-AL"/>
        </w:rPr>
        <w:t xml:space="preserve"> </w:t>
      </w:r>
    </w:p>
    <w:p w:rsidR="00620D87" w:rsidRPr="00AD54F0" w:rsidRDefault="00620D87" w:rsidP="00620D87">
      <w:pPr>
        <w:pStyle w:val="Paragrafi"/>
        <w:rPr>
          <w:lang w:val="sq-AL"/>
        </w:rPr>
      </w:pP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Në mbështetje të nenit 100 të Kushtetutës, të neneve 6 dhe 8 të ligjit nr. 9840, datë 10.12.2007 “Për ratifikimin e marrëveshjes kuadër, ndërmjet Këshillit të Ministrave të Republikës së Shqipërisë dhe Komisionit të Komuniteteve Europiane, për rregullat e bashkëpunimit për asistencën për Shqipërinë, në kuadër të zbatimit të Instrumentit të Parazgjerimit (IPA)”, me propozimin e Ministrit të Financave dhe Ministrit të Integrimit, Këshilli i Ministrave</w:t>
      </w:r>
    </w:p>
    <w:p w:rsidR="00620D87" w:rsidRPr="00AD54F0" w:rsidRDefault="00620D87" w:rsidP="00620D87">
      <w:pPr>
        <w:pStyle w:val="Paragrafi"/>
        <w:rPr>
          <w:lang w:val="sq-AL"/>
        </w:rPr>
      </w:pPr>
    </w:p>
    <w:p w:rsidR="00620D87" w:rsidRPr="00AD54F0" w:rsidRDefault="00620D87" w:rsidP="00620D87">
      <w:pPr>
        <w:pStyle w:val="VENDOSI"/>
        <w:keepNext w:val="0"/>
        <w:rPr>
          <w:lang w:val="sq-AL"/>
        </w:rPr>
      </w:pPr>
      <w:r w:rsidRPr="00AD54F0">
        <w:rPr>
          <w:lang w:val="sq-AL"/>
        </w:rPr>
        <w:t>VENDOSI:</w:t>
      </w:r>
    </w:p>
    <w:p w:rsidR="00620D87" w:rsidRPr="00AD54F0" w:rsidRDefault="00620D87" w:rsidP="00620D87">
      <w:pPr>
        <w:pStyle w:val="Paragrafi"/>
        <w:rPr>
          <w:lang w:val="sq-AL"/>
        </w:rPr>
      </w:pP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Në vendimin nr. </w:t>
      </w:r>
      <w:r>
        <w:rPr>
          <w:lang w:val="sq-AL"/>
        </w:rPr>
        <w:t>23, datë 12.1.2011</w:t>
      </w:r>
      <w:r w:rsidRPr="00AD54F0">
        <w:rPr>
          <w:lang w:val="sq-AL"/>
        </w:rPr>
        <w:t xml:space="preserve"> të Këshillit të Ministrave, të ndryshuar, bëhen këto shtesa dhe ndryshime: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1. Në pikën 1 shtohet paragrafi, si më poshtë vijon: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“Vendimi u garanton autoriteteve të menaxhimit të decentralizuar ushtrimin e përgjegjësive të ngarkuara për menaxhimin, zbatimin dhe kontrollin e programeve të financuara nën IPA-n, edhe në rastet kur mes autoriteteve të përfshira në proces nuk ka lidhje hierarkike. Gjatë ushtrimit të funksioneve të tyre, këto autoritete krijojnë një sistem të përshtatshëm për shkëmbimin e informacionit ndërmjet tyre, standardet që duhen p</w:t>
      </w:r>
      <w:r>
        <w:rPr>
          <w:lang w:val="sq-AL"/>
        </w:rPr>
        <w:t>lotësuar dhe procedurat që duhen</w:t>
      </w:r>
      <w:r w:rsidRPr="00AD54F0">
        <w:rPr>
          <w:lang w:val="sq-AL"/>
        </w:rPr>
        <w:t xml:space="preserve"> ndjekur, të cilat përcaktohen në manualet e brendshme të procedurave.”.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2. Në paragrafin e fundit të pikës 2 shtohet paragrafi, si më poshtë vijon: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“Audituesit, gjatë kryerjes së detyrës, janë funksionalisht të pavarur dhe veprojnë në përputhje me përcaktimet e bëra në Kodin e Etikës të Agjencisë së Auditimit. Subjekti i audituar nuk mund të kundërshtojë, refuzojë apo pengojë misionin e auditit. Sipas objektit të veprimtarisë së auditimit, autoriteti i auditit ka të drejtë të kërkojë informacion dhe/ose akses mbi të gjitha të dhënat, asetet dhe personelin e subjektit të audituar. Subjekti i audituar duhet t’i sigurojë autoritetit të gjitha kushtet e nevojshme për të realizuar misionin e auditimit.”.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3. </w:t>
      </w:r>
      <w:r>
        <w:rPr>
          <w:lang w:val="sq-AL"/>
        </w:rPr>
        <w:t>Nënndarja “ii” e shkronjës “ç”</w:t>
      </w:r>
      <w:r w:rsidRPr="00AD54F0">
        <w:rPr>
          <w:lang w:val="sq-AL"/>
        </w:rPr>
        <w:t xml:space="preserve"> të pikës 3, n</w:t>
      </w:r>
      <w:r>
        <w:rPr>
          <w:lang w:val="sq-AL"/>
        </w:rPr>
        <w:t>dryshohet</w:t>
      </w:r>
      <w:r w:rsidRPr="00AD54F0">
        <w:rPr>
          <w:lang w:val="sq-AL"/>
        </w:rPr>
        <w:t xml:space="preserve"> si më poshtë vijon: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“ii) Zbatimin dhe monitorimin në nivel programi e nivel projekti, për </w:t>
      </w:r>
      <w:r>
        <w:rPr>
          <w:lang w:val="sq-AL"/>
        </w:rPr>
        <w:t>komponentët</w:t>
      </w:r>
      <w:r w:rsidRPr="00AD54F0">
        <w:rPr>
          <w:lang w:val="sq-AL"/>
        </w:rPr>
        <w:t xml:space="preserve"> e IPA-s, dhe përgatitjen e raportit</w:t>
      </w:r>
      <w:r>
        <w:rPr>
          <w:lang w:val="sq-AL"/>
        </w:rPr>
        <w:t xml:space="preserve"> vjetor/final, të cilin KKIPA</w:t>
      </w:r>
      <w:r w:rsidRPr="00AD54F0">
        <w:rPr>
          <w:lang w:val="sq-AL"/>
        </w:rPr>
        <w:t>/NIPAC-ja do t’ua dërgoj</w:t>
      </w:r>
      <w:r>
        <w:rPr>
          <w:lang w:val="sq-AL"/>
        </w:rPr>
        <w:t>ë Komisionit Europian dhe ZKA</w:t>
      </w:r>
      <w:r w:rsidRPr="00AD54F0">
        <w:rPr>
          <w:lang w:val="sq-AL"/>
        </w:rPr>
        <w:t>/NAO-së, bazuar në nenin 38 të marrëveshjes kuadër.”.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4. </w:t>
      </w:r>
      <w:r>
        <w:rPr>
          <w:lang w:val="sq-AL"/>
        </w:rPr>
        <w:t>Shkronja “c” e pikës 8</w:t>
      </w:r>
      <w:r w:rsidRPr="00AD54F0">
        <w:rPr>
          <w:lang w:val="sq-AL"/>
        </w:rPr>
        <w:t xml:space="preserve"> ndryshohet si më poshtë vijon: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“c) ZAP/PAO</w:t>
      </w:r>
      <w:r>
        <w:rPr>
          <w:lang w:val="sq-AL"/>
        </w:rPr>
        <w:t>-ja</w:t>
      </w:r>
      <w:r w:rsidRPr="00AD54F0">
        <w:rPr>
          <w:lang w:val="sq-AL"/>
        </w:rPr>
        <w:t xml:space="preserve"> është përgjegjës</w:t>
      </w:r>
      <w:r>
        <w:rPr>
          <w:lang w:val="sq-AL"/>
        </w:rPr>
        <w:t>e</w:t>
      </w:r>
      <w:r w:rsidRPr="00AD54F0">
        <w:rPr>
          <w:lang w:val="sq-AL"/>
        </w:rPr>
        <w:t xml:space="preserve"> për të informuar KKIPA/NIPAC-në për zbatimin e kontra</w:t>
      </w:r>
      <w:r>
        <w:rPr>
          <w:lang w:val="sq-AL"/>
        </w:rPr>
        <w:t>tave dhe për t’i siguruar ZKA</w:t>
      </w:r>
      <w:r w:rsidRPr="00AD54F0">
        <w:rPr>
          <w:lang w:val="sq-AL"/>
        </w:rPr>
        <w:t xml:space="preserve">/NAO-së ligjshmërinë e rregullsinë e shpenzimeve apo aspekteve të tjera financiare që lidhen me zbatimin e kontratave.”.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5. </w:t>
      </w:r>
      <w:r>
        <w:rPr>
          <w:lang w:val="sq-AL"/>
        </w:rPr>
        <w:t>Shkronja “a” e pikës 9</w:t>
      </w:r>
      <w:r w:rsidRPr="00AD54F0">
        <w:rPr>
          <w:lang w:val="sq-AL"/>
        </w:rPr>
        <w:t xml:space="preserve"> ndryshohet si më poshtë vijon:</w:t>
      </w:r>
    </w:p>
    <w:p w:rsidR="00620D87" w:rsidRDefault="00620D87" w:rsidP="00620D87">
      <w:pPr>
        <w:pStyle w:val="Paragrafi"/>
        <w:rPr>
          <w:lang w:val="sq-AL"/>
        </w:rPr>
      </w:pP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“a) </w:t>
      </w:r>
      <w:r>
        <w:rPr>
          <w:lang w:val="sq-AL"/>
        </w:rPr>
        <w:t>ZLP</w:t>
      </w:r>
      <w:r w:rsidRPr="00AD54F0">
        <w:rPr>
          <w:lang w:val="sq-AL"/>
        </w:rPr>
        <w:t xml:space="preserve">/SPO-ja është një person i caktuar nga ministri i linjës apo institucioni përfitues, dhe </w:t>
      </w:r>
      <w:r>
        <w:rPr>
          <w:lang w:val="sq-AL"/>
        </w:rPr>
        <w:t>i emëruar nga ZAP/PAO-ja. ZLP/SPO-ja</w:t>
      </w:r>
      <w:r w:rsidRPr="00AD54F0">
        <w:rPr>
          <w:lang w:val="sq-AL"/>
        </w:rPr>
        <w:t xml:space="preserve"> është përgjegjëse për aspektet teknike të projekteve që do të zbatohen në ministrinë e linjës apo në institucionin përfit</w:t>
      </w:r>
      <w:r>
        <w:rPr>
          <w:lang w:val="sq-AL"/>
        </w:rPr>
        <w:t>ues dhe asiston ZAP/PAO-në</w:t>
      </w:r>
      <w:r w:rsidRPr="00AD54F0">
        <w:rPr>
          <w:lang w:val="sq-AL"/>
        </w:rPr>
        <w:t xml:space="preserve"> </w:t>
      </w:r>
      <w:r>
        <w:rPr>
          <w:lang w:val="sq-AL"/>
        </w:rPr>
        <w:t xml:space="preserve">në </w:t>
      </w:r>
      <w:r w:rsidRPr="00AD54F0">
        <w:rPr>
          <w:lang w:val="sq-AL"/>
        </w:rPr>
        <w:t xml:space="preserve">përgatitjen dhe zbatimin e kontratës në kohë e në mënyrë të përshtatshme.”.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6. </w:t>
      </w:r>
      <w:r>
        <w:rPr>
          <w:lang w:val="sq-AL"/>
        </w:rPr>
        <w:t>Shkronja “b” e pikës 9</w:t>
      </w:r>
      <w:r w:rsidRPr="00AD54F0">
        <w:rPr>
          <w:lang w:val="sq-AL"/>
        </w:rPr>
        <w:t xml:space="preserve"> ndr</w:t>
      </w:r>
      <w:r>
        <w:rPr>
          <w:lang w:val="sq-AL"/>
        </w:rPr>
        <w:t>yshohet</w:t>
      </w:r>
      <w:r w:rsidRPr="00AD54F0">
        <w:rPr>
          <w:lang w:val="sq-AL"/>
        </w:rPr>
        <w:t xml:space="preserve"> si më poshtë vijon: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“b) </w:t>
      </w:r>
      <w:r>
        <w:rPr>
          <w:lang w:val="sq-AL"/>
        </w:rPr>
        <w:t>ZLP</w:t>
      </w:r>
      <w:r w:rsidRPr="00AD54F0">
        <w:rPr>
          <w:lang w:val="sq-AL"/>
        </w:rPr>
        <w:t xml:space="preserve">/SPO-të janë përgjegjës për programimin, zbatimin dhe monitorimin e kontratave e projekteve ku ministritë ose institucionet përkatëse janë përfituesit, sipas kompenentit I. </w:t>
      </w:r>
      <w:r>
        <w:rPr>
          <w:lang w:val="sq-AL"/>
        </w:rPr>
        <w:t>ZLP</w:t>
      </w:r>
      <w:r w:rsidRPr="00AD54F0">
        <w:rPr>
          <w:lang w:val="sq-AL"/>
        </w:rPr>
        <w:t>/SPO-të bashkërendojnë punën brenda ministrisë ose institucionit për</w:t>
      </w:r>
      <w:r>
        <w:rPr>
          <w:lang w:val="sq-AL"/>
        </w:rPr>
        <w:t>katës dhe raportojnë te KKIPA</w:t>
      </w:r>
      <w:r w:rsidRPr="00AD54F0">
        <w:rPr>
          <w:lang w:val="sq-AL"/>
        </w:rPr>
        <w:t xml:space="preserve">/NIPAC-ja për funksionet e programimit, të tilla si: analizat sektoriale, identifikimi i projektit, përgatitja e fishave të projekteve dhe monitorimi i projekteve.”.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7. Nënndarja “i” e shkronjës “a” të pikës 11, ndryshohet si më poshtë vijon: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“i) Kryerjen e procedurave të tenderimit, kontraktimit, regjistrimin e transaksioneve në sistemin e kontabilitetit, kryerjen e pagesave dhe monitorimin e kontratave të lidhura për projektet e financuara nën</w:t>
      </w:r>
      <w:r>
        <w:rPr>
          <w:lang w:val="sq-AL"/>
        </w:rPr>
        <w:t xml:space="preserve"> komponentin I</w:t>
      </w:r>
      <w:r w:rsidRPr="00AD54F0">
        <w:rPr>
          <w:lang w:val="sq-AL"/>
        </w:rPr>
        <w:t xml:space="preserve"> të IPA-s, dhe kontrollin e brendshëm, bazuar në kërkesat e sistemit të menaxhimit të decentralizuar të IPA-s.”.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8. Nënndarja “i” e shkronjës “b” të pikës 11, ndryshohet si më poshtë vijon:</w:t>
      </w:r>
    </w:p>
    <w:p w:rsidR="00620D87" w:rsidRPr="00AD54F0" w:rsidRDefault="00620D87" w:rsidP="00620D87">
      <w:pPr>
        <w:pStyle w:val="Paragrafi"/>
        <w:rPr>
          <w:lang w:val="sq-AL"/>
        </w:rPr>
      </w:pPr>
      <w:r>
        <w:rPr>
          <w:lang w:val="sq-AL"/>
        </w:rPr>
        <w:t>“i)</w:t>
      </w:r>
      <w:r w:rsidRPr="00AD54F0">
        <w:rPr>
          <w:lang w:val="sq-AL"/>
        </w:rPr>
        <w:t xml:space="preserve"> Programimin, zbatimin dhe monitorimin e kontratave e projekteve financuar nga komponenti I i IPA-së, si dhe përmbushjen e funksioneve që kanë të bëjnë me zbatimin teknik të kontratave e projekteve.”.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9. Shkronja “ç” e pikës 11, ndryshohet si më poshtë vijon: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“ç) </w:t>
      </w:r>
      <w:r>
        <w:rPr>
          <w:lang w:val="sq-AL"/>
        </w:rPr>
        <w:t>Zyra e KKIPA</w:t>
      </w:r>
      <w:r w:rsidRPr="00AD54F0">
        <w:rPr>
          <w:lang w:val="sq-AL"/>
        </w:rPr>
        <w:t xml:space="preserve">/NIPAC-së është strukturë në ministrinë përgjegjëse për integrimin </w:t>
      </w:r>
      <w:r>
        <w:rPr>
          <w:lang w:val="sq-AL"/>
        </w:rPr>
        <w:t>europian</w:t>
      </w:r>
      <w:r w:rsidRPr="00AD54F0">
        <w:rPr>
          <w:lang w:val="sq-AL"/>
        </w:rPr>
        <w:t xml:space="preserve">, e krijuar me urdhër të ministrit të integrimit, për të mbështetur </w:t>
      </w:r>
      <w:r>
        <w:rPr>
          <w:lang w:val="sq-AL"/>
        </w:rPr>
        <w:t>KKIPA</w:t>
      </w:r>
      <w:r w:rsidRPr="00AD54F0">
        <w:rPr>
          <w:lang w:val="sq-AL"/>
        </w:rPr>
        <w:t>/NIPAC-në në ushtrimin e funksioneve të programimit, implementimit, monitorimit e të vlerësimeve interim, dhe kryen këto detyra: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i) Për sa i përket programimit, kjo zyrë organizon procesin e programimit sipas manualit për</w:t>
      </w:r>
      <w:r>
        <w:rPr>
          <w:lang w:val="sq-AL"/>
        </w:rPr>
        <w:t>katës të programimit të KKIPA</w:t>
      </w:r>
      <w:r w:rsidRPr="00AD54F0">
        <w:rPr>
          <w:lang w:val="sq-AL"/>
        </w:rPr>
        <w:t>/NIPAC-së dhe Manualit të Programimit IPA, të Komisionit Europian. Gjithash</w:t>
      </w:r>
      <w:r>
        <w:rPr>
          <w:lang w:val="sq-AL"/>
        </w:rPr>
        <w:t>tu, kjo zyrë dorëzon te KKIPA</w:t>
      </w:r>
      <w:r w:rsidRPr="00AD54F0">
        <w:rPr>
          <w:lang w:val="sq-AL"/>
        </w:rPr>
        <w:t>/NIPAC-ja draftin e fundit të projektfishave për programet në komponentin I të IPA-së.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ii) Për sa u përket implentimit të projekteve dhe programeve, kjo zyrë është përgjegjëse për të ndjekur, në bashkëpunim me </w:t>
      </w:r>
      <w:r>
        <w:rPr>
          <w:lang w:val="sq-AL"/>
        </w:rPr>
        <w:t>ZLP</w:t>
      </w:r>
      <w:r w:rsidRPr="00AD54F0">
        <w:rPr>
          <w:lang w:val="sq-AL"/>
        </w:rPr>
        <w:t>/SPO-në përmbushjen e objektivave dhe rezultateve të përcaktuara, si dhe mënyrën e përdorimit të produkteve të kontratave.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iii) Për sa i përket monitorimit, kjo zyrë është përgjegjëse për përgatitjen e raporteve vjetore/përfundimtare për implementimin, organizimin e takimeve të Komitetit të Monitorimit IPA, dhe për veprimtaritë pasardhëse lidhur me këtë komitet. Lidhur</w:t>
      </w:r>
      <w:r>
        <w:rPr>
          <w:lang w:val="sq-AL"/>
        </w:rPr>
        <w:t xml:space="preserve"> me monitorimin e komponentit I</w:t>
      </w:r>
      <w:r w:rsidRPr="00AD54F0">
        <w:rPr>
          <w:lang w:val="sq-AL"/>
        </w:rPr>
        <w:t xml:space="preserve"> të IPA-s, Zyra e </w:t>
      </w:r>
      <w:r>
        <w:rPr>
          <w:lang w:val="sq-AL"/>
        </w:rPr>
        <w:t>KKIPA</w:t>
      </w:r>
      <w:r w:rsidRPr="00AD54F0">
        <w:rPr>
          <w:lang w:val="sq-AL"/>
        </w:rPr>
        <w:t xml:space="preserve">/NIPAC-së është përgjegjëse për përgatitjen e </w:t>
      </w:r>
      <w:r>
        <w:rPr>
          <w:lang w:val="sq-AL"/>
        </w:rPr>
        <w:t>draf</w:t>
      </w:r>
      <w:r w:rsidRPr="00AD54F0">
        <w:rPr>
          <w:lang w:val="sq-AL"/>
        </w:rPr>
        <w:t>tit vjetor të raportit të implementimit mbi programet kombëtare, organizimin e takimeve të komitetit të monitorimit për komponentin I të IPA-së, si dhe për monitorimin në nivel projekti dhe programi, bazuar në Manualin e Monitorimit dhe Vlerësimit.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iv) Lidhur me vle</w:t>
      </w:r>
      <w:r>
        <w:rPr>
          <w:lang w:val="sq-AL"/>
        </w:rPr>
        <w:t>rësimin interim, zyra e KKIPA</w:t>
      </w:r>
      <w:r w:rsidRPr="00AD54F0">
        <w:rPr>
          <w:lang w:val="sq-AL"/>
        </w:rPr>
        <w:t xml:space="preserve">/NIPAC-së është përgjegjëse për përgatitjen e planit interim të vlerësimit për programet e komponentit I të IPA-së, si dhe dorëzimin e vlerësimeve interim pranë </w:t>
      </w:r>
      <w:r>
        <w:rPr>
          <w:lang w:val="sq-AL"/>
        </w:rPr>
        <w:t>KKIPA</w:t>
      </w:r>
      <w:r w:rsidRPr="00AD54F0">
        <w:rPr>
          <w:lang w:val="sq-AL"/>
        </w:rPr>
        <w:t xml:space="preserve">/NIPAC-së, që ky i fundit e paraqet në Komitetin e </w:t>
      </w:r>
      <w:r>
        <w:rPr>
          <w:lang w:val="sq-AL"/>
        </w:rPr>
        <w:t>Monitorimit IPA. Zyra e KKIPA</w:t>
      </w:r>
      <w:r w:rsidRPr="00AD54F0">
        <w:rPr>
          <w:lang w:val="sq-AL"/>
        </w:rPr>
        <w:t>/NIPAC-së përgatit termat e referencës për marrjen e vlerësuesve interim dhe shërben si pikë kontakti gjatë vlerësimeve interim.”.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10. Pas pikës 12 shtohet pika 12/1 me këtë përmbajtje: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“12/1. Komiteti Ndërministror për Koordinimin e Programeve IPA:</w:t>
      </w:r>
    </w:p>
    <w:p w:rsidR="00620D87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i) Komiteti Ndërministror për Koordinimin e Programeve IPA është një grup ndërinsitucional pune, i cili ngrihet pranë </w:t>
      </w:r>
      <w:r w:rsidRPr="00417042">
        <w:rPr>
          <w:lang w:val="sq-AL"/>
        </w:rPr>
        <w:t>ministrisë</w:t>
      </w:r>
      <w:r w:rsidRPr="00AD54F0">
        <w:rPr>
          <w:lang w:val="sq-AL"/>
        </w:rPr>
        <w:t xml:space="preserve"> përgjegjëse për integrimin </w:t>
      </w:r>
      <w:r w:rsidRPr="00417042">
        <w:rPr>
          <w:lang w:val="sq-AL"/>
        </w:rPr>
        <w:t>europian</w:t>
      </w:r>
      <w:r w:rsidRPr="00AD54F0">
        <w:rPr>
          <w:lang w:val="sq-AL"/>
        </w:rPr>
        <w:t xml:space="preserve">, me urdhër të Kryeministrit, dhe ka për qëllim të shërbejë si mekanizëm koordinimi për monitorimin e zbatimit të projekteve dhe </w:t>
      </w:r>
      <w:r>
        <w:rPr>
          <w:lang w:val="sq-AL"/>
        </w:rPr>
        <w:t>programe</w:t>
      </w:r>
      <w:r w:rsidRPr="00AD54F0">
        <w:rPr>
          <w:lang w:val="sq-AL"/>
        </w:rPr>
        <w:t>ve IPA. 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ii) Grupi ndërinsitucional i</w:t>
      </w:r>
      <w:r>
        <w:rPr>
          <w:lang w:val="sq-AL"/>
        </w:rPr>
        <w:t xml:space="preserve"> punës kryesohet nga KKIPA</w:t>
      </w:r>
      <w:r w:rsidRPr="00AD54F0">
        <w:rPr>
          <w:lang w:val="sq-AL"/>
        </w:rPr>
        <w:t>/</w:t>
      </w:r>
      <w:r>
        <w:rPr>
          <w:lang w:val="sq-AL"/>
        </w:rPr>
        <w:t>NIPAC-ja dhe përbëhet nga ZKA/NAO-ja, ZAP</w:t>
      </w:r>
      <w:r w:rsidRPr="00AD54F0">
        <w:rPr>
          <w:lang w:val="sq-AL"/>
        </w:rPr>
        <w:t>/PAO-ja, zëvendësministrat e ministrive të linjës të ngarkuar për të ndjekur programet</w:t>
      </w:r>
      <w:r>
        <w:rPr>
          <w:lang w:val="sq-AL"/>
        </w:rPr>
        <w:t xml:space="preserve"> IPA, ZLP</w:t>
      </w:r>
      <w:r w:rsidRPr="00AD54F0">
        <w:rPr>
          <w:lang w:val="sq-AL"/>
        </w:rPr>
        <w:t xml:space="preserve">/SPO-të e ministrive të linjës dhe/ose institucioneve të tjera, përfaqësues të Departamentit </w:t>
      </w:r>
      <w:r>
        <w:rPr>
          <w:lang w:val="sq-AL"/>
        </w:rPr>
        <w:t xml:space="preserve">të </w:t>
      </w:r>
      <w:r w:rsidRPr="00AD54F0">
        <w:rPr>
          <w:lang w:val="sq-AL"/>
        </w:rPr>
        <w:t>Bashkërendimit të Strategjive dhe Koordinimit të Ndihmës së Huaj, pranë Këshillit të Ministrave, dhe përfaqësues të Drejtorisë së Përgjithshme të Buxhetit, pranë Ministrisë së Financave.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 xml:space="preserve">iii) Komiteti Ndërministror për Koordinimin e Programeve IPA është përgjegjës për hartimin dhe rishikimin e planit të veprimeve/masave që duhen ndërmarrë për çdo </w:t>
      </w:r>
      <w:r w:rsidRPr="003A2334">
        <w:rPr>
          <w:lang w:val="sq-AL"/>
        </w:rPr>
        <w:t xml:space="preserve">projekt problematik </w:t>
      </w:r>
      <w:r w:rsidRPr="00AD54F0">
        <w:rPr>
          <w:lang w:val="sq-AL"/>
        </w:rPr>
        <w:t>të financuar nga programet IPA. Ky Komitet mund të organizojë inspektime në terren, për të monitoruar zbatimin e planit të veprimit.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iv) Në rastet e projekteve problematike, të cilat nuk marrin zgjidhje, Komiteti Ndërministror për Koordinimin e Programeve IPA i propozon Komitetit të Planifikimit Strategjik marrjen e masave konkrete për institucionet përfituese.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v) Zyra e</w:t>
      </w:r>
      <w:r>
        <w:rPr>
          <w:lang w:val="sq-AL"/>
        </w:rPr>
        <w:t xml:space="preserve"> KKIPA</w:t>
      </w:r>
      <w:r w:rsidRPr="00AD54F0">
        <w:rPr>
          <w:lang w:val="sq-AL"/>
        </w:rPr>
        <w:t xml:space="preserve">/NIPAC-së do të shërbejë si </w:t>
      </w:r>
      <w:r>
        <w:rPr>
          <w:lang w:val="sq-AL"/>
        </w:rPr>
        <w:t>sekretariat</w:t>
      </w:r>
      <w:r w:rsidRPr="00AD54F0">
        <w:rPr>
          <w:lang w:val="sq-AL"/>
        </w:rPr>
        <w:t xml:space="preserve"> i Komitetit Ndërministror për Koordinimin e Programeve IPA.”. </w:t>
      </w:r>
    </w:p>
    <w:p w:rsidR="00620D87" w:rsidRPr="00AD54F0" w:rsidRDefault="00620D87" w:rsidP="00620D87">
      <w:pPr>
        <w:pStyle w:val="Paragrafi"/>
        <w:rPr>
          <w:lang w:val="sq-AL"/>
        </w:rPr>
      </w:pPr>
      <w:r w:rsidRPr="00AD54F0">
        <w:rPr>
          <w:lang w:val="sq-AL"/>
        </w:rPr>
        <w:t>Ky vendim hyn në fuqi pas botimit në Fletoren Zyrtare.</w:t>
      </w:r>
    </w:p>
    <w:p w:rsidR="00620D87" w:rsidRPr="00AD54F0" w:rsidRDefault="00620D87" w:rsidP="00620D87">
      <w:pPr>
        <w:pStyle w:val="Autoriteti"/>
        <w:keepNext w:val="0"/>
        <w:rPr>
          <w:lang w:val="sq-AL"/>
        </w:rPr>
      </w:pPr>
      <w:r w:rsidRPr="00AD54F0">
        <w:rPr>
          <w:lang w:val="sq-AL"/>
        </w:rPr>
        <w:t>Kryeministri</w:t>
      </w:r>
    </w:p>
    <w:p w:rsidR="00620D87" w:rsidRPr="00AD54F0" w:rsidRDefault="00620D87" w:rsidP="00620D87">
      <w:pPr>
        <w:pStyle w:val="AutoritetiEmer"/>
        <w:rPr>
          <w:lang w:val="sq-AL"/>
        </w:rPr>
      </w:pPr>
      <w:r w:rsidRPr="00AD54F0">
        <w:rPr>
          <w:lang w:val="sq-AL"/>
        </w:rPr>
        <w:t>Sali Berisha</w:t>
      </w:r>
    </w:p>
    <w:sectPr w:rsidR="00620D87" w:rsidRPr="00AD54F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882" w:rsidRDefault="00586882" w:rsidP="00620D87">
      <w:pPr>
        <w:spacing w:after="0" w:line="240" w:lineRule="auto"/>
      </w:pPr>
      <w:r>
        <w:separator/>
      </w:r>
    </w:p>
  </w:endnote>
  <w:endnote w:type="continuationSeparator" w:id="0">
    <w:p w:rsidR="00586882" w:rsidRDefault="00586882" w:rsidP="00620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882" w:rsidRDefault="00586882" w:rsidP="00620D87">
      <w:pPr>
        <w:spacing w:after="0" w:line="240" w:lineRule="auto"/>
      </w:pPr>
      <w:r>
        <w:separator/>
      </w:r>
    </w:p>
  </w:footnote>
  <w:footnote w:type="continuationSeparator" w:id="0">
    <w:p w:rsidR="00586882" w:rsidRDefault="00586882" w:rsidP="00620D87">
      <w:pPr>
        <w:spacing w:after="0" w:line="240" w:lineRule="auto"/>
      </w:pPr>
      <w:r>
        <w:continuationSeparator/>
      </w:r>
    </w:p>
  </w:footnote>
  <w:footnote w:id="1">
    <w:p w:rsidR="00620D87" w:rsidRPr="00F82CD1" w:rsidRDefault="00620D87" w:rsidP="00620D87">
      <w:pPr>
        <w:pStyle w:val="FootnoteText"/>
        <w:jc w:val="both"/>
        <w:rPr>
          <w:rFonts w:ascii="CG Times" w:hAnsi="CG Times"/>
        </w:rPr>
      </w:pPr>
      <w:r w:rsidRPr="00F82CD1">
        <w:rPr>
          <w:rStyle w:val="FootnoteReference"/>
          <w:rFonts w:ascii="CG Times" w:hAnsi="CG Times"/>
        </w:rPr>
        <w:footnoteRef/>
      </w:r>
      <w:r>
        <w:rPr>
          <w:rFonts w:ascii="CG Times" w:hAnsi="CG Times"/>
        </w:rPr>
        <w:t xml:space="preserve"> Shënim.</w:t>
      </w:r>
      <w:r w:rsidRPr="00F82CD1">
        <w:rPr>
          <w:rFonts w:ascii="CG Times" w:hAnsi="CG Times"/>
        </w:rPr>
        <w:t xml:space="preserve"> Në përputhje me EU Acquis, ID Celex-32007R0718, Rregullore e Komisionit Europian (KE) nr. 718/2007, datë 12 qershor 2007, e cila implementon Rregulloren e Këshillit Europian (KE) nr. 1085/2006, që krijon Asistencën e Instrumentit të Parazgjerimit (IPA).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20D87"/>
    <w:rsid w:val="00586882"/>
    <w:rsid w:val="00620D87"/>
    <w:rsid w:val="009B1759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7CF418-DCE8-461C-9C12-8AF9D08A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20D8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620D8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20D8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620D8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20D8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620D8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620D8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620D8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20D8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20D8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620D8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620D8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620D87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620D8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620D8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20D8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