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C75" w:rsidRPr="00AD54F0" w:rsidRDefault="00B25C75" w:rsidP="00B25C75">
      <w:pPr>
        <w:pStyle w:val="Akti"/>
        <w:keepNext w:val="0"/>
        <w:rPr>
          <w:lang w:val="sq-AL"/>
        </w:rPr>
      </w:pPr>
      <w:bookmarkStart w:id="0" w:name="_GoBack"/>
      <w:bookmarkEnd w:id="0"/>
      <w:r w:rsidRPr="00AD54F0">
        <w:rPr>
          <w:lang w:val="sq-AL"/>
        </w:rPr>
        <w:t>VENDIM</w:t>
      </w:r>
    </w:p>
    <w:p w:rsidR="00B25C75" w:rsidRPr="00AD54F0" w:rsidRDefault="00B25C75" w:rsidP="00B25C75">
      <w:pPr>
        <w:pStyle w:val="NumriData"/>
        <w:keepNext w:val="0"/>
        <w:rPr>
          <w:lang w:val="sq-AL"/>
        </w:rPr>
      </w:pPr>
      <w:r w:rsidRPr="00AD54F0">
        <w:rPr>
          <w:lang w:val="sq-AL"/>
        </w:rPr>
        <w:t>Nr. 710, datë 21.8.2013</w:t>
      </w:r>
    </w:p>
    <w:p w:rsidR="00B25C75" w:rsidRPr="00AD54F0" w:rsidRDefault="00B25C75" w:rsidP="00B25C75">
      <w:pPr>
        <w:pStyle w:val="Paragrafi"/>
        <w:rPr>
          <w:lang w:val="sq-AL"/>
        </w:rPr>
      </w:pPr>
    </w:p>
    <w:p w:rsidR="00B25C75" w:rsidRPr="00AD54F0" w:rsidRDefault="00B25C75" w:rsidP="00B25C75">
      <w:pPr>
        <w:pStyle w:val="Titulli"/>
        <w:keepNext w:val="0"/>
        <w:rPr>
          <w:lang w:val="sq-AL"/>
        </w:rPr>
      </w:pPr>
      <w:r w:rsidRPr="00AD54F0">
        <w:rPr>
          <w:lang w:val="sq-AL"/>
        </w:rPr>
        <w:t>PËR KRIJIMIN DHE FUNKSIONIMIN E SISTEMEVE TË RUAJTJES SË INFORMACIONIT, VAZHDUESHMËRISË SË PUNËS DHE MARRËVESHJEVE TË NIVELIT TË SHËRBIMIT</w:t>
      </w:r>
    </w:p>
    <w:p w:rsidR="00B25C75" w:rsidRPr="00AD54F0" w:rsidRDefault="00B25C75" w:rsidP="00B25C75">
      <w:pPr>
        <w:pStyle w:val="Paragrafi"/>
        <w:rPr>
          <w:lang w:val="sq-AL"/>
        </w:rPr>
      </w:pP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Në mbështetje të nenit 100 të Kushtetutës, të ligjit nr. 10 325 datë, 23.9.2010 “Për bazat e të dhënave shtetërore”, dhe të pikës 3 të nenit 21 të ligjit nr. 10 273, datë 29.4.2010 “Për dokumentin elektronik”, me propozimin e Ministrit për Inovacionin, Teknologjinë e Informacionit dhe të Komunikimit, Këshilli i Ministrave</w:t>
      </w:r>
    </w:p>
    <w:p w:rsidR="00B25C75" w:rsidRPr="00AD54F0" w:rsidRDefault="00B25C75" w:rsidP="00B25C75">
      <w:pPr>
        <w:pStyle w:val="Paragrafi"/>
        <w:rPr>
          <w:lang w:val="sq-AL"/>
        </w:rPr>
      </w:pPr>
    </w:p>
    <w:p w:rsidR="00B25C75" w:rsidRPr="00AD54F0" w:rsidRDefault="00B25C75" w:rsidP="00B25C75">
      <w:pPr>
        <w:pStyle w:val="VENDOSI"/>
        <w:keepNext w:val="0"/>
        <w:rPr>
          <w:lang w:val="sq-AL"/>
        </w:rPr>
      </w:pPr>
      <w:r w:rsidRPr="00AD54F0">
        <w:rPr>
          <w:lang w:val="sq-AL"/>
        </w:rPr>
        <w:t>VENDOSI:</w:t>
      </w:r>
    </w:p>
    <w:p w:rsidR="00B25C75" w:rsidRPr="00AD54F0" w:rsidRDefault="00B25C75" w:rsidP="00B25C75">
      <w:pPr>
        <w:pStyle w:val="Paragrafi"/>
        <w:rPr>
          <w:lang w:val="sq-AL"/>
        </w:rPr>
      </w:pP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1. Çdo institucion, i cili ka ose do të zhvillojë një sistem në fushën e teknologjisë së informacionit, që ofron shërbime për qytetarët, për biznesin dhe për ndërveprim e shkëmbim informacioni për administratën publike nëpërmjet sistemeve elektronike, duhet të parashikojë dhe të realizojë investime për krijimin e sistemit të vazhdueshmërisë së punës (</w:t>
      </w:r>
      <w:r w:rsidRPr="00AD54F0">
        <w:rPr>
          <w:i/>
          <w:lang w:val="sq-AL"/>
        </w:rPr>
        <w:t>Business Continuity</w:t>
      </w:r>
      <w:r w:rsidRPr="00AD54F0">
        <w:rPr>
          <w:lang w:val="sq-AL"/>
        </w:rPr>
        <w:t>) dhe sistemit të ruajtjes së informacionit (</w:t>
      </w:r>
      <w:r w:rsidRPr="00AD54F0">
        <w:rPr>
          <w:i/>
          <w:lang w:val="sq-AL"/>
        </w:rPr>
        <w:t>Backup</w:t>
      </w:r>
      <w:r w:rsidRPr="00AD54F0">
        <w:rPr>
          <w:lang w:val="sq-AL"/>
        </w:rPr>
        <w:t>); me qëllim mundësimin e ofrimit të shërbimit pa ndërprerje dhe parandalimin e humbjes ose</w:t>
      </w:r>
      <w:r>
        <w:rPr>
          <w:lang w:val="sq-AL"/>
        </w:rPr>
        <w:t xml:space="preserve"> të</w:t>
      </w:r>
      <w:r w:rsidRPr="00AD54F0">
        <w:rPr>
          <w:lang w:val="sq-AL"/>
        </w:rPr>
        <w:t xml:space="preserve"> shkatërrimit aksidental të të dhënave.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Institucioni, gjatë projektimit të këtyre sistemeve, duhet të parashikojë që nyja primare duhet të hostohet pranë Qendrës së të Dhënave Qeveritare.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Në veçanti institucioni duhet: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a) Të sigurojë që sistemet e teknologjisë së informacionit të përpunojnë informacionin në mënyrë që të garantohet efikasiteti i ofrimit të shërbimeve.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b) Të evidentojë sistemet ose pjesët e sistemeve, të cilat janë kritike për ofrimin e shërbimit 24 orë në 7 ditë të javës dhe të ketë plane të dokumentuara për menaxhimin e riskut, teknikat e menaxhimit dhe të vlerësimit të performancës së tij. Me qëllim garantimin e mirëfunksionimit të këtyre teknikave të menaxhimit të riskut, institucioni kryen auditime të brendshme.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c) Të hartojë dokumentin e politikave të vazhdueshmërisë së punës dhe një plan për ruajtjen e informacionit, në përputhje me udhëzimet të nxjerra nga ministri për çështjet e teknologjisë së informacionit.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Dokumenti i politikave të vazhdueshmërisë së punës duhet të përmbajë politi</w:t>
      </w:r>
      <w:r>
        <w:rPr>
          <w:lang w:val="sq-AL"/>
        </w:rPr>
        <w:t>kat dhe objektivat e përcaktuar</w:t>
      </w:r>
      <w:r w:rsidRPr="00AD54F0">
        <w:rPr>
          <w:lang w:val="sq-AL"/>
        </w:rPr>
        <w:t>, për të siguruar vazhdimësinë e punës së këtyre sistemeve, të cilat administrohen nga institucioni ose palët e treta.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Me qëllim garantimin e vazhdueshmërisë së ofrimit të shërbimeve në raste të jashtëzakonshme emergjencash, të hartojë një plan të rikuperimit nga katastrofa (</w:t>
      </w:r>
      <w:r w:rsidRPr="003A2334">
        <w:rPr>
          <w:i/>
          <w:lang w:val="sq-AL"/>
        </w:rPr>
        <w:t>disaster recovery</w:t>
      </w:r>
      <w:r w:rsidRPr="00AD54F0">
        <w:rPr>
          <w:lang w:val="sq-AL"/>
        </w:rPr>
        <w:t>), i cili përmban masa dhe procedura</w:t>
      </w:r>
      <w:r>
        <w:rPr>
          <w:lang w:val="sq-AL"/>
        </w:rPr>
        <w:t>,</w:t>
      </w:r>
      <w:r w:rsidRPr="00AD54F0">
        <w:rPr>
          <w:lang w:val="sq-AL"/>
        </w:rPr>
        <w:t xml:space="preserve"> të mirëdokumentuara për rivendosjen në funksionim të sistemit në rastet e emergjencave. Këto masa dhe procedura</w:t>
      </w:r>
      <w:r>
        <w:rPr>
          <w:lang w:val="sq-AL"/>
        </w:rPr>
        <w:t>, duhet të garantojnë</w:t>
      </w:r>
      <w:r w:rsidRPr="00AD54F0">
        <w:rPr>
          <w:lang w:val="sq-AL"/>
        </w:rPr>
        <w:t xml:space="preserve"> të paktën, një nivel minimal të shërbimit të sistemeve dhe funksioneve kritike. Procedurat duhet të përcaktohen, në mënyrë që rivendosja në punë e sistemit të kryhet brenda harkut kohor të parashikuar në planin e rikuperimit nga katastrofa. Dokumenti i mësipërm duhet të marrë parasysh edhe disponueshmërinë e burimeve njerëzore në këto raste emergjencash, duke përcaktuar mënyrën e informimit dhe personat përgjegjës të cilët do të ndjekin këto procedura.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ç) Të specifikojë në dokumentin e politikave të vazhdueshmërisë së punës dhe në planin e rikuperimit nga katastrofa</w:t>
      </w:r>
      <w:r>
        <w:rPr>
          <w:lang w:val="sq-AL"/>
        </w:rPr>
        <w:t>,</w:t>
      </w:r>
      <w:r w:rsidRPr="00AD54F0">
        <w:rPr>
          <w:lang w:val="sq-AL"/>
        </w:rPr>
        <w:t xml:space="preserve"> kohën maksimale në të cilën shërbimet dhe sistemet nuk mund të jenë funksionale. 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d) Të identifikojë të dhënat parësore dhe të dhëna të tjera, të cilat janë të rëndësishme për funksionimin e sistemit të tij të teknologjisë së informacionit. Këto të dhëna duhet të ruhen në sistemin e ruajtjes së informacionit.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dh) Të identifikojë pajisjet e veçanta (</w:t>
      </w:r>
      <w:r w:rsidRPr="00AD54F0">
        <w:rPr>
          <w:i/>
          <w:lang w:val="sq-AL"/>
        </w:rPr>
        <w:t>hardware</w:t>
      </w:r>
      <w:r w:rsidRPr="00AD54F0">
        <w:rPr>
          <w:lang w:val="sq-AL"/>
        </w:rPr>
        <w:t>) dhe varësinë që sistemi, të dhënat dhe shërbimet kanë ndaj tyre. Të merren masa që dështimi i njërës prej këtyre pajisjeve të mos ndikojë në funksionimin e sistemit të teknologjisë së informacionit dhe shërbimeve të ofruara.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 xml:space="preserve">e) Të marrë masa që të dhënat e mësipërme, të cilat do të ruhen me qëllim rivendosjen e sistemeve dhe të shërbimeve në punë, të ruhen në një vendndodhje fizike dytësore, e ndryshme nga ajo në të cilën ndodhen sistemet dhe të dhënat e institucionit gjatë veprimtarisë normale të tij. 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2. Çdo institucion, i cili ka ose do të zhvillojë një sistem në fushën e teknologjisë së informacionit, që ofron shërbime për qytetarët, për biznesin dhe për ndërveprim e shkëmbim informacioni për administratën publike nëpërmjet sistemeve elektronike, duhet të parashikojë dhe</w:t>
      </w:r>
      <w:r>
        <w:rPr>
          <w:lang w:val="sq-AL"/>
        </w:rPr>
        <w:t xml:space="preserve"> të</w:t>
      </w:r>
      <w:r w:rsidRPr="00AD54F0">
        <w:rPr>
          <w:lang w:val="sq-AL"/>
        </w:rPr>
        <w:t xml:space="preserve"> hartojë marrëveshje kontraktuale mbi nivelin e shërbimit (</w:t>
      </w:r>
      <w:r w:rsidRPr="00AD54F0">
        <w:rPr>
          <w:i/>
          <w:lang w:val="sq-AL"/>
        </w:rPr>
        <w:t>Service Level Agreement - SLA</w:t>
      </w:r>
      <w:r w:rsidRPr="00AD54F0">
        <w:rPr>
          <w:lang w:val="sq-AL"/>
        </w:rPr>
        <w:t>).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Kjo marrëveshje, nënshkruhet ndërmjet institucionit publik dhe ofruesit të shërbimit të TIK-ut dhe hartohet sipas udhëzimeve të nxjerra nga ministri për çështjet e teknologjisë së informacionit.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Institucionet: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a) të cilat janë duke zhvilluar sisteme të reja në fushën e teknologjisë së informacionit, duhet të parashikojnë këtë marrëveshje, për mirëmbajtjen e këtyre sistemeve. Kohëzgjatja e kësaj marrëveshjeje duhet të jetë jo më e shkurtër se 4 (katër) vjet.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b) të cilat kanë sisteme ekzistuese, duhet të parashikojnë këtë marrëveshje, për mirëmbajtjen e sistemeve. Kohëzgjatja e kësaj marrëveshjeje duhet të jetë jo më e shkurtër se 2 (dy) vjet.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c) Duhet, për çdo procedurë prokurimi mbi investimet për sisteme ose shërbime të teknologjisë së informacionit, këtë marrëveshje t’ia bashkëlidhin si aneks, kontratës administrative të lidhur ndërmjet palëve.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3. Në rastet kur është i pamundur përdorimi i shërbimeve të ofruara nga Qendra e të Dhënave Qeveritare për ngritjen e këtyre sistemeve, institucioni duhet t’i ngrejë vetë ato.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4. Ngarkohen të gjitha institucionet e qeverisjes qendrore, sipas pikës 1, për zbatimin e këtij vendimi.</w:t>
      </w:r>
    </w:p>
    <w:p w:rsidR="00B25C75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5. Vendimi nr. 723, datë 1.9.2010 i Këshillit të Ministrave “Për projektimin, zbatimin dhe funksionimin e sistemeve të informacionit”, shfuqizohet.</w:t>
      </w:r>
    </w:p>
    <w:p w:rsidR="00B25C75" w:rsidRPr="00AD54F0" w:rsidRDefault="00B25C75" w:rsidP="00B25C75">
      <w:pPr>
        <w:pStyle w:val="Paragrafi"/>
        <w:rPr>
          <w:lang w:val="sq-AL"/>
        </w:rPr>
      </w:pPr>
      <w:r w:rsidRPr="00AD54F0">
        <w:rPr>
          <w:lang w:val="sq-AL"/>
        </w:rPr>
        <w:t>Ky vendim hyn në fuqi pas botimit në Fletoren Zyrtare.</w:t>
      </w:r>
    </w:p>
    <w:p w:rsidR="00B25C75" w:rsidRPr="00AD54F0" w:rsidRDefault="00B25C75" w:rsidP="00B25C75">
      <w:pPr>
        <w:pStyle w:val="Autoriteti"/>
        <w:keepNext w:val="0"/>
        <w:rPr>
          <w:lang w:val="sq-AL"/>
        </w:rPr>
      </w:pPr>
      <w:r w:rsidRPr="00AD54F0">
        <w:rPr>
          <w:lang w:val="sq-AL"/>
        </w:rPr>
        <w:t>Kryeministri</w:t>
      </w:r>
    </w:p>
    <w:p w:rsidR="00B25C75" w:rsidRPr="00AD54F0" w:rsidRDefault="00B25C75" w:rsidP="00B25C75">
      <w:pPr>
        <w:pStyle w:val="AutoritetiEmer"/>
        <w:rPr>
          <w:lang w:val="sq-AL"/>
        </w:rPr>
      </w:pPr>
      <w:r w:rsidRPr="00AD54F0">
        <w:rPr>
          <w:lang w:val="sq-AL"/>
        </w:rPr>
        <w:t>Sali Berisha</w:t>
      </w:r>
    </w:p>
    <w:sectPr w:rsidR="00B25C75" w:rsidRPr="00AD54F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5C75"/>
    <w:rsid w:val="001C73F6"/>
    <w:rsid w:val="00B25C7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38AAFB-318B-476A-B7FE-3ED1C2DB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5C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25C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5C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25C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5C7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25C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25C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25C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5C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5C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5C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25C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25C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