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C75" w:rsidRPr="0043706D" w:rsidRDefault="00B25C75" w:rsidP="00B25C75">
      <w:pPr>
        <w:pStyle w:val="Akti"/>
        <w:keepNext w:val="0"/>
        <w:rPr>
          <w:rFonts w:ascii="Garamond" w:hAnsi="Garamond"/>
          <w:color w:val="auto"/>
          <w:sz w:val="24"/>
          <w:szCs w:val="24"/>
          <w:lang w:val="sq-AL"/>
        </w:rPr>
      </w:pPr>
      <w:r w:rsidRPr="0043706D">
        <w:rPr>
          <w:rFonts w:ascii="Garamond" w:hAnsi="Garamond"/>
          <w:color w:val="auto"/>
          <w:sz w:val="24"/>
          <w:szCs w:val="24"/>
          <w:lang w:val="sq-AL"/>
        </w:rPr>
        <w:t>VENDIM</w:t>
      </w:r>
    </w:p>
    <w:p w:rsidR="00B25C75" w:rsidRPr="0043706D" w:rsidRDefault="00B25C75" w:rsidP="00B25C75">
      <w:pPr>
        <w:pStyle w:val="NumriData"/>
        <w:keepNext w:val="0"/>
        <w:rPr>
          <w:rFonts w:ascii="Garamond" w:hAnsi="Garamond"/>
          <w:sz w:val="24"/>
          <w:szCs w:val="24"/>
          <w:lang w:val="sq-AL"/>
        </w:rPr>
      </w:pPr>
      <w:r w:rsidRPr="0043706D">
        <w:rPr>
          <w:rFonts w:ascii="Garamond" w:hAnsi="Garamond"/>
          <w:sz w:val="24"/>
          <w:szCs w:val="24"/>
          <w:lang w:val="sq-AL"/>
        </w:rPr>
        <w:t>Nr. 710, datë 21.8.2013</w:t>
      </w:r>
    </w:p>
    <w:p w:rsidR="00B25C75" w:rsidRPr="0043706D" w:rsidRDefault="00B25C75" w:rsidP="00B25C75">
      <w:pPr>
        <w:pStyle w:val="Paragrafi"/>
        <w:rPr>
          <w:rFonts w:ascii="Garamond" w:hAnsi="Garamond"/>
          <w:sz w:val="24"/>
          <w:szCs w:val="24"/>
          <w:lang w:val="sq-AL"/>
        </w:rPr>
      </w:pPr>
    </w:p>
    <w:p w:rsidR="00B25C75" w:rsidRPr="0043706D" w:rsidRDefault="00B25C75" w:rsidP="00B25C75">
      <w:pPr>
        <w:pStyle w:val="Titulli"/>
        <w:keepNext w:val="0"/>
        <w:rPr>
          <w:rFonts w:ascii="Garamond" w:hAnsi="Garamond"/>
          <w:sz w:val="24"/>
          <w:szCs w:val="24"/>
          <w:lang w:val="sq-AL"/>
        </w:rPr>
      </w:pPr>
      <w:r w:rsidRPr="0043706D">
        <w:rPr>
          <w:rFonts w:ascii="Garamond" w:hAnsi="Garamond"/>
          <w:sz w:val="24"/>
          <w:szCs w:val="24"/>
          <w:lang w:val="sq-AL"/>
        </w:rPr>
        <w:t>PËR KRIJIMIN DHE FUNKSIONIMIN E SISTEMEVE TË RUAJTJES SË INFORMACIONIT, VAZHDUESHMËRISË SË PUNËS DHE MARRËVESHJEVE TË NIVELIT TË SHËRBIMIT</w:t>
      </w:r>
      <w:r w:rsidR="0099301C" w:rsidRPr="0043706D">
        <w:rPr>
          <w:rStyle w:val="FootnoteReference"/>
          <w:rFonts w:ascii="Garamond" w:hAnsi="Garamond"/>
          <w:sz w:val="24"/>
          <w:szCs w:val="24"/>
          <w:lang w:val="sq-AL"/>
        </w:rPr>
        <w:footnoteReference w:id="1"/>
      </w:r>
    </w:p>
    <w:p w:rsidR="003165DD" w:rsidRPr="0043706D" w:rsidRDefault="003165DD" w:rsidP="003165DD">
      <w:pPr>
        <w:jc w:val="center"/>
        <w:rPr>
          <w:rFonts w:ascii="Garamond" w:hAnsi="Garamond"/>
          <w:i/>
          <w:sz w:val="24"/>
          <w:szCs w:val="24"/>
          <w:lang w:val="sq-AL"/>
        </w:rPr>
      </w:pPr>
      <w:r w:rsidRPr="0043706D">
        <w:rPr>
          <w:rFonts w:ascii="Garamond" w:hAnsi="Garamond"/>
          <w:i/>
          <w:sz w:val="24"/>
          <w:szCs w:val="24"/>
          <w:lang w:val="sq-AL"/>
        </w:rPr>
        <w:t xml:space="preserve">(Ndryshuar me VKM </w:t>
      </w:r>
      <w:r w:rsidR="0043706D" w:rsidRPr="0043706D">
        <w:rPr>
          <w:rFonts w:ascii="Garamond" w:hAnsi="Garamond"/>
          <w:i/>
          <w:sz w:val="24"/>
          <w:szCs w:val="24"/>
          <w:lang w:val="sq-AL"/>
        </w:rPr>
        <w:t xml:space="preserve"> </w:t>
      </w:r>
      <w:r w:rsidRPr="0043706D">
        <w:rPr>
          <w:rFonts w:ascii="Garamond" w:hAnsi="Garamond"/>
          <w:i/>
          <w:sz w:val="24"/>
          <w:szCs w:val="24"/>
          <w:lang w:val="sq-AL"/>
        </w:rPr>
        <w:t>nr.755, datë 26.10.2016</w:t>
      </w:r>
      <w:r w:rsidR="0043706D" w:rsidRPr="0043706D">
        <w:rPr>
          <w:rFonts w:ascii="Garamond" w:hAnsi="Garamond"/>
          <w:i/>
          <w:sz w:val="24"/>
          <w:szCs w:val="24"/>
          <w:lang w:val="sq-AL"/>
        </w:rPr>
        <w:t xml:space="preserve">; nr. </w:t>
      </w:r>
      <w:r w:rsidR="0043706D" w:rsidRPr="0043706D">
        <w:rPr>
          <w:rFonts w:ascii="Garamond" w:hAnsi="Garamond"/>
          <w:i/>
          <w:sz w:val="24"/>
          <w:szCs w:val="24"/>
        </w:rPr>
        <w:t xml:space="preserve">287, </w:t>
      </w:r>
      <w:proofErr w:type="spellStart"/>
      <w:r w:rsidR="0043706D" w:rsidRPr="0043706D">
        <w:rPr>
          <w:rFonts w:ascii="Garamond" w:hAnsi="Garamond"/>
          <w:i/>
          <w:sz w:val="24"/>
          <w:szCs w:val="24"/>
        </w:rPr>
        <w:t>datë</w:t>
      </w:r>
      <w:proofErr w:type="spellEnd"/>
      <w:r w:rsidR="0043706D" w:rsidRPr="0043706D">
        <w:rPr>
          <w:rFonts w:ascii="Garamond" w:hAnsi="Garamond"/>
          <w:i/>
          <w:sz w:val="24"/>
          <w:szCs w:val="24"/>
        </w:rPr>
        <w:t xml:space="preserve"> 19.5.2021</w:t>
      </w:r>
      <w:r w:rsidRPr="0043706D">
        <w:rPr>
          <w:rFonts w:ascii="Garamond" w:hAnsi="Garamond"/>
          <w:i/>
          <w:sz w:val="24"/>
          <w:szCs w:val="24"/>
          <w:lang w:val="sq-AL"/>
        </w:rPr>
        <w:t>)</w:t>
      </w:r>
    </w:p>
    <w:p w:rsidR="003165DD" w:rsidRPr="0043706D" w:rsidRDefault="003165DD" w:rsidP="003165DD">
      <w:pPr>
        <w:jc w:val="right"/>
        <w:rPr>
          <w:rFonts w:ascii="Garamond" w:hAnsi="Garamond"/>
          <w:i/>
          <w:sz w:val="24"/>
          <w:szCs w:val="24"/>
          <w:lang w:val="sq-AL"/>
        </w:rPr>
      </w:pPr>
      <w:r w:rsidRPr="0043706D">
        <w:rPr>
          <w:rFonts w:ascii="Garamond" w:hAnsi="Garamond"/>
          <w:i/>
          <w:sz w:val="24"/>
          <w:szCs w:val="24"/>
          <w:lang w:val="sq-AL"/>
        </w:rPr>
        <w:t>(I përditësuar)</w:t>
      </w:r>
    </w:p>
    <w:p w:rsidR="00B25C75" w:rsidRPr="0043706D" w:rsidRDefault="00B25C75" w:rsidP="00B25C75">
      <w:pPr>
        <w:pStyle w:val="Paragrafi"/>
        <w:rPr>
          <w:rFonts w:ascii="Garamond" w:hAnsi="Garamond"/>
          <w:sz w:val="24"/>
          <w:szCs w:val="24"/>
          <w:lang w:val="sq-AL"/>
        </w:rPr>
      </w:pP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Në mbështetje të nenit 100 të Kushtetutës, të ligjit nr. 10 325 datë, 23.9.2010 “Për bazat e të dhënave shtetërore”, dhe të pikës 3 të nenit 21 të ligjit nr. 10 273, datë 29.4.2010 “Për dokumentin elektronik”, me propozimin e Ministrit për Inovacionin, Teknologjinë e Informacionit dhe të Komunikimit, Këshilli i Ministrave</w:t>
      </w:r>
    </w:p>
    <w:p w:rsidR="00B25C75" w:rsidRPr="0043706D" w:rsidRDefault="00B25C75" w:rsidP="00B25C75">
      <w:pPr>
        <w:pStyle w:val="Paragrafi"/>
        <w:rPr>
          <w:rFonts w:ascii="Garamond" w:hAnsi="Garamond"/>
          <w:sz w:val="24"/>
          <w:szCs w:val="24"/>
          <w:lang w:val="sq-AL"/>
        </w:rPr>
      </w:pPr>
    </w:p>
    <w:p w:rsidR="00B25C75" w:rsidRPr="0043706D" w:rsidRDefault="00B25C75" w:rsidP="00B25C75">
      <w:pPr>
        <w:pStyle w:val="VENDOSI"/>
        <w:keepNext w:val="0"/>
        <w:rPr>
          <w:rFonts w:ascii="Garamond" w:hAnsi="Garamond"/>
          <w:sz w:val="24"/>
          <w:szCs w:val="24"/>
          <w:lang w:val="sq-AL"/>
        </w:rPr>
      </w:pPr>
      <w:r w:rsidRPr="0043706D">
        <w:rPr>
          <w:rFonts w:ascii="Garamond" w:hAnsi="Garamond"/>
          <w:sz w:val="24"/>
          <w:szCs w:val="24"/>
          <w:lang w:val="sq-AL"/>
        </w:rPr>
        <w:t>VENDOSI:</w:t>
      </w:r>
    </w:p>
    <w:p w:rsidR="00B25C75" w:rsidRPr="0043706D" w:rsidRDefault="00B25C75" w:rsidP="00B25C75">
      <w:pPr>
        <w:pStyle w:val="Paragrafi"/>
        <w:rPr>
          <w:rFonts w:ascii="Garamond" w:hAnsi="Garamond"/>
          <w:sz w:val="24"/>
          <w:szCs w:val="24"/>
          <w:lang w:val="sq-AL"/>
        </w:rPr>
      </w:pP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1. Çdo institucion, i cili ka ose do të zhvillojë një sistem në fushën e teknologjisë së informacionit, që ofron shërbime për qytetarët, për biznesin dhe për ndërveprim e shkëmbim informacioni për administratën publike nëpërmjet sistemeve elektronike, duhet të parashikojë dhe të realizojë investime për krijimin e sistemit të vazhdueshmërisë së punës (</w:t>
      </w:r>
      <w:r w:rsidRPr="0043706D">
        <w:rPr>
          <w:rFonts w:ascii="Garamond" w:hAnsi="Garamond"/>
          <w:i/>
          <w:sz w:val="24"/>
          <w:szCs w:val="24"/>
          <w:lang w:val="sq-AL"/>
        </w:rPr>
        <w:t>Business Continuity</w:t>
      </w:r>
      <w:r w:rsidRPr="0043706D">
        <w:rPr>
          <w:rFonts w:ascii="Garamond" w:hAnsi="Garamond"/>
          <w:sz w:val="24"/>
          <w:szCs w:val="24"/>
          <w:lang w:val="sq-AL"/>
        </w:rPr>
        <w:t>) dhe sistemit të ruajtjes së informacionit (</w:t>
      </w:r>
      <w:r w:rsidRPr="0043706D">
        <w:rPr>
          <w:rFonts w:ascii="Garamond" w:hAnsi="Garamond"/>
          <w:i/>
          <w:sz w:val="24"/>
          <w:szCs w:val="24"/>
          <w:lang w:val="sq-AL"/>
        </w:rPr>
        <w:t>Backup</w:t>
      </w:r>
      <w:r w:rsidRPr="0043706D">
        <w:rPr>
          <w:rFonts w:ascii="Garamond" w:hAnsi="Garamond"/>
          <w:sz w:val="24"/>
          <w:szCs w:val="24"/>
          <w:lang w:val="sq-AL"/>
        </w:rPr>
        <w:t>); me qëllim mundësimin e ofrimit të shërbimit pa ndërprerje dhe parandalimin e humbjes ose të shkatërrimit aksidental të të dhënave.</w:t>
      </w:r>
    </w:p>
    <w:p w:rsidR="00B25C75" w:rsidRPr="0043706D" w:rsidRDefault="003165DD" w:rsidP="00B25C75">
      <w:pPr>
        <w:pStyle w:val="Paragrafi"/>
        <w:rPr>
          <w:rFonts w:ascii="Garamond" w:hAnsi="Garamond"/>
          <w:i/>
          <w:sz w:val="24"/>
          <w:szCs w:val="24"/>
          <w:lang w:val="sq-AL"/>
        </w:rPr>
      </w:pPr>
      <w:r w:rsidRPr="0043706D">
        <w:rPr>
          <w:rFonts w:ascii="Garamond" w:hAnsi="Garamond"/>
          <w:i/>
          <w:sz w:val="24"/>
          <w:szCs w:val="24"/>
          <w:lang w:val="sq-AL"/>
        </w:rPr>
        <w:t>Institucioni, gjatë projektimit të këtyre sistemeve, duhet të parashikojë që nyja primare të hostohet pranë Qendrës së të Dhënave Qeveritare dhe nyja sekondare të hostohet pranë Qendrës së Vazhdueshmërisë së Punës (Business Continuity Center)</w:t>
      </w:r>
      <w:r w:rsidR="00B25C75" w:rsidRPr="0043706D">
        <w:rPr>
          <w:rFonts w:ascii="Garamond" w:hAnsi="Garamond"/>
          <w:i/>
          <w:sz w:val="24"/>
          <w:szCs w:val="24"/>
          <w:lang w:val="sq-AL"/>
        </w:rPr>
        <w: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Në veçanti institucioni duhet: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a) Të sigurojë që sistemet e teknologjisë së informacionit të përpunojnë informacionin në mënyrë që të garantohet efikasiteti i ofrimit të shërbimeve.</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b) Të evidentojë sistemet ose pjesët e sistemeve, të cilat janë kritike për ofrimin e shërbimit 24 orë në 7 ditë të javës dhe të ketë plane të dokumentuara për menaxhimin e riskut, teknikat e menaxhimit dhe të vlerësimit të performancës së tij. Me qëllim garantimin e mirëfunksionimit të këtyre teknikave të menaxhimit të riskut, institucioni kryen auditime të brendshme.</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c) Të hartojë dokumentin e politikave të vazhdueshmërisë së punës dhe një plan për ruajtjen e informacionit, në përputhje me udhëzimet të nxjerra nga ministri për çështjet e teknologjisë së informacionit.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Dokumenti i politikave të vazhdueshmërisë së punës duhet të përmbajë politikat dhe objektivat e përcaktuar, për të siguruar vazhdimësinë e punës së këtyre sistemeve, të cilat administrohen nga institucioni ose palët e treta.</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 xml:space="preserve">Me qëllim garantimin e vazhdueshmërisë së ofrimit të shërbimeve në raste të </w:t>
      </w:r>
      <w:r w:rsidRPr="0043706D">
        <w:rPr>
          <w:rFonts w:ascii="Garamond" w:hAnsi="Garamond"/>
          <w:sz w:val="24"/>
          <w:szCs w:val="24"/>
          <w:lang w:val="sq-AL"/>
        </w:rPr>
        <w:lastRenderedPageBreak/>
        <w:t>jashtëzakonshme emergjencash, të hartojë një plan të rikuperimit nga katastrofa (</w:t>
      </w:r>
      <w:r w:rsidRPr="0043706D">
        <w:rPr>
          <w:rFonts w:ascii="Garamond" w:hAnsi="Garamond"/>
          <w:i/>
          <w:sz w:val="24"/>
          <w:szCs w:val="24"/>
          <w:lang w:val="sq-AL"/>
        </w:rPr>
        <w:t>disaster recovery</w:t>
      </w:r>
      <w:r w:rsidRPr="0043706D">
        <w:rPr>
          <w:rFonts w:ascii="Garamond" w:hAnsi="Garamond"/>
          <w:sz w:val="24"/>
          <w:szCs w:val="24"/>
          <w:lang w:val="sq-AL"/>
        </w:rPr>
        <w:t>), i cili përmban masa dhe procedura, të mirëdokumentuara për rivendosjen në funksionim të sistemit në rastet e emergjencave. Këto masa dhe procedura, duhet të garantojnë të paktën, një nivel minimal të shërbimit të sistemeve dhe funksioneve kritike. Procedurat duhet të përcaktohen, në mënyrë që rivendosja në punë e sistemit të kryhet brenda harkut kohor të parashikuar në planin e rikuperimit nga katastrofa. Dokumenti i mësipërm duhet të marrë parasysh edhe disponueshmërinë e burimeve njerëzore në këto raste emergjencash, duke përcaktuar mënyrën e informimit dhe personat përgjegjës të cilët do të ndjekin këto procedura.</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 xml:space="preserve">ç) Të specifikojë në dokumentin e politikave të vazhdueshmërisë së punës dhe në planin e rikuperimit nga katastrofa, kohën maksimale në të cilën shërbimet dhe sistemet nuk mund të jenë funksionale. </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d) Të identifikojë të dhënat parësore dhe të dhëna të tjera, të cilat janë të rëndësishme për funksionimin e sistemit të tij të teknologjisë së informacionit. Këto të dhëna duhet të ruhen në sistemin e ruajtjes së informacionit.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dh) Të identifikojë pajisjet e veçanta (</w:t>
      </w:r>
      <w:r w:rsidRPr="0043706D">
        <w:rPr>
          <w:rFonts w:ascii="Garamond" w:hAnsi="Garamond"/>
          <w:i/>
          <w:sz w:val="24"/>
          <w:szCs w:val="24"/>
          <w:lang w:val="sq-AL"/>
        </w:rPr>
        <w:t>hard</w:t>
      </w:r>
      <w:r w:rsidR="003165DD" w:rsidRPr="0043706D">
        <w:rPr>
          <w:rFonts w:ascii="Garamond" w:hAnsi="Garamond"/>
          <w:i/>
          <w:sz w:val="24"/>
          <w:szCs w:val="24"/>
          <w:lang w:val="sq-AL"/>
        </w:rPr>
        <w:t>ë</w:t>
      </w:r>
      <w:r w:rsidRPr="0043706D">
        <w:rPr>
          <w:rFonts w:ascii="Garamond" w:hAnsi="Garamond"/>
          <w:i/>
          <w:sz w:val="24"/>
          <w:szCs w:val="24"/>
          <w:lang w:val="sq-AL"/>
        </w:rPr>
        <w:t>are</w:t>
      </w:r>
      <w:r w:rsidRPr="0043706D">
        <w:rPr>
          <w:rFonts w:ascii="Garamond" w:hAnsi="Garamond"/>
          <w:sz w:val="24"/>
          <w:szCs w:val="24"/>
          <w:lang w:val="sq-AL"/>
        </w:rPr>
        <w:t>) dhe varësinë që sistemi, të dhënat dhe shërbimet kanë ndaj tyre. Të merren masa që dështimi i njërës prej këtyre pajisjeve të mos ndikojë në funksionimin e sistemit të teknologjisë së informacionit dhe shërbimeve të ofruara.</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 xml:space="preserve">e) Të marrë masa që të dhënat e mësipërme, të cilat do të ruhen me qëllim rivendosjen e sistemeve dhe të shërbimeve në punë, të ruhen në një vendndodhje fizike dytësore, e ndryshme nga ajo në të cilën ndodhen sistemet dhe të dhënat e institucionit gjatë veprimtarisë normale të tij. </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2. Çdo institucion, i cili ka ose do të zhvillojë një sistem në fushën e teknologjisë së informacionit, që ofron shërbime për qytetarët, për biznesin dhe për ndërveprim e shkëmbim informacioni për administratën publike nëpërmjet sistemeve elektronike, duhet të parashikojë dhe të hartojë marrëveshje kontraktuale mbi nivelin e shërbimit (</w:t>
      </w:r>
      <w:r w:rsidRPr="0043706D">
        <w:rPr>
          <w:rFonts w:ascii="Garamond" w:hAnsi="Garamond"/>
          <w:i/>
          <w:sz w:val="24"/>
          <w:szCs w:val="24"/>
          <w:lang w:val="sq-AL"/>
        </w:rPr>
        <w:t>Service Level Agreement - SLA</w:t>
      </w:r>
      <w:r w:rsidRPr="0043706D">
        <w:rPr>
          <w:rFonts w:ascii="Garamond" w:hAnsi="Garamond"/>
          <w:sz w:val="24"/>
          <w:szCs w:val="24"/>
          <w:lang w:val="sq-AL"/>
        </w:rPr>
        <w: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Kjo marrëveshje, nënshkruhet ndërmjet institucionit publik dhe ofruesit të shërbimit të TIK-ut dhe hartohet sipas udhëzimeve të nxjerra nga ministri për çështjet e teknologjisë së informacionit.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Institucionet: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 xml:space="preserve">a) të cilat janë duke zhvilluar sisteme të reja në fushën e teknologjisë së informacionit, duhet të parashikojnë këtë marrëveshje, për mirëmbajtjen e këtyre sistemeve. Kohëzgjatja e kësaj marrëveshjeje duhet të jetë jo më e </w:t>
      </w:r>
      <w:r w:rsidRPr="0043706D">
        <w:rPr>
          <w:rFonts w:ascii="Garamond" w:hAnsi="Garamond"/>
          <w:i/>
          <w:sz w:val="24"/>
          <w:szCs w:val="24"/>
          <w:lang w:val="sq-AL"/>
        </w:rPr>
        <w:t xml:space="preserve">shkurtër se </w:t>
      </w:r>
      <w:r w:rsidR="0043706D" w:rsidRPr="0043706D">
        <w:rPr>
          <w:rFonts w:ascii="Garamond" w:hAnsi="Garamond"/>
          <w:i/>
          <w:sz w:val="24"/>
          <w:szCs w:val="24"/>
          <w:lang w:val="sq-AL"/>
        </w:rPr>
        <w:t>2</w:t>
      </w:r>
      <w:r w:rsidRPr="0043706D">
        <w:rPr>
          <w:rFonts w:ascii="Garamond" w:hAnsi="Garamond"/>
          <w:i/>
          <w:sz w:val="24"/>
          <w:szCs w:val="24"/>
          <w:lang w:val="sq-AL"/>
        </w:rPr>
        <w:t xml:space="preserve"> (</w:t>
      </w:r>
      <w:r w:rsidR="0043706D" w:rsidRPr="0043706D">
        <w:rPr>
          <w:rFonts w:ascii="Garamond" w:hAnsi="Garamond"/>
          <w:i/>
          <w:sz w:val="24"/>
          <w:szCs w:val="24"/>
          <w:lang w:val="sq-AL"/>
        </w:rPr>
        <w:t>dy</w:t>
      </w:r>
      <w:r w:rsidRPr="0043706D">
        <w:rPr>
          <w:rFonts w:ascii="Garamond" w:hAnsi="Garamond"/>
          <w:i/>
          <w:sz w:val="24"/>
          <w:szCs w:val="24"/>
          <w:lang w:val="sq-AL"/>
        </w:rPr>
        <w:t>) vjet.</w:t>
      </w:r>
      <w:bookmarkStart w:id="0" w:name="_GoBack"/>
      <w:bookmarkEnd w:id="0"/>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b) të cilat kanë sisteme ekzistuese, duhet të parashikojnë këtë marrëveshje, për mirëmbajtjen e sistemeve. Kohëzgjatja e kësaj marrëveshjeje duhet të jetë jo më e shkurtër se 2 (dy) vjet.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c) Duhet, për çdo procedurë prokurimi mbi investimet për sisteme ose shërbime të teknologjisë së informacionit, këtë marrëveshje t’ia bashkëlidhin si aneks, kontratës administrative të lidhur ndërmjet palëve.</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 xml:space="preserve">3. Në rastet kur është i pamundur përdorimi i shërbimeve të ofruara nga Qendra e të Dhënave Qeveritare </w:t>
      </w:r>
      <w:r w:rsidR="003165DD" w:rsidRPr="0043706D">
        <w:rPr>
          <w:rFonts w:ascii="Garamond" w:hAnsi="Garamond"/>
          <w:i/>
          <w:sz w:val="24"/>
          <w:szCs w:val="24"/>
          <w:lang w:val="sq-AL"/>
        </w:rPr>
        <w:t xml:space="preserve">ose Qendra e Vazhdueshmërisë së Punës </w:t>
      </w:r>
      <w:r w:rsidRPr="0043706D">
        <w:rPr>
          <w:rFonts w:ascii="Garamond" w:hAnsi="Garamond"/>
          <w:sz w:val="24"/>
          <w:szCs w:val="24"/>
          <w:lang w:val="sq-AL"/>
        </w:rPr>
        <w:t>për ngritjen e këtyre sistemeve, institucioni duhet t’i ngrejë vetë ato.</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4. Ngarkohen të gjitha institucionet e qeverisjes qendrore, sipas pikës 1, për zbatimin e këtij vendimi.</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5. Vendimi nr. 723, datë 1.9.2010 i Këshillit të Ministrave “Për projektimin, zbatimin dhe funksionimin e sistemeve të informacionit”, shfuqizohet.</w:t>
      </w:r>
    </w:p>
    <w:p w:rsidR="00B25C75" w:rsidRPr="0043706D" w:rsidRDefault="00B25C75" w:rsidP="00B25C75">
      <w:pPr>
        <w:pStyle w:val="Paragrafi"/>
        <w:rPr>
          <w:rFonts w:ascii="Garamond" w:hAnsi="Garamond"/>
          <w:sz w:val="24"/>
          <w:szCs w:val="24"/>
          <w:lang w:val="sq-AL"/>
        </w:rPr>
      </w:pPr>
      <w:r w:rsidRPr="0043706D">
        <w:rPr>
          <w:rFonts w:ascii="Garamond" w:hAnsi="Garamond"/>
          <w:sz w:val="24"/>
          <w:szCs w:val="24"/>
          <w:lang w:val="sq-AL"/>
        </w:rPr>
        <w:t>Ky vendim hyn në fuqi pas botimit në Fletoren Zyrtare.</w:t>
      </w:r>
    </w:p>
    <w:p w:rsidR="00B25C75" w:rsidRPr="0043706D" w:rsidRDefault="00B25C75" w:rsidP="00B25C75">
      <w:pPr>
        <w:pStyle w:val="Autoriteti"/>
        <w:keepNext w:val="0"/>
        <w:rPr>
          <w:rFonts w:ascii="Garamond" w:hAnsi="Garamond"/>
          <w:sz w:val="24"/>
          <w:szCs w:val="24"/>
          <w:lang w:val="sq-AL"/>
        </w:rPr>
      </w:pPr>
      <w:r w:rsidRPr="0043706D">
        <w:rPr>
          <w:rFonts w:ascii="Garamond" w:hAnsi="Garamond"/>
          <w:sz w:val="24"/>
          <w:szCs w:val="24"/>
          <w:lang w:val="sq-AL"/>
        </w:rPr>
        <w:t>Kryeministri</w:t>
      </w:r>
    </w:p>
    <w:p w:rsidR="00B25C75" w:rsidRPr="0043706D" w:rsidRDefault="00B25C75" w:rsidP="00B25C75">
      <w:pPr>
        <w:pStyle w:val="AutoritetiEmer"/>
        <w:rPr>
          <w:rFonts w:ascii="Garamond" w:hAnsi="Garamond"/>
          <w:sz w:val="24"/>
          <w:szCs w:val="24"/>
          <w:lang w:val="sq-AL"/>
        </w:rPr>
      </w:pPr>
      <w:r w:rsidRPr="0043706D">
        <w:rPr>
          <w:rFonts w:ascii="Garamond" w:hAnsi="Garamond"/>
          <w:sz w:val="24"/>
          <w:szCs w:val="24"/>
          <w:lang w:val="sq-AL"/>
        </w:rPr>
        <w:t>Sali Berisha</w:t>
      </w:r>
    </w:p>
    <w:sectPr w:rsidR="00B25C75" w:rsidRPr="0043706D"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5AC" w:rsidRDefault="004615AC" w:rsidP="0099301C">
      <w:pPr>
        <w:spacing w:after="0" w:line="240" w:lineRule="auto"/>
      </w:pPr>
      <w:r>
        <w:separator/>
      </w:r>
    </w:p>
  </w:endnote>
  <w:endnote w:type="continuationSeparator" w:id="0">
    <w:p w:rsidR="004615AC" w:rsidRDefault="004615AC" w:rsidP="00993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5AC" w:rsidRDefault="004615AC" w:rsidP="0099301C">
      <w:pPr>
        <w:spacing w:after="0" w:line="240" w:lineRule="auto"/>
      </w:pPr>
      <w:r>
        <w:separator/>
      </w:r>
    </w:p>
  </w:footnote>
  <w:footnote w:type="continuationSeparator" w:id="0">
    <w:p w:rsidR="004615AC" w:rsidRDefault="004615AC" w:rsidP="0099301C">
      <w:pPr>
        <w:spacing w:after="0" w:line="240" w:lineRule="auto"/>
      </w:pPr>
      <w:r>
        <w:continuationSeparator/>
      </w:r>
    </w:p>
  </w:footnote>
  <w:footnote w:id="1">
    <w:p w:rsidR="0099301C" w:rsidRPr="0099301C" w:rsidRDefault="0099301C" w:rsidP="0099301C">
      <w:pPr>
        <w:pStyle w:val="FootnoteText"/>
        <w:spacing w:after="0" w:line="240" w:lineRule="auto"/>
        <w:rPr>
          <w:rFonts w:ascii="Times New Roman" w:hAnsi="Times New Roman"/>
        </w:rPr>
      </w:pPr>
      <w:r>
        <w:rPr>
          <w:rStyle w:val="FootnoteReference"/>
        </w:rPr>
        <w:footnoteRef/>
      </w:r>
      <w:r>
        <w:t xml:space="preserve"> </w:t>
      </w:r>
      <w:r w:rsidRPr="0099301C">
        <w:rPr>
          <w:rFonts w:ascii="Times New Roman" w:hAnsi="Times New Roman"/>
        </w:rPr>
        <w:t xml:space="preserve">VKM nr.710, </w:t>
      </w:r>
      <w:proofErr w:type="spellStart"/>
      <w:r w:rsidRPr="0099301C">
        <w:rPr>
          <w:rFonts w:ascii="Times New Roman" w:hAnsi="Times New Roman"/>
        </w:rPr>
        <w:t>datë</w:t>
      </w:r>
      <w:proofErr w:type="spellEnd"/>
      <w:r w:rsidRPr="0099301C">
        <w:rPr>
          <w:rFonts w:ascii="Times New Roman" w:hAnsi="Times New Roman"/>
        </w:rPr>
        <w:t xml:space="preserve"> 21.8.2013 </w:t>
      </w:r>
      <w:proofErr w:type="spellStart"/>
      <w:r w:rsidRPr="0099301C">
        <w:rPr>
          <w:rFonts w:ascii="Times New Roman" w:hAnsi="Times New Roman"/>
        </w:rPr>
        <w:t>është</w:t>
      </w:r>
      <w:proofErr w:type="spellEnd"/>
      <w:r w:rsidRPr="0099301C">
        <w:rPr>
          <w:rFonts w:ascii="Times New Roman" w:hAnsi="Times New Roman"/>
        </w:rPr>
        <w:t xml:space="preserve"> </w:t>
      </w:r>
      <w:proofErr w:type="spellStart"/>
      <w:r w:rsidRPr="0099301C">
        <w:rPr>
          <w:rFonts w:ascii="Times New Roman" w:hAnsi="Times New Roman"/>
        </w:rPr>
        <w:t>botuar</w:t>
      </w:r>
      <w:proofErr w:type="spellEnd"/>
      <w:r w:rsidRPr="0099301C">
        <w:rPr>
          <w:rFonts w:ascii="Times New Roman" w:hAnsi="Times New Roman"/>
        </w:rPr>
        <w:t xml:space="preserve"> </w:t>
      </w:r>
      <w:proofErr w:type="spellStart"/>
      <w:r w:rsidRPr="0099301C">
        <w:rPr>
          <w:rFonts w:ascii="Times New Roman" w:hAnsi="Times New Roman"/>
        </w:rPr>
        <w:t>në</w:t>
      </w:r>
      <w:proofErr w:type="spellEnd"/>
      <w:r w:rsidRPr="0099301C">
        <w:rPr>
          <w:rFonts w:ascii="Times New Roman" w:hAnsi="Times New Roman"/>
        </w:rPr>
        <w:t xml:space="preserve"> </w:t>
      </w:r>
      <w:proofErr w:type="spellStart"/>
      <w:r w:rsidRPr="0099301C">
        <w:rPr>
          <w:rFonts w:ascii="Times New Roman" w:hAnsi="Times New Roman"/>
        </w:rPr>
        <w:t>Fletoren</w:t>
      </w:r>
      <w:proofErr w:type="spellEnd"/>
      <w:r w:rsidRPr="0099301C">
        <w:rPr>
          <w:rFonts w:ascii="Times New Roman" w:hAnsi="Times New Roman"/>
        </w:rPr>
        <w:t xml:space="preserve"> </w:t>
      </w:r>
      <w:proofErr w:type="spellStart"/>
      <w:r w:rsidRPr="0099301C">
        <w:rPr>
          <w:rFonts w:ascii="Times New Roman" w:hAnsi="Times New Roman"/>
        </w:rPr>
        <w:t>Zyrtare</w:t>
      </w:r>
      <w:proofErr w:type="spellEnd"/>
      <w:r w:rsidRPr="0099301C">
        <w:rPr>
          <w:rFonts w:ascii="Times New Roman" w:hAnsi="Times New Roman"/>
        </w:rPr>
        <w:t xml:space="preserve"> nr.145/2013.</w:t>
      </w:r>
    </w:p>
    <w:p w:rsidR="0099301C" w:rsidRPr="0099301C" w:rsidRDefault="0099301C" w:rsidP="0099301C">
      <w:pPr>
        <w:pStyle w:val="FootnoteText"/>
        <w:spacing w:after="0" w:line="240" w:lineRule="auto"/>
        <w:rPr>
          <w:rFonts w:ascii="Times New Roman" w:hAnsi="Times New Roman"/>
        </w:rPr>
      </w:pPr>
      <w:r w:rsidRPr="0099301C">
        <w:rPr>
          <w:rFonts w:ascii="Times New Roman" w:hAnsi="Times New Roman"/>
        </w:rPr>
        <w:t xml:space="preserve">VKM nr.755, </w:t>
      </w:r>
      <w:proofErr w:type="spellStart"/>
      <w:r w:rsidRPr="0099301C">
        <w:rPr>
          <w:rFonts w:ascii="Times New Roman" w:hAnsi="Times New Roman"/>
        </w:rPr>
        <w:t>datë</w:t>
      </w:r>
      <w:proofErr w:type="spellEnd"/>
      <w:r w:rsidRPr="0099301C">
        <w:rPr>
          <w:rFonts w:ascii="Times New Roman" w:hAnsi="Times New Roman"/>
        </w:rPr>
        <w:t xml:space="preserve"> 26.10.2016 </w:t>
      </w:r>
      <w:proofErr w:type="spellStart"/>
      <w:r w:rsidRPr="0099301C">
        <w:rPr>
          <w:rFonts w:ascii="Times New Roman" w:hAnsi="Times New Roman"/>
        </w:rPr>
        <w:t>është</w:t>
      </w:r>
      <w:proofErr w:type="spellEnd"/>
      <w:r w:rsidRPr="0099301C">
        <w:rPr>
          <w:rFonts w:ascii="Times New Roman" w:hAnsi="Times New Roman"/>
        </w:rPr>
        <w:t xml:space="preserve"> </w:t>
      </w:r>
      <w:proofErr w:type="spellStart"/>
      <w:r w:rsidRPr="0099301C">
        <w:rPr>
          <w:rFonts w:ascii="Times New Roman" w:hAnsi="Times New Roman"/>
        </w:rPr>
        <w:t>botuar</w:t>
      </w:r>
      <w:proofErr w:type="spellEnd"/>
      <w:r w:rsidRPr="0099301C">
        <w:rPr>
          <w:rFonts w:ascii="Times New Roman" w:hAnsi="Times New Roman"/>
        </w:rPr>
        <w:t xml:space="preserve"> </w:t>
      </w:r>
      <w:proofErr w:type="spellStart"/>
      <w:r w:rsidRPr="0099301C">
        <w:rPr>
          <w:rFonts w:ascii="Times New Roman" w:hAnsi="Times New Roman"/>
        </w:rPr>
        <w:t>në</w:t>
      </w:r>
      <w:proofErr w:type="spellEnd"/>
      <w:r w:rsidRPr="0099301C">
        <w:rPr>
          <w:rFonts w:ascii="Times New Roman" w:hAnsi="Times New Roman"/>
        </w:rPr>
        <w:t xml:space="preserve"> </w:t>
      </w:r>
      <w:proofErr w:type="spellStart"/>
      <w:r w:rsidRPr="0099301C">
        <w:rPr>
          <w:rFonts w:ascii="Times New Roman" w:hAnsi="Times New Roman"/>
        </w:rPr>
        <w:t>Fletoren</w:t>
      </w:r>
      <w:proofErr w:type="spellEnd"/>
      <w:r w:rsidRPr="0099301C">
        <w:rPr>
          <w:rFonts w:ascii="Times New Roman" w:hAnsi="Times New Roman"/>
        </w:rPr>
        <w:t xml:space="preserve"> </w:t>
      </w:r>
      <w:proofErr w:type="spellStart"/>
      <w:r w:rsidRPr="0099301C">
        <w:rPr>
          <w:rFonts w:ascii="Times New Roman" w:hAnsi="Times New Roman"/>
        </w:rPr>
        <w:t>Zyrtare</w:t>
      </w:r>
      <w:proofErr w:type="spellEnd"/>
      <w:r w:rsidRPr="0099301C">
        <w:rPr>
          <w:rFonts w:ascii="Times New Roman" w:hAnsi="Times New Roman"/>
        </w:rPr>
        <w:t xml:space="preserve"> nr.205/2016.</w:t>
      </w:r>
    </w:p>
    <w:p w:rsidR="0099301C" w:rsidRDefault="0099301C" w:rsidP="0099301C">
      <w:pPr>
        <w:pStyle w:val="FootnoteText"/>
      </w:pPr>
    </w:p>
    <w:p w:rsidR="0099301C" w:rsidRDefault="0099301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5C75"/>
    <w:rsid w:val="001B0822"/>
    <w:rsid w:val="00227A01"/>
    <w:rsid w:val="003165DD"/>
    <w:rsid w:val="0043706D"/>
    <w:rsid w:val="004615AC"/>
    <w:rsid w:val="00951F2A"/>
    <w:rsid w:val="0099301C"/>
    <w:rsid w:val="00B25C75"/>
    <w:rsid w:val="00CE303F"/>
    <w:rsid w:val="00E10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5C7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25C7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25C7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B25C7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B25C75"/>
    <w:rPr>
      <w:rFonts w:ascii="CG Times" w:eastAsia="MS Mincho" w:hAnsi="CG Times" w:cs="CG Times"/>
      <w:b/>
      <w:bCs/>
      <w:sz w:val="22"/>
      <w:szCs w:val="22"/>
      <w:lang w:val="en-GB" w:eastAsia="en-US" w:bidi="ar-SA"/>
    </w:rPr>
  </w:style>
  <w:style w:type="paragraph" w:customStyle="1" w:styleId="Paragrafi">
    <w:name w:val="Paragrafi"/>
    <w:link w:val="ParagrafiChar"/>
    <w:rsid w:val="00B25C75"/>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B25C75"/>
    <w:rPr>
      <w:rFonts w:ascii="CG Times" w:eastAsia="MS Mincho" w:hAnsi="CG Times" w:cs="CG Times"/>
      <w:sz w:val="22"/>
      <w:szCs w:val="22"/>
      <w:lang w:val="en-US" w:eastAsia="en-US" w:bidi="ar-SA"/>
    </w:rPr>
  </w:style>
  <w:style w:type="paragraph" w:customStyle="1" w:styleId="Titulli">
    <w:name w:val="Titulli"/>
    <w:next w:val="Normal"/>
    <w:link w:val="TitulliChar"/>
    <w:rsid w:val="00B25C7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25C75"/>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B25C75"/>
    <w:rPr>
      <w:rFonts w:ascii="CG Times" w:eastAsia="MS Mincho" w:hAnsi="CG Times" w:cs="CG Times"/>
      <w:caps/>
      <w:sz w:val="22"/>
      <w:szCs w:val="22"/>
      <w:lang w:val="en-GB" w:eastAsia="en-US" w:bidi="ar-SA"/>
    </w:rPr>
  </w:style>
  <w:style w:type="character" w:customStyle="1" w:styleId="TitulliChar">
    <w:name w:val="Titulli Char"/>
    <w:link w:val="Titulli"/>
    <w:rsid w:val="00B25C75"/>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B25C75"/>
    <w:rPr>
      <w:rFonts w:ascii="CG Times" w:eastAsia="MS Mincho" w:hAnsi="CG Times" w:cs="CG Times"/>
      <w:caps/>
      <w:sz w:val="22"/>
      <w:szCs w:val="22"/>
      <w:lang w:val="en-GB" w:eastAsia="en-US" w:bidi="ar-SA"/>
    </w:rPr>
  </w:style>
  <w:style w:type="character" w:customStyle="1" w:styleId="AktiChar">
    <w:name w:val="Akti Char"/>
    <w:link w:val="Akti"/>
    <w:rsid w:val="00B25C75"/>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unhideWhenUsed/>
    <w:rsid w:val="0099301C"/>
    <w:rPr>
      <w:sz w:val="20"/>
      <w:szCs w:val="20"/>
    </w:rPr>
  </w:style>
  <w:style w:type="character" w:customStyle="1" w:styleId="FootnoteTextChar">
    <w:name w:val="Footnote Text Char"/>
    <w:basedOn w:val="DefaultParagraphFont"/>
    <w:link w:val="FootnoteText"/>
    <w:uiPriority w:val="99"/>
    <w:rsid w:val="0099301C"/>
  </w:style>
  <w:style w:type="character" w:styleId="FootnoteReference">
    <w:name w:val="footnote reference"/>
    <w:uiPriority w:val="99"/>
    <w:semiHidden/>
    <w:unhideWhenUsed/>
    <w:rsid w:val="0099301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5C75"/>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25C7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25C75"/>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B25C7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B25C75"/>
    <w:rPr>
      <w:rFonts w:ascii="CG Times" w:eastAsia="MS Mincho" w:hAnsi="CG Times" w:cs="CG Times"/>
      <w:b/>
      <w:bCs/>
      <w:sz w:val="22"/>
      <w:szCs w:val="22"/>
      <w:lang w:val="en-GB" w:eastAsia="en-US" w:bidi="ar-SA"/>
    </w:rPr>
  </w:style>
  <w:style w:type="paragraph" w:customStyle="1" w:styleId="Paragrafi">
    <w:name w:val="Paragrafi"/>
    <w:link w:val="ParagrafiChar"/>
    <w:rsid w:val="00B25C75"/>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B25C75"/>
    <w:rPr>
      <w:rFonts w:ascii="CG Times" w:eastAsia="MS Mincho" w:hAnsi="CG Times" w:cs="CG Times"/>
      <w:sz w:val="22"/>
      <w:szCs w:val="22"/>
      <w:lang w:val="en-US" w:eastAsia="en-US" w:bidi="ar-SA"/>
    </w:rPr>
  </w:style>
  <w:style w:type="paragraph" w:customStyle="1" w:styleId="Titulli">
    <w:name w:val="Titulli"/>
    <w:next w:val="Normal"/>
    <w:link w:val="TitulliChar"/>
    <w:rsid w:val="00B25C7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25C75"/>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B25C75"/>
    <w:rPr>
      <w:rFonts w:ascii="CG Times" w:eastAsia="MS Mincho" w:hAnsi="CG Times" w:cs="CG Times"/>
      <w:caps/>
      <w:sz w:val="22"/>
      <w:szCs w:val="22"/>
      <w:lang w:val="en-GB" w:eastAsia="en-US" w:bidi="ar-SA"/>
    </w:rPr>
  </w:style>
  <w:style w:type="character" w:customStyle="1" w:styleId="TitulliChar">
    <w:name w:val="Titulli Char"/>
    <w:link w:val="Titulli"/>
    <w:rsid w:val="00B25C75"/>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B25C75"/>
    <w:rPr>
      <w:rFonts w:ascii="CG Times" w:eastAsia="MS Mincho" w:hAnsi="CG Times" w:cs="CG Times"/>
      <w:caps/>
      <w:sz w:val="22"/>
      <w:szCs w:val="22"/>
      <w:lang w:val="en-GB" w:eastAsia="en-US" w:bidi="ar-SA"/>
    </w:rPr>
  </w:style>
  <w:style w:type="character" w:customStyle="1" w:styleId="AktiChar">
    <w:name w:val="Akti Char"/>
    <w:link w:val="Akti"/>
    <w:rsid w:val="00B25C75"/>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unhideWhenUsed/>
    <w:rsid w:val="0099301C"/>
    <w:rPr>
      <w:sz w:val="20"/>
      <w:szCs w:val="20"/>
    </w:rPr>
  </w:style>
  <w:style w:type="character" w:customStyle="1" w:styleId="FootnoteTextChar">
    <w:name w:val="Footnote Text Char"/>
    <w:basedOn w:val="DefaultParagraphFont"/>
    <w:link w:val="FootnoteText"/>
    <w:uiPriority w:val="99"/>
    <w:rsid w:val="0099301C"/>
  </w:style>
  <w:style w:type="character" w:styleId="FootnoteReference">
    <w:name w:val="footnote reference"/>
    <w:uiPriority w:val="99"/>
    <w:semiHidden/>
    <w:unhideWhenUsed/>
    <w:rsid w:val="009930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0581D-81D5-4926-A470-5A6488450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Vilma Belishta</cp:lastModifiedBy>
  <cp:revision>2</cp:revision>
  <dcterms:created xsi:type="dcterms:W3CDTF">2021-06-01T10:44:00Z</dcterms:created>
  <dcterms:modified xsi:type="dcterms:W3CDTF">2021-06-01T10:44:00Z</dcterms:modified>
</cp:coreProperties>
</file>