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21B4F" w14:textId="77777777" w:rsidR="00542E8E" w:rsidRPr="00C24744" w:rsidRDefault="00542E8E" w:rsidP="00542E8E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C24744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14:paraId="24021B50" w14:textId="77777777" w:rsidR="00542E8E" w:rsidRPr="00C24744" w:rsidRDefault="00542E8E" w:rsidP="00542E8E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Nr. 1039, datë 4.12.2013</w:t>
      </w:r>
    </w:p>
    <w:p w14:paraId="24021B51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2" w14:textId="0CD86A3E" w:rsidR="00542E8E" w:rsidRPr="00C24744" w:rsidRDefault="00542E8E" w:rsidP="00542E8E">
      <w:pPr>
        <w:pStyle w:val="Titull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PËR FUNKSIONIMIN E KËSHILLIT KOMBËTAR TË PUNËS DHE PËR CAKTIMIN E PËRFAQËSUESVE TË KËSHILLIT TË MINISTRAVE NË KËTË KËSHILL</w:t>
      </w:r>
    </w:p>
    <w:p w14:paraId="24021B53" w14:textId="35AC030F" w:rsidR="00115C3B" w:rsidRPr="00C24744" w:rsidRDefault="00115C3B" w:rsidP="00115C3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C24744">
        <w:rPr>
          <w:rFonts w:ascii="Garamond" w:hAnsi="Garamond"/>
          <w:i/>
          <w:sz w:val="24"/>
          <w:szCs w:val="24"/>
          <w:lang w:val="en-GB"/>
        </w:rPr>
        <w:t>(</w:t>
      </w:r>
      <w:r w:rsidR="00B74DD2" w:rsidRPr="00C24744">
        <w:rPr>
          <w:rFonts w:ascii="Garamond" w:hAnsi="Garamond"/>
          <w:i/>
          <w:sz w:val="24"/>
          <w:szCs w:val="24"/>
          <w:lang w:val="en-GB"/>
        </w:rPr>
        <w:t>n</w:t>
      </w:r>
      <w:r w:rsidRPr="00C24744">
        <w:rPr>
          <w:rFonts w:ascii="Garamond" w:hAnsi="Garamond"/>
          <w:i/>
          <w:sz w:val="24"/>
          <w:szCs w:val="24"/>
          <w:lang w:val="en-GB"/>
        </w:rPr>
        <w:t>dryshuar me VKM nr.84, datë</w:t>
      </w:r>
      <w:r w:rsidR="001C1E32" w:rsidRPr="00C24744">
        <w:rPr>
          <w:rFonts w:ascii="Garamond" w:hAnsi="Garamond"/>
          <w:i/>
          <w:sz w:val="24"/>
          <w:szCs w:val="24"/>
          <w:lang w:val="en-GB"/>
        </w:rPr>
        <w:t xml:space="preserve"> 14.2.2018</w:t>
      </w:r>
      <w:r w:rsidR="007450EE" w:rsidRPr="00C24744">
        <w:rPr>
          <w:rFonts w:ascii="Garamond" w:hAnsi="Garamond"/>
          <w:i/>
          <w:sz w:val="24"/>
          <w:szCs w:val="24"/>
          <w:lang w:val="en-GB"/>
        </w:rPr>
        <w:t>, nr. 54, datë 29.1.2020</w:t>
      </w:r>
      <w:r w:rsidR="00B74DD2" w:rsidRPr="00C24744">
        <w:rPr>
          <w:rFonts w:ascii="Garamond" w:hAnsi="Garamond"/>
          <w:i/>
          <w:sz w:val="24"/>
          <w:szCs w:val="24"/>
          <w:lang w:val="en-GB"/>
        </w:rPr>
        <w:t>, nr. 265, datë 27.4.2023</w:t>
      </w:r>
      <w:r w:rsidR="001C1E32" w:rsidRPr="00C24744">
        <w:rPr>
          <w:rFonts w:ascii="Garamond" w:hAnsi="Garamond"/>
          <w:i/>
          <w:sz w:val="24"/>
          <w:szCs w:val="24"/>
          <w:lang w:val="en-GB"/>
        </w:rPr>
        <w:t>)</w:t>
      </w:r>
    </w:p>
    <w:p w14:paraId="24021B54" w14:textId="396233EF" w:rsidR="00542E8E" w:rsidRPr="00C24744" w:rsidRDefault="00115C3B" w:rsidP="00115C3B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C24744">
        <w:rPr>
          <w:rFonts w:ascii="Garamond" w:hAnsi="Garamond"/>
          <w:i/>
          <w:sz w:val="24"/>
          <w:szCs w:val="24"/>
          <w:lang w:val="en-GB"/>
        </w:rPr>
        <w:t>(</w:t>
      </w:r>
      <w:r w:rsidR="00B74DD2" w:rsidRPr="00C24744">
        <w:rPr>
          <w:rFonts w:ascii="Garamond" w:hAnsi="Garamond"/>
          <w:i/>
          <w:sz w:val="24"/>
          <w:szCs w:val="24"/>
          <w:lang w:val="en-GB"/>
        </w:rPr>
        <w:t xml:space="preserve">i </w:t>
      </w:r>
      <w:r w:rsidRPr="00C24744">
        <w:rPr>
          <w:rFonts w:ascii="Garamond" w:hAnsi="Garamond"/>
          <w:i/>
          <w:sz w:val="24"/>
          <w:szCs w:val="24"/>
          <w:lang w:val="en-GB"/>
        </w:rPr>
        <w:t>përditësuar)</w:t>
      </w:r>
    </w:p>
    <w:p w14:paraId="24021B5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Në mbështetje të nenit 100 të Kushtetutës dhe të nenit 200 të ligjit nr.7961, datë 12.7.1995 “Kodi i Punës i Republikës së Shqipërisë”, të ndryshuar, me propozimin e ministrit të Mirëqenies Sociale dhe Rinisë, Këshilli i Ministrave</w:t>
      </w:r>
    </w:p>
    <w:p w14:paraId="24021B5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7" w14:textId="77777777" w:rsidR="00542E8E" w:rsidRPr="00C24744" w:rsidRDefault="00542E8E" w:rsidP="00542E8E">
      <w:pPr>
        <w:pStyle w:val="VENDOS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VENDOSI:</w:t>
      </w:r>
    </w:p>
    <w:p w14:paraId="24021B5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1. Këshilli Kombëtar i Punës, në vijim KKP, është organ konsultativ trepalësh me përfaqëuses të Këshillit të Ministrave dhe të organizatave të punëdhënësve e të punëmarrësve.  </w:t>
      </w:r>
    </w:p>
    <w:p w14:paraId="24021B5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2. KKP-ja zhvillon këshillime, merr vendime me konsensus dhe i bën rekomandimet përkatëse Këshillit të Ministrave, nëpërmjet </w:t>
      </w:r>
      <w:r w:rsidR="00115C3B" w:rsidRPr="00C24744">
        <w:rPr>
          <w:rFonts w:ascii="Garamond" w:hAnsi="Garamond"/>
          <w:i/>
          <w:sz w:val="24"/>
          <w:szCs w:val="24"/>
        </w:rPr>
        <w:t>ministrit përgjegjës për punën</w:t>
      </w:r>
      <w:r w:rsidRPr="00C24744">
        <w:rPr>
          <w:rFonts w:ascii="Garamond" w:hAnsi="Garamond"/>
          <w:sz w:val="24"/>
          <w:szCs w:val="24"/>
        </w:rPr>
        <w:t>.</w:t>
      </w:r>
    </w:p>
    <w:p w14:paraId="24021B5B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3. Organizatat e punëdhënësve e të punëmarrësve, si dhe administrata publike duhet t’i vënë në dispozicion KKP-së</w:t>
      </w:r>
      <w:r w:rsidR="00115C3B" w:rsidRPr="00C24744">
        <w:rPr>
          <w:rFonts w:ascii="Garamond" w:hAnsi="Garamond"/>
          <w:sz w:val="24"/>
          <w:szCs w:val="24"/>
        </w:rPr>
        <w:t xml:space="preserve">, </w:t>
      </w:r>
      <w:r w:rsidR="00115C3B" w:rsidRPr="00C24744">
        <w:rPr>
          <w:rFonts w:ascii="Garamond" w:hAnsi="Garamond"/>
          <w:i/>
          <w:sz w:val="24"/>
          <w:szCs w:val="24"/>
        </w:rPr>
        <w:t>sipas kërkesës,</w:t>
      </w:r>
      <w:r w:rsidRPr="00C24744">
        <w:rPr>
          <w:rFonts w:ascii="Garamond" w:hAnsi="Garamond"/>
          <w:sz w:val="24"/>
          <w:szCs w:val="24"/>
        </w:rPr>
        <w:t xml:space="preserve"> të gjitha informacionet dhe të dhënat e nevojshme, që kanë lidhje me objektin e funksionimit të këtij Këshilli, për zhvillimin e këshillimeve.</w:t>
      </w:r>
    </w:p>
    <w:p w14:paraId="24021B5C" w14:textId="77777777" w:rsidR="00115C3B" w:rsidRPr="00C24744" w:rsidRDefault="00542E8E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4. </w:t>
      </w:r>
      <w:r w:rsidR="00115C3B" w:rsidRPr="00C24744">
        <w:rPr>
          <w:rFonts w:ascii="Garamond" w:hAnsi="Garamond"/>
          <w:i/>
          <w:sz w:val="24"/>
          <w:szCs w:val="24"/>
        </w:rPr>
        <w:t>KKP-ja kryesohet nga ministri i Financave dhe Ekonomisë dhe ka në përbërje, si përfaqësues të Këshillit të Ministrave, këta anëtarë:</w:t>
      </w:r>
    </w:p>
    <w:p w14:paraId="24021B5D" w14:textId="77777777" w:rsidR="00115C3B" w:rsidRPr="00C24744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- Ministrin e Financave dhe Ekonomisë;</w:t>
      </w:r>
    </w:p>
    <w:p w14:paraId="24021B5E" w14:textId="77777777" w:rsidR="00115C3B" w:rsidRPr="00C24744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- Ministrin e Drejtësisë;</w:t>
      </w:r>
    </w:p>
    <w:p w14:paraId="24021B5F" w14:textId="77777777" w:rsidR="00115C3B" w:rsidRPr="00C24744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- Ministrin e Shëndetësisë dhe Mbrojtjes Sociale;</w:t>
      </w:r>
    </w:p>
    <w:p w14:paraId="24021B60" w14:textId="77777777" w:rsidR="00115C3B" w:rsidRPr="00C24744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- Ministrin e Arsimit, Sportit dhe Rinisë;</w:t>
      </w:r>
    </w:p>
    <w:p w14:paraId="24021B61" w14:textId="77777777" w:rsidR="00115C3B" w:rsidRPr="00C24744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- Ministrin e Turizmit dhe Mjedisit;</w:t>
      </w:r>
    </w:p>
    <w:p w14:paraId="24021B62" w14:textId="77777777" w:rsidR="00115C3B" w:rsidRPr="00C24744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- Ministrin e Infrastrukturës dhe Energjisë;</w:t>
      </w:r>
    </w:p>
    <w:p w14:paraId="24021B63" w14:textId="77777777" w:rsidR="00115C3B" w:rsidRPr="00C24744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- Ministrin e Shtetit për Mbrojtjen e Sipërmarrjes. </w:t>
      </w:r>
    </w:p>
    <w:p w14:paraId="24021B64" w14:textId="77777777" w:rsidR="00542E8E" w:rsidRPr="00C24744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Përfaqësues, kandidatë të KKP-së, në mungesë të përfaqësuesve, anëtarë të Këshillit të Ministrave, janë zëvendësministrat përkatës.</w:t>
      </w:r>
    </w:p>
    <w:p w14:paraId="6C42BD5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4/1. Përfaqësimi i organizatave të punëmarrësve dhe të punëdhënësve në Këshillin Kombëtar të Punës përcaktohet sipas kritereve të mëposhtme: </w:t>
      </w:r>
    </w:p>
    <w:p w14:paraId="5765BACB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a) për organizatat e punëmarrësve (konfederata, federata, sindikata):</w:t>
      </w:r>
    </w:p>
    <w:p w14:paraId="74BBED03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personalitet juridik, sipas legjislacionit në fuqi, prej më shumë se 2 (dy) vjetësh; </w:t>
      </w:r>
    </w:p>
    <w:p w14:paraId="6880822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pavarësi organizative e financiare;</w:t>
      </w:r>
    </w:p>
    <w:p w14:paraId="250EDC6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iii. shtrirje territoriale në të paktën 50 (pesëdhjetë) % të qarqeve të vendit, përfshirë dhe qarkun e Tiranës; </w:t>
      </w:r>
    </w:p>
    <w:p w14:paraId="46293B85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strukturë administrative për të përmbushur detyrimet ligjore të partneritetit social;</w:t>
      </w:r>
    </w:p>
    <w:p w14:paraId="36DD45B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numri i përgjithshëm i anëtarëve në konfederatë të jetë jo më pak se 5 (pesë) % e numrit të përgjithshëm të punëmarrësve në shkallë vendi, por jo më pak se 20 000 (njëzet mijë) anëtarë; ndërsa për federatat dhe sindikatat, numri i përgjithshëm i anëtarëve në shkallë vendi të jetë jo më pak se 5 (pesë) % e numrit të punëmarrësve në degën/profesionin përkatës;</w:t>
      </w:r>
    </w:p>
    <w:p w14:paraId="61C7721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lastRenderedPageBreak/>
        <w:t>vi. numri i kontratave kolektive, si dhe numri i përgjithshëm i punëmarrësve të mbuluar me kontrata kolektive;</w:t>
      </w:r>
    </w:p>
    <w:p w14:paraId="3B71A212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vii. anëtarësimi në organizata ndërkombëtare të punëmarrësve.</w:t>
      </w:r>
    </w:p>
    <w:p w14:paraId="116356B9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b) Për organizatat e punëdhënësve:</w:t>
      </w:r>
    </w:p>
    <w:p w14:paraId="2B02A3F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i. personalitet juridik, sipas legjislacionit në fuqi, prej më shumë se 2 (dy) vjetësh;</w:t>
      </w:r>
    </w:p>
    <w:p w14:paraId="1F5818E3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pavarësi organizative e financiare;</w:t>
      </w:r>
    </w:p>
    <w:p w14:paraId="11BF891F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shtrirje territoriale në të paktën 50 (pesëdhjetë) % të qarqeve të vendit, përfshirë dhe qarkun e Tiranës;</w:t>
      </w:r>
    </w:p>
    <w:p w14:paraId="7BFC16C4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strukturë administrative për të përmbushur detyrimet ligjore të partneritetit social;</w:t>
      </w:r>
    </w:p>
    <w:p w14:paraId="1102595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numri i anëtarëve që punësojnë të jetë jo më pak se 5 (pesë) % e numrit të punëmarrësve në degën/profesionin përkatës;</w:t>
      </w:r>
    </w:p>
    <w:p w14:paraId="222AF784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vi. numri i përgjithshëm i ndërmarrjeve të anëtarësuara, i cili nuk mund të jetë më i vogël se 10 (dhjetë) % nga numri i përgjithshëm i ndërmarrjeve të regjistruara në Qendrën Kombëtare të Biznesit (QKB);</w:t>
      </w:r>
    </w:p>
    <w:p w14:paraId="6566354E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vii. anëtarësimi në organizata ndërkombëtare të punëdhënësve.</w:t>
      </w:r>
    </w:p>
    <w:p w14:paraId="24021B6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5. Kryetari i KKP-së ka këto detyra:</w:t>
      </w:r>
    </w:p>
    <w:p w14:paraId="24021B6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të drejtojë mbledhjet e KKP-së;</w:t>
      </w:r>
    </w:p>
    <w:p w14:paraId="24021B6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të miratojë rendin e ditës, raportin përfundimtar të mbledhjeve, si dhe programin vjetor të këtij Këshilli, pas mirëkuptimit me palët;</w:t>
      </w:r>
    </w:p>
    <w:p w14:paraId="24021B6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c) të informojë Këshillin e Ministrave për rekomandimet e këtij Këshilli, si dhe për mendimet e organizatave të punëdhënësve e të punëmarrësve. </w:t>
      </w:r>
    </w:p>
    <w:p w14:paraId="24021B6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6. Përfaqësuesit e organizatave të punëdhënësve e të punëmarrësve, anëtarë të KKP-së, caktojnë përkatësisht kryetarët </w:t>
      </w:r>
      <w:r w:rsidR="00115C3B" w:rsidRPr="00C24744">
        <w:rPr>
          <w:rFonts w:ascii="Garamond" w:hAnsi="Garamond"/>
          <w:i/>
          <w:sz w:val="24"/>
          <w:szCs w:val="24"/>
        </w:rPr>
        <w:t>e këtyre dy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Pr="00C24744">
        <w:rPr>
          <w:rFonts w:ascii="Garamond" w:hAnsi="Garamond"/>
          <w:sz w:val="24"/>
          <w:szCs w:val="24"/>
        </w:rPr>
        <w:t>palëve, të cilët janë edhe nënkryetarë të KKP-së.</w:t>
      </w:r>
    </w:p>
    <w:p w14:paraId="24021B6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7. KKP-ja mblidhet në përputhje me programin e miratuar prej tij ose me kërkesën me shkrim të çdo pale, drejtuar kryetarit të Këshillit, sipas përcaktimit të bërë në rregulloren e brendshme të funksionimit.</w:t>
      </w:r>
    </w:p>
    <w:p w14:paraId="24021B6B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8. Anëtarët e KKP-së, për çështjet që do të diskutohen, kanë të drejtën e këshillimit paraprak dhe e shprehin qëndrimin e tyre nëpërmjet kryetarit të palës ose anëtarit të ngarkuar nga kryetari përkatës, për çështje specifike.</w:t>
      </w:r>
    </w:p>
    <w:p w14:paraId="3C4E9BD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9. Pranë KKP-së krijohen dhe funksionojnë komisionet e përhershme e të specializuara tripalëshe, me përbërje, si më poshtë vijon:</w:t>
      </w:r>
    </w:p>
    <w:p w14:paraId="2EBDFEE5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a) Komisioni juridik kryesohet nga drejtori i Drejtorisë së Programimit, Standardizimit dhe Harmonizimit të Kuadrit Rregullator në Ministrinë e Financave dhe Ekonomisë dhe ka në përbërje anëtarë, përfaqësues nga:</w:t>
      </w:r>
    </w:p>
    <w:p w14:paraId="49E864F7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i. Ministria e Drejtësisë:</w:t>
      </w:r>
    </w:p>
    <w:p w14:paraId="73764666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1B779BC3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569F401C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366B5BD2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“Bashkimi i Prodhuesve Shqiptarë”.</w:t>
      </w:r>
    </w:p>
    <w:p w14:paraId="4FAE6579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b) Komisioni i punësimit, arsimit dhe formimit profesional kryesohet nga drejtori i Drejtorisë së Punësimit, Arsimit dhe Formimit Profesional në Ministrinë e Financave dhe Ekonomisë dhe ka në përbërje anëtarë, përfaqësues nga:</w:t>
      </w:r>
    </w:p>
    <w:p w14:paraId="7077B928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Ministria e Financave dhe Ekonomisë, përgjegjës sektori i PAFP-së; </w:t>
      </w:r>
    </w:p>
    <w:p w14:paraId="3C072A7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79F41514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23D98CE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6BFFAF2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v. Shoqata e Bukës, Pastiçerisë dhe Brumërave. </w:t>
      </w:r>
    </w:p>
    <w:p w14:paraId="4AEFED5F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c) Komisioni i pagave, pensioneve dhe përkrahjes sociale kryesohet nga drejtori i Drejtorisë së Pensioneve dhe Pagës Minimale në Ministrinë e Financave dhe Ekonomisë dhe ka në përbërje anëtarë, përfaqësues nga:</w:t>
      </w:r>
    </w:p>
    <w:p w14:paraId="71722CF3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Ministria e Financave dhe Ekonomisë, drejtori i Drejtorisë së Buxhetit; </w:t>
      </w:r>
    </w:p>
    <w:p w14:paraId="4433658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02C9F03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1810319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404C1527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v. Dhoma Kombëtare e Prodhuesve të Veshjeve/Këpucëve-Proeksport. </w:t>
      </w:r>
    </w:p>
    <w:p w14:paraId="41D43DB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ç) Komisioni i kushteve të punës, shëndetit dhe sigurimit në punë kryesohet nga drejtori i Drejtorisë së Inspektimit dhe Marrëdhënieve të Punës në Ministrinë e Financave dhe Ekonomisë dhe ka në përbërje anëtarë, përfaqësues nga:</w:t>
      </w:r>
    </w:p>
    <w:p w14:paraId="0650EA2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ISHPSHSH-ja, nëndrejtori; </w:t>
      </w:r>
    </w:p>
    <w:p w14:paraId="6932BA7E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5A29710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02E2F48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57CC0C6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e Ndërtuesve të Shqipërisë.</w:t>
      </w:r>
    </w:p>
    <w:p w14:paraId="4A059794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d) Komisioni i ekonomisë dhe i financës kryesohet nga drejtori i Drejtorisë së Buxhetit i dhe Borxhit në Ministrinë e Financave dhe Ekonomisë dhe ka në përbërje anëtarë, përfaqësues nga:</w:t>
      </w:r>
    </w:p>
    <w:p w14:paraId="5394DB69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Ministria e Financave dhe Ekonomisë, përgjegjësi i sektorit të Drejtorisë së Buxhetit dhe Borxhit; </w:t>
      </w:r>
    </w:p>
    <w:p w14:paraId="10B23266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1F443212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1641AD2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709CE8D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Shqiptare e Bankave.</w:t>
      </w:r>
    </w:p>
    <w:p w14:paraId="4E9C7B7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dh) Komisioni i shanseve të barabarta, aftësive të kufizuara dhe rinisë kryesohet nga drejtori i Drejtorisë Përgjegjëse për Shanset e Barabarta dhe Aftësitë e Kufizuara në Ministrinë e Shëndetësisë dhe Mbrojtjes Sociale dhe ka në përbërje anëtarë, përfaqësues nga:</w:t>
      </w:r>
    </w:p>
    <w:p w14:paraId="643A0AB4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Ministria e Arsimit dhe Sportit, drejtori i drejtorisë përgjegjëse për rininë; </w:t>
      </w:r>
    </w:p>
    <w:p w14:paraId="21B9803F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6479B718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2C71F52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62236C1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Shqiptare e Turizmit.</w:t>
      </w:r>
    </w:p>
    <w:p w14:paraId="24021B73" w14:textId="03F73BE0" w:rsidR="00542E8E" w:rsidRPr="00C24744" w:rsidRDefault="00542E8E" w:rsidP="00B74DD2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10. Komisionet e përhershme e të specializuara trepalëshe kanë për objekt të shqyrtojnë çështje për fushat e tyre të kompetencës dhe t’ia transmetojnë mendimet e përfundimet e këshillimeve KKP-së, për:</w:t>
      </w:r>
    </w:p>
    <w:p w14:paraId="24021B74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orientimin dhe zbatimin e politikave shtetërore në fushat e veprimtarisë së tyre;</w:t>
      </w:r>
    </w:p>
    <w:p w14:paraId="24021B7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projektligjet dhe projektvendimet e Këshillit të Ministrave, që kanë lidhje me fushat e veprimtarisë së tyre;</w:t>
      </w:r>
    </w:p>
    <w:p w14:paraId="24021B7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c) çështjet për të cilat KKP-ja u është drejtuar atyre për konsultim dhe mendim.</w:t>
      </w:r>
    </w:p>
    <w:p w14:paraId="24021B7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Për arritjen e objektivave, çdo komision mund të angazhojë specialistë të kualifikuar.</w:t>
      </w:r>
    </w:p>
    <w:p w14:paraId="24021B78" w14:textId="02723AD1" w:rsidR="00542E8E" w:rsidRPr="00C24744" w:rsidRDefault="00542E8E" w:rsidP="00542E8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11. </w:t>
      </w:r>
      <w:r w:rsidR="00B74DD2" w:rsidRPr="00C24744">
        <w:rPr>
          <w:rFonts w:ascii="Garamond" w:hAnsi="Garamond"/>
          <w:i/>
          <w:sz w:val="24"/>
          <w:szCs w:val="24"/>
        </w:rPr>
        <w:t>Shfuqizuar</w:t>
      </w:r>
      <w:r w:rsidRPr="00C24744">
        <w:rPr>
          <w:rFonts w:ascii="Garamond" w:hAnsi="Garamond"/>
          <w:i/>
          <w:sz w:val="24"/>
          <w:szCs w:val="24"/>
        </w:rPr>
        <w:t>.</w:t>
      </w:r>
    </w:p>
    <w:p w14:paraId="24021B7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12. Kryetarët e komisioneve të përhershme e të specializuara trepalëshe caktohen nga </w:t>
      </w:r>
      <w:r w:rsidR="00115C3B" w:rsidRPr="00C24744">
        <w:rPr>
          <w:rFonts w:ascii="Garamond" w:hAnsi="Garamond"/>
          <w:i/>
          <w:sz w:val="24"/>
          <w:szCs w:val="24"/>
        </w:rPr>
        <w:t>ministri përgjegjës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="00115C3B" w:rsidRPr="00C24744">
        <w:rPr>
          <w:rFonts w:ascii="Garamond" w:hAnsi="Garamond"/>
          <w:i/>
          <w:sz w:val="24"/>
          <w:szCs w:val="24"/>
        </w:rPr>
        <w:t>për punën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Pr="00C24744">
        <w:rPr>
          <w:rFonts w:ascii="Garamond" w:hAnsi="Garamond"/>
          <w:sz w:val="24"/>
          <w:szCs w:val="24"/>
        </w:rPr>
        <w:t>nga administrata e kësaj ministrie, sipas fushave që ata mbulojnë. Anëtarët e komisioneve, përfaqësues të institucioneve shtetërore, caktohen nga titullarët e tyre.</w:t>
      </w:r>
    </w:p>
    <w:p w14:paraId="24021B7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13. Anëtarët e komisioneve, përfaqësues të organizatave të punëmarrësve e punëdhënësve (dy për secilën palë) propozohen nga nënkryetarët e palëve.</w:t>
      </w:r>
    </w:p>
    <w:p w14:paraId="24021B7B" w14:textId="77777777" w:rsidR="00542E8E" w:rsidRPr="00C24744" w:rsidRDefault="00542E8E" w:rsidP="00115C3B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14. Për funksionimin e KKP-së, në strukturën e </w:t>
      </w:r>
      <w:r w:rsidR="001C1E32" w:rsidRPr="00C24744">
        <w:rPr>
          <w:rFonts w:ascii="Garamond" w:hAnsi="Garamond"/>
          <w:i/>
          <w:sz w:val="24"/>
          <w:szCs w:val="24"/>
        </w:rPr>
        <w:t>ministrisë përgjegjëse për punën</w:t>
      </w:r>
      <w:r w:rsidRPr="00C24744">
        <w:rPr>
          <w:rFonts w:ascii="Garamond" w:hAnsi="Garamond"/>
          <w:sz w:val="24"/>
          <w:szCs w:val="24"/>
        </w:rPr>
        <w:t xml:space="preserve"> ngrihet sekretariati i KKP-së, i përbërë nga tre sekretarë, respektivisht nga një për çdo palë të përfaqësuar në këtë Këshill. Për emërimin e sekretarëve të KKP-së merret edhe</w:t>
      </w:r>
      <w:r w:rsidR="00115C3B" w:rsidRPr="00C24744">
        <w:rPr>
          <w:rFonts w:ascii="Garamond" w:hAnsi="Garamond"/>
          <w:sz w:val="24"/>
          <w:szCs w:val="24"/>
        </w:rPr>
        <w:t xml:space="preserve"> mendimi i partnerëve socialë.</w:t>
      </w:r>
    </w:p>
    <w:p w14:paraId="1504DBFD" w14:textId="77777777" w:rsidR="007450EE" w:rsidRPr="00C24744" w:rsidRDefault="007450EE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14/1. Me përfundimin e mandatit 3-vjeçar (trevjeçar), sekretariati i Këshillit Kombëtar të Punës mbledh dokumentacionin e organizatave të punëmarrësve dhe të punëdhënësve, që janë të interesuara të jenë pjesë e këtij këshilli, 3 (tre) muaj përpara se të përfundojë mandati. Dokumentacioni i depozituar përbëhet nga vendimi i gjykatës, një kopje e statutit, deklarimet që kanë të bëjnë me numrin e anëtarëve në</w:t>
      </w:r>
      <w:bookmarkStart w:id="0" w:name="_GoBack"/>
      <w:bookmarkEnd w:id="0"/>
      <w:r w:rsidRPr="00C24744">
        <w:rPr>
          <w:rFonts w:ascii="Garamond" w:hAnsi="Garamond"/>
          <w:i/>
          <w:sz w:val="24"/>
          <w:szCs w:val="24"/>
        </w:rPr>
        <w:t xml:space="preserve"> subjektet përkatëse, vërtetuar nga kuotizacioni ose vërtetimet noteriale, numri i kontratave kolektive të punës, shtrirja gjeografike e veprimtarisë, si dhe anëtarësimi i tyre në organizatat ndërkombëtare. Një organizatë e punëmarrësve apo e punëdhënësve vlerësohet më e përfaqësuar nëse ka numrin më të madh të kontratave kolektive dhe numrin më të madh të anëtarëve, ndërsa një organizatë punëdhënësish vlerësohet nga numri i ndërmarrjeve, numri i punonjësve të punësuar në ndërmarrje dhe numri i degëve/profesioneve.</w:t>
      </w:r>
    </w:p>
    <w:p w14:paraId="24021B7C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15. Buxheti i pavarur i KKP-së përbëhet nga:</w:t>
      </w:r>
    </w:p>
    <w:p w14:paraId="24021B7D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fondi i dhënë nga buxheti i shtetit;</w:t>
      </w:r>
    </w:p>
    <w:p w14:paraId="24021B7E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donacione dhe projekte të ndryshme, të ligjshme.</w:t>
      </w:r>
    </w:p>
    <w:p w14:paraId="24021B7F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16. Fondi i dhënë nga buxheti i shtetit për Këshillin Kombëtar të Punës përdoret, kryesisht, për përballimin e shpenzimeve:</w:t>
      </w:r>
    </w:p>
    <w:p w14:paraId="24021B80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të mbledhjeve të KKP-së;</w:t>
      </w:r>
    </w:p>
    <w:p w14:paraId="24021B81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të mbledhjeve të komisioneve të përhershme e të specializuara të tij;</w:t>
      </w:r>
    </w:p>
    <w:p w14:paraId="24021B82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c) për funksionimin e zyrave shtetërore të pajtimit;</w:t>
      </w:r>
    </w:p>
    <w:p w14:paraId="24021B83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ç) për organizimin dhe pjesëmarrjen në konferenca trepalëshe;</w:t>
      </w:r>
    </w:p>
    <w:p w14:paraId="24021B84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d) të seminareve dhe aktiviteteve kualifikuese trepalëshe.</w:t>
      </w:r>
    </w:p>
    <w:p w14:paraId="24021B8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17. KKP-ja bën miratimin paraprak të projektbuxhetit vjetor dhe, nëpërmjet </w:t>
      </w:r>
      <w:r w:rsidR="00115C3B" w:rsidRPr="00C24744">
        <w:rPr>
          <w:rFonts w:ascii="Garamond" w:hAnsi="Garamond"/>
          <w:i/>
          <w:sz w:val="24"/>
          <w:szCs w:val="24"/>
        </w:rPr>
        <w:t>ministrit përgjegjës për punën</w:t>
      </w:r>
      <w:r w:rsidRPr="00C24744">
        <w:rPr>
          <w:rFonts w:ascii="Garamond" w:hAnsi="Garamond"/>
          <w:i/>
          <w:sz w:val="24"/>
          <w:szCs w:val="24"/>
        </w:rPr>
        <w:t>,</w:t>
      </w:r>
      <w:r w:rsidRPr="00C24744">
        <w:rPr>
          <w:rFonts w:ascii="Garamond" w:hAnsi="Garamond"/>
          <w:sz w:val="24"/>
          <w:szCs w:val="24"/>
        </w:rPr>
        <w:t xml:space="preserve"> ia propozon atë për miratim Këshillit të Ministrave.</w:t>
      </w:r>
    </w:p>
    <w:p w14:paraId="24021B8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18. Vendimi nr. 730, datë 6.11.2003 i Këshillit të Ministrave “Për funksionimin e Këshillit Kombëtar të Punës dhe për caktimin e përfaqësuesve të Këshillit të Ministrave në këtë Këshill”, shfuqizohet.</w:t>
      </w:r>
    </w:p>
    <w:p w14:paraId="24021B8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19. Ngarkohet </w:t>
      </w:r>
      <w:r w:rsidRPr="00C24744">
        <w:rPr>
          <w:rFonts w:ascii="Garamond" w:hAnsi="Garamond"/>
          <w:i/>
          <w:sz w:val="24"/>
          <w:szCs w:val="24"/>
        </w:rPr>
        <w:t xml:space="preserve">ministri </w:t>
      </w:r>
      <w:r w:rsidR="00115C3B" w:rsidRPr="00C24744">
        <w:rPr>
          <w:rFonts w:ascii="Garamond" w:hAnsi="Garamond"/>
          <w:i/>
          <w:sz w:val="24"/>
          <w:szCs w:val="24"/>
        </w:rPr>
        <w:t>përgjegjës për punën</w:t>
      </w:r>
      <w:r w:rsidRPr="00C24744">
        <w:rPr>
          <w:rFonts w:ascii="Garamond" w:hAnsi="Garamond"/>
          <w:sz w:val="24"/>
          <w:szCs w:val="24"/>
        </w:rPr>
        <w:t xml:space="preserve"> për ndjekjen e zbatimit të këtij vendimi.</w:t>
      </w:r>
    </w:p>
    <w:p w14:paraId="24021B8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Ky vendim hyn në fuqi pas botimit në Fletoren Zyrtare.</w:t>
      </w:r>
    </w:p>
    <w:p w14:paraId="24021B89" w14:textId="77777777" w:rsidR="00542E8E" w:rsidRPr="00C24744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</w:p>
    <w:p w14:paraId="24021B8A" w14:textId="77777777" w:rsidR="00542E8E" w:rsidRPr="00C24744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KRYEMINISTRI</w:t>
      </w:r>
    </w:p>
    <w:p w14:paraId="24021B8B" w14:textId="77777777" w:rsidR="00542E8E" w:rsidRPr="00C24744" w:rsidRDefault="00542E8E" w:rsidP="00542E8E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Edi Rama</w:t>
      </w:r>
    </w:p>
    <w:sectPr w:rsidR="00542E8E" w:rsidRPr="00C24744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A7B1A" w14:textId="77777777" w:rsidR="00C24744" w:rsidRDefault="00C24744" w:rsidP="00115C3B">
      <w:pPr>
        <w:spacing w:after="0" w:line="240" w:lineRule="auto"/>
      </w:pPr>
      <w:r>
        <w:separator/>
      </w:r>
    </w:p>
  </w:endnote>
  <w:endnote w:type="continuationSeparator" w:id="0">
    <w:p w14:paraId="363A611E" w14:textId="77777777" w:rsidR="00C24744" w:rsidRDefault="00C24744" w:rsidP="00115C3B">
      <w:pPr>
        <w:spacing w:after="0" w:line="240" w:lineRule="auto"/>
      </w:pPr>
      <w:r>
        <w:continuationSeparator/>
      </w:r>
    </w:p>
  </w:endnote>
  <w:endnote w:type="continuationNotice" w:id="1">
    <w:p w14:paraId="0C86CD0A" w14:textId="77777777" w:rsidR="00C24744" w:rsidRDefault="00C247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E6CBC" w14:textId="77777777" w:rsidR="00C24744" w:rsidRDefault="00C24744" w:rsidP="00115C3B">
      <w:pPr>
        <w:spacing w:after="0" w:line="240" w:lineRule="auto"/>
      </w:pPr>
      <w:r>
        <w:separator/>
      </w:r>
    </w:p>
  </w:footnote>
  <w:footnote w:type="continuationSeparator" w:id="0">
    <w:p w14:paraId="7B20E62C" w14:textId="77777777" w:rsidR="00C24744" w:rsidRDefault="00C24744" w:rsidP="00115C3B">
      <w:pPr>
        <w:spacing w:after="0" w:line="240" w:lineRule="auto"/>
      </w:pPr>
      <w:r>
        <w:continuationSeparator/>
      </w:r>
    </w:p>
  </w:footnote>
  <w:footnote w:type="continuationNotice" w:id="1">
    <w:p w14:paraId="69E09722" w14:textId="77777777" w:rsidR="00C24744" w:rsidRDefault="00C247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E8E"/>
    <w:rsid w:val="00015E5E"/>
    <w:rsid w:val="00115C3B"/>
    <w:rsid w:val="001C1E32"/>
    <w:rsid w:val="00206A4F"/>
    <w:rsid w:val="003163B0"/>
    <w:rsid w:val="004A2321"/>
    <w:rsid w:val="004A7CB7"/>
    <w:rsid w:val="00542E8E"/>
    <w:rsid w:val="007450EE"/>
    <w:rsid w:val="008045C8"/>
    <w:rsid w:val="00B74DD2"/>
    <w:rsid w:val="00C24744"/>
    <w:rsid w:val="00C74C28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21B4F"/>
  <w15:docId w15:val="{FA1AC51A-B2E5-4764-A4A0-D99274D9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2E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42E8E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542E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2E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542E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2E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2E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542E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542E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542E8E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5C3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5C3B"/>
  </w:style>
  <w:style w:type="character" w:styleId="FootnoteReference">
    <w:name w:val="footnote reference"/>
    <w:uiPriority w:val="99"/>
    <w:semiHidden/>
    <w:unhideWhenUsed/>
    <w:rsid w:val="00115C3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31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63B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1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63B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2023-05-03T12:12:48Z</Data_x0020_e_x0020_Krijimit>
    <Modifikuesi xmlns="0e656187-b300-4fb0-8bf4-3a50f872073c">elona.baci</Modifikuesi>
    <Data_x0020_e_x0020_Modifikimit xmlns="0e656187-b300-4fb0-8bf4-3a50f872073c">2023-05-08T09:54:43Z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CB081FFF16946C88993085762777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CB081FFF16946C88993085762777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2B318-AB9A-4084-8E08-CA81F8E8F823}">
  <ds:schemaRefs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7D2725B-F15F-4D97-A452-3AD5748F94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494359-4F3D-42D3-ACC3-5577CDB30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4028ED-B426-46B1-AAD2-DF17EF18B6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BB077B-EE16-41DB-81E1-256F15AFE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B2B0F6-526B-497C-AECF-9BEA87A9B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Elona Baci</cp:lastModifiedBy>
  <cp:revision>6</cp:revision>
  <cp:lastPrinted>2018-03-21T14:22:00Z</cp:lastPrinted>
  <dcterms:created xsi:type="dcterms:W3CDTF">2019-04-04T16:18:00Z</dcterms:created>
  <dcterms:modified xsi:type="dcterms:W3CDTF">2023-06-09T08:54:00Z</dcterms:modified>
</cp:coreProperties>
</file>