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6DA" w:rsidRPr="006C6A88" w:rsidRDefault="001D26DA" w:rsidP="001D26DA">
      <w:pPr>
        <w:pStyle w:val="Akt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Vendim</w:t>
      </w:r>
    </w:p>
    <w:p w:rsidR="001D26DA" w:rsidRPr="006C6A88" w:rsidRDefault="001D26DA" w:rsidP="001D26DA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Nr. 246, datë 30.4.2014</w:t>
      </w:r>
    </w:p>
    <w:p w:rsidR="001D26DA" w:rsidRPr="006C6A88" w:rsidRDefault="001D26DA" w:rsidP="001D26DA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1D26DA" w:rsidRPr="006C6A88" w:rsidRDefault="001D26DA" w:rsidP="001D26DA">
      <w:pPr>
        <w:pStyle w:val="Titull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PËR PËRCAKTIMIN E NORMAVE TË CILËSISË SË MJEDISIT PËR UJËRAT SIPËRFAQËSORE</w:t>
      </w:r>
      <w:r w:rsidRPr="006C6A88">
        <w:rPr>
          <w:rFonts w:ascii="Garamond" w:hAnsi="Garamond"/>
          <w:sz w:val="24"/>
          <w:szCs w:val="24"/>
          <w:vertAlign w:val="superscript"/>
          <w:lang w:val="sq-AL"/>
        </w:rPr>
        <w:footnoteReference w:id="1"/>
      </w:r>
    </w:p>
    <w:p w:rsidR="001D26DA" w:rsidRPr="006C6A88" w:rsidRDefault="001D26DA" w:rsidP="001D26DA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1D26DA" w:rsidRPr="006C6A88" w:rsidRDefault="001D26DA" w:rsidP="006C6A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 xml:space="preserve">Në mbështetje të nenit 100 të Kushtetutës dhe të nenit 29 të ligjit nr. 111/2012, “Për menaxhimin e integruar të burimeve ujore”, me propozimin e ministrit të Mjedisit,  Këshilli i Ministrave </w:t>
      </w:r>
    </w:p>
    <w:p w:rsidR="001D26DA" w:rsidRPr="006C6A88" w:rsidRDefault="001D26DA" w:rsidP="006C6A88">
      <w:pPr>
        <w:pStyle w:val="VENDOS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VENDOSI: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I. Dispozita të përgjithshme</w:t>
      </w:r>
    </w:p>
    <w:p w:rsidR="001D26DA" w:rsidRPr="006C6A88" w:rsidRDefault="001D26DA" w:rsidP="001D26DA">
      <w:pPr>
        <w:pStyle w:val="Paragrafi"/>
        <w:rPr>
          <w:rFonts w:ascii="Garamond" w:hAnsi="Garamond"/>
          <w:spacing w:val="-6"/>
          <w:sz w:val="24"/>
          <w:szCs w:val="24"/>
          <w:lang w:val="sq-AL"/>
        </w:rPr>
      </w:pPr>
      <w:r w:rsidRPr="006C6A88">
        <w:rPr>
          <w:rFonts w:ascii="Garamond" w:hAnsi="Garamond"/>
          <w:spacing w:val="-6"/>
          <w:sz w:val="24"/>
          <w:szCs w:val="24"/>
          <w:lang w:val="sq-AL"/>
        </w:rPr>
        <w:t>1. Qëllimi i këtij vendimi është vendosja e normave të cilësisë së mjedisit të trupave ujorë sipërfaqësore, për substancat prioritare dhe ndotës të tjerë, me qëllim arritjen e statusit të mirë kimik të ujërave sipërfaqësorë dhe në përputhje me objektivat mjedisorë, sipas nenit 25 të ligjit nr. 111/2012, “Për menaxhimin e integruar të burimeve ujore”.</w:t>
      </w:r>
    </w:p>
    <w:p w:rsidR="001D26DA" w:rsidRPr="006C6A88" w:rsidRDefault="001D26DA" w:rsidP="001D26D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>2. Të gjithë termat e përdorur në këtë vendim kanë kuptimin që u është dhënë nga ligji nr. 111/2012, datë 15.12.2012, “Për menaxhimin e integruar të burimeve ujore”.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II. Normat e cilësisë së mjedisit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 xml:space="preserve">3. Për ujërat sipërfaqësore zbatohen normat e cilësisë së mjedisit, të përcaktuara në pjesën A të aneksit I, bashkëlidhur këtij vendimi. 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 xml:space="preserve">4. Normat e cilësisë së mjedisit për trupat ujorë sipërfaqësorë zbatohen në përputhje me kërkesat e pjesës B të aneksit I bashkëlidhur këtij vendimi. 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5. Për kategori të caktuara të ujërave sipërfaqësore, si alternativë e normave të cilësisë së mjedisit të përmendura në pjesën A të aneksit I, mund të zbatohen normat e cilësisë së mjedisit për sedimentin dhe/ose biotën. Në raste të tilla: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a)  Normat e cilësisë së mjedisit për indet e kafshëve të gjahut (peshë e njomë) zbatohen, duke zgjedhur atë indikator që është më i përshtatshëm për peshqit, molusqet, krustacet dhe llojet e tjera të biotës, si më poshtë vijon: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 xml:space="preserve">i) për merkurin dhe përbërësit e tij, 20 </w:t>
      </w:r>
      <w:r w:rsidRPr="006C6A88">
        <w:rPr>
          <w:rFonts w:ascii="Garamond" w:hAnsi="Garamond"/>
          <w:sz w:val="24"/>
          <w:szCs w:val="24"/>
          <w:lang w:val="sq-AL"/>
        </w:rPr>
        <w:sym w:font="Symbol" w:char="F06D"/>
      </w:r>
      <w:r w:rsidRPr="006C6A88">
        <w:rPr>
          <w:rFonts w:ascii="Garamond" w:hAnsi="Garamond"/>
          <w:sz w:val="24"/>
          <w:szCs w:val="24"/>
          <w:lang w:val="sq-AL"/>
        </w:rPr>
        <w:t xml:space="preserve">g/kg; 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 xml:space="preserve">ii) për hekzaklorobenzenin, 10 </w:t>
      </w:r>
      <w:r w:rsidRPr="006C6A88">
        <w:rPr>
          <w:rFonts w:ascii="Garamond" w:hAnsi="Garamond"/>
          <w:sz w:val="24"/>
          <w:szCs w:val="24"/>
          <w:lang w:val="sq-AL"/>
        </w:rPr>
        <w:sym w:font="Symbol" w:char="F06D"/>
      </w:r>
      <w:r w:rsidRPr="006C6A88">
        <w:rPr>
          <w:rFonts w:ascii="Garamond" w:hAnsi="Garamond"/>
          <w:sz w:val="24"/>
          <w:szCs w:val="24"/>
          <w:lang w:val="sq-AL"/>
        </w:rPr>
        <w:t>g/kg;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 xml:space="preserve">iii) për hekzaklorobutadienin, 55 </w:t>
      </w:r>
      <w:r w:rsidRPr="006C6A88">
        <w:rPr>
          <w:rFonts w:ascii="Garamond" w:hAnsi="Garamond"/>
          <w:sz w:val="24"/>
          <w:szCs w:val="24"/>
          <w:lang w:val="sq-AL"/>
        </w:rPr>
        <w:sym w:font="Symbol" w:char="F06D"/>
      </w:r>
      <w:r w:rsidRPr="006C6A88">
        <w:rPr>
          <w:rFonts w:ascii="Garamond" w:hAnsi="Garamond"/>
          <w:sz w:val="24"/>
          <w:szCs w:val="24"/>
          <w:lang w:val="sq-AL"/>
        </w:rPr>
        <w:t>g/kg.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b) Përveç normave të cilësisë së mjedisit të referuara në shkronjën “a”, për sedimentin dhe/ose biotën, për substanca të tjera, të specifikuara sipas shkronjës “d”, mund të përcaktohen dhe të zbatohen edhe</w:t>
      </w:r>
      <w:r w:rsidRPr="006C6A88" w:rsidDel="001B08E8">
        <w:rPr>
          <w:rFonts w:ascii="Garamond" w:hAnsi="Garamond"/>
          <w:sz w:val="24"/>
          <w:szCs w:val="24"/>
          <w:lang w:val="sq-AL"/>
        </w:rPr>
        <w:t xml:space="preserve"> </w:t>
      </w:r>
      <w:r w:rsidRPr="006C6A88">
        <w:rPr>
          <w:rFonts w:ascii="Garamond" w:hAnsi="Garamond"/>
          <w:sz w:val="24"/>
          <w:szCs w:val="24"/>
          <w:lang w:val="sq-AL"/>
        </w:rPr>
        <w:t>norma të tjera të cilësisë së mjedisit. Normat e tjera duhet të ofrojnë, të paktën, të njëjtin nivel mbrojtjeje si ato që përcaktohen në pjesën A të aneksit I.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 xml:space="preserve">c) Agjencia Kombëtare e Mjedisit përcakton shpeshtësinë e monitorimit të biotës dhe/ose sedimentit për substancat e referuara në shkronjat “a” dhe “b”, të paktën, një herë në vit, në qoftë se, në bazë të gjykimit dhe njohurive teknike të saj, nuk justifikohet një shpeshtësi tjetër monitorimi. 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ç) Në planin e menaxhimit të basenit ujor specifikohen substancat për të cilat do të përcaktohen normat e cilësisë së mjedisit, në përputhje me shkronjën “b”, arsyet dhe bazat për përdorimin e kësaj përqasjeje, normat alternative të vendosura për cilësinë e mjedisit, përfshirë të dhënat dhe metodologjinë nga ku e kanë origjinën, kategoritë e ujërave sipërfaqësore ku zbatohen këto norma, shpeshtësinë e planifikuar të monitorimit dhe justifikimin për atë shpeshtësi.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III. Monitorimi dhe analiza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 xml:space="preserve">6. Agjencia Kombëtare e Mjedisit kryen analizën e tendencës afatgjatë për substancat prioritare të listuara në pjesën A të aneksit I, të cilat kanë tendencë të akumulohen në sediment dhe/ose në biotë, bazuar në monitorimin e statusit të ujërave, të kryer në përputhje me nenin 85 të ligjit nr. </w:t>
      </w:r>
      <w:r w:rsidRPr="006C6A88">
        <w:rPr>
          <w:rFonts w:ascii="Garamond" w:hAnsi="Garamond"/>
          <w:sz w:val="24"/>
          <w:szCs w:val="24"/>
          <w:lang w:val="sq-AL"/>
        </w:rPr>
        <w:lastRenderedPageBreak/>
        <w:t>111/2012, datë 15.12.2012, “Për menaxhimin e integruar të burimeve ujore”.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7. Agjencia Kombëtare e Mjedisit, në kryerjen e analizës së referuar në pikën 6, i kushton kujdes të veçantë substancave me numër  2, 5, 6, 7, 12, 15, 16, 17, 18, 20, 21, 26, 28 dhe 30, të përmendura në pjesën A të aneksit I, që i bashkëlidhet këtij vendimi.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 xml:space="preserve">8. Agjencia Kombëtare e Mjedisit, në përputhje me objektivat mjedisorë, të përcaktuar në nenin 25 të ligjit nr. 111/2012, “Për menaxhimin e integruar të burimeve ujore”, merr masat e nevojshme për të siguruar që përqendrimet e substancave prioritare, të listuara në pjesën A të aneksit I, që i bashkëlidhet këtij vendimi, në sediment dhe/ose biotën përkatëse, të mos rriten shumë. </w:t>
      </w:r>
    </w:p>
    <w:p w:rsidR="001D26DA" w:rsidRPr="006C6A88" w:rsidRDefault="001D26DA" w:rsidP="001D26D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>9. Agjencia Kombëtare e Mjedisit monitoron sedimentin dhe/ose biotën në mënyrë që të japë të dhëna të mjaftueshme për një analizë të besueshme të tendencës afatgjatë.</w:t>
      </w:r>
    </w:p>
    <w:p w:rsidR="001D26DA" w:rsidRPr="006C6A88" w:rsidRDefault="001D26DA" w:rsidP="001D26D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 xml:space="preserve">10. Agjencia Kombëtare e Mjedisit siguron që monitorimi i referuar në pikën 9 të kryhet të paktën çdo tre vjet, në qoftë se, në bazë të gjykimit dhe njohurive teknike të saj, nuk justifikohet një shpeshtësi tjetër monitorimi.    </w:t>
      </w:r>
    </w:p>
    <w:p w:rsidR="001D26DA" w:rsidRPr="006C6A88" w:rsidRDefault="001D26DA" w:rsidP="001D26D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>IV. Inventari i emetimeve, shkarkimeve dhe humbjeve</w:t>
      </w:r>
    </w:p>
    <w:p w:rsidR="001D26DA" w:rsidRPr="006C6A88" w:rsidRDefault="001D26DA" w:rsidP="001D26D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>11. Agjencia Kombëtare e Mjedisit</w:t>
      </w:r>
      <w:r w:rsidRPr="006C6A88" w:rsidDel="008E1BBA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6C6A88">
        <w:rPr>
          <w:rFonts w:ascii="Garamond" w:hAnsi="Garamond"/>
          <w:spacing w:val="-4"/>
          <w:sz w:val="24"/>
          <w:szCs w:val="24"/>
          <w:lang w:val="sq-AL"/>
        </w:rPr>
        <w:t>harton inventarët, përfshirë hartat e emetimeve, shkarkimeve dhe humbjeve të të gjitha substancave prioritare dhe ndotësve të tjerë të listuar në pjesën A të aneksit I, që i bashkëlidhet këtij vendimi, përfshirë përqendrimet e tyre në sediment dhe biotë, sipas rastit, në qoftë se janë të disponueshme.</w:t>
      </w:r>
    </w:p>
    <w:p w:rsidR="001D26DA" w:rsidRPr="006C6A88" w:rsidRDefault="001D26DA" w:rsidP="006C6A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12. Inventarët e përmendur në pikën 11, hartohen për çdo basen ujor që shtrihet brenda Republikës së Shqipërisë.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 xml:space="preserve">13. Inventarët e përmendur në pikën 11 hartohen në bazë të informacionit të grumbulluar nga Agjencia Kombëtare e Mjedisit. 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14. Periudha e referencës për vlerësimin e vlerave të ndotësve, që duhen përfshirë në inventarët e përmendur në pikën 11, janë vitet 2012 dhe 2013.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 xml:space="preserve">15. Inventarët e përmendur në pikën 12 përditësohen, si pjesë e rishqyrtimit të analizës së karakteristikave të basenit ujor përkatës, në përputhje me  nenin 36 të ligjit nr. 111/2012, “Për menaxhimin e integruar të burimeve ujore”.  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16. Periudha e referencës për përcaktimin e vlerave në inventarët e përditësuar, të përmendur në pikën 14, është viti përpara të cilit duhet të kryhet analiza.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17. Inventarët e përditësuar, të përmendur në pikën 15, përditësohen edhe në planin e menaxhimit të basenit ujor përkatës.</w:t>
      </w:r>
    </w:p>
    <w:p w:rsidR="001D26DA" w:rsidRPr="006C6A88" w:rsidRDefault="001D26DA" w:rsidP="006C6A88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 xml:space="preserve"> </w:t>
      </w:r>
      <w:r w:rsidRPr="006C6A88">
        <w:rPr>
          <w:rFonts w:ascii="Garamond" w:hAnsi="Garamond"/>
          <w:spacing w:val="-4"/>
          <w:sz w:val="24"/>
          <w:szCs w:val="24"/>
          <w:lang w:val="sq-AL"/>
        </w:rPr>
        <w:t>18. Inventarët dhe të gjitha përditësimet e tyre, përfshirë periudhat përkatëse të referencës, vihen në dispozicion të publikut, në përputhje me nenin 43 të ligjit nr. 10 431, datë 9.6.2011, “Për mbrojtjen e mjedisit”.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 xml:space="preserve">19. Ministri miraton udhëzimet teknike për hartimin e inventarëve. 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V. Ndotja ndërkufitare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20. Sipas rastit, në planin e menaxhimit të basenit ujor për trupat ujorë të ndikuar nga ndotja ndërkufitare specifikohet: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a) nëse normat e cilësisë së mjedisit janë tejkaluar, për shkak të një burimi ndotjeje jashtë juridiksionit të Republikës së Shqipërisë;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b) nëse si rezultat i një ndotjeje të tillë ndërkufitare,</w:t>
      </w:r>
      <w:r w:rsidRPr="006C6A88" w:rsidDel="005F193B">
        <w:rPr>
          <w:rFonts w:ascii="Garamond" w:hAnsi="Garamond"/>
          <w:sz w:val="24"/>
          <w:szCs w:val="24"/>
          <w:lang w:val="sq-AL"/>
        </w:rPr>
        <w:t xml:space="preserve"> </w:t>
      </w:r>
      <w:r w:rsidRPr="006C6A88">
        <w:rPr>
          <w:rFonts w:ascii="Garamond" w:hAnsi="Garamond"/>
          <w:sz w:val="24"/>
          <w:szCs w:val="24"/>
          <w:lang w:val="sq-AL"/>
        </w:rPr>
        <w:t xml:space="preserve">nuk mund të merren masa efektive për të respektuar normat përkatëse të cilësisë së mjedisit; 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c) një përmbledhje e masave që janë ndërmarrë në lidhje me ndotjen ndërkufitare.</w:t>
      </w:r>
    </w:p>
    <w:p w:rsidR="001D26DA" w:rsidRPr="006C6A88" w:rsidRDefault="001D26DA" w:rsidP="001D26D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VI. Dispozita të fundit</w:t>
      </w:r>
    </w:p>
    <w:p w:rsidR="001D26DA" w:rsidRPr="006C6A88" w:rsidRDefault="001D26DA" w:rsidP="001D26D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 xml:space="preserve">21. Ngarkohen Ministria e Mjedisit, Agjencia Kombëtare e Mjedisit, Këshilli Kombëtar i Ujit dhe këshillat e baseneve ujore për zbatimin e këtij vendimi. </w:t>
      </w:r>
    </w:p>
    <w:p w:rsidR="001D26DA" w:rsidRPr="006C6A88" w:rsidRDefault="001D26DA" w:rsidP="001D26D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>Ky vendim hyn në fuqi pas botimit në Fletoren Zyrtare.</w:t>
      </w:r>
    </w:p>
    <w:p w:rsidR="001D26DA" w:rsidRPr="006C6A88" w:rsidRDefault="001D26DA" w:rsidP="001D26DA">
      <w:pPr>
        <w:pStyle w:val="Autoriteti"/>
        <w:rPr>
          <w:rFonts w:ascii="Garamond" w:hAnsi="Garamond"/>
          <w:sz w:val="24"/>
          <w:szCs w:val="24"/>
          <w:lang w:val="sq-AL"/>
        </w:rPr>
      </w:pPr>
    </w:p>
    <w:p w:rsidR="001D26DA" w:rsidRPr="006C6A88" w:rsidRDefault="001D26DA" w:rsidP="001D26DA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KRYEMINISTRI</w:t>
      </w:r>
    </w:p>
    <w:p w:rsidR="001D26DA" w:rsidRPr="006C6A88" w:rsidRDefault="001D26DA" w:rsidP="001D26DA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Edi Rama</w:t>
      </w:r>
    </w:p>
    <w:p w:rsidR="001D26DA" w:rsidRPr="006C6A88" w:rsidRDefault="001D26DA" w:rsidP="001D26DA">
      <w:pPr>
        <w:widowControl w:val="0"/>
        <w:spacing w:after="0" w:line="240" w:lineRule="auto"/>
        <w:rPr>
          <w:rFonts w:ascii="Garamond" w:hAnsi="Garamond"/>
          <w:b/>
          <w:caps/>
          <w:sz w:val="24"/>
          <w:szCs w:val="24"/>
          <w:u w:val="single"/>
          <w:lang w:val="sq-AL"/>
        </w:rPr>
        <w:sectPr w:rsidR="001D26DA" w:rsidRPr="006C6A88" w:rsidSect="006C6A88">
          <w:headerReference w:type="even" r:id="rId6"/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2439"/>
          <w:cols w:space="454"/>
          <w:docGrid w:linePitch="360"/>
        </w:sectPr>
      </w:pPr>
      <w:bookmarkStart w:id="0" w:name="_GoBack"/>
      <w:bookmarkEnd w:id="0"/>
    </w:p>
    <w:p w:rsidR="001D26DA" w:rsidRPr="006C6A88" w:rsidRDefault="001D26DA" w:rsidP="001D26DA">
      <w:pPr>
        <w:widowControl w:val="0"/>
        <w:spacing w:after="0" w:line="240" w:lineRule="auto"/>
        <w:rPr>
          <w:rFonts w:ascii="Garamond" w:hAnsi="Garamond"/>
          <w:b/>
          <w:caps/>
          <w:sz w:val="24"/>
          <w:szCs w:val="24"/>
          <w:u w:val="single"/>
          <w:lang w:val="sq-AL"/>
        </w:rPr>
      </w:pPr>
    </w:p>
    <w:p w:rsidR="001D26DA" w:rsidRPr="006C6A88" w:rsidRDefault="001D26DA" w:rsidP="001D26DA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6471920" cy="8712835"/>
            <wp:effectExtent l="1905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871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6DA" w:rsidRPr="006C6A88" w:rsidRDefault="000D2FFB" w:rsidP="001D26DA">
      <w:pPr>
        <w:widowControl w:val="0"/>
        <w:spacing w:after="0" w:line="240" w:lineRule="auto"/>
        <w:jc w:val="center"/>
        <w:rPr>
          <w:rFonts w:ascii="Garamond" w:hAnsi="Garamond"/>
          <w:b/>
          <w:caps/>
          <w:sz w:val="24"/>
          <w:szCs w:val="24"/>
          <w:u w:val="single"/>
          <w:lang w:val="sq-AL"/>
        </w:rPr>
      </w:pPr>
      <w:r w:rsidRPr="006C6A88">
        <w:rPr>
          <w:rFonts w:ascii="Garamond" w:hAnsi="Garamond"/>
          <w:b/>
          <w:caps/>
          <w:noProof/>
          <w:sz w:val="24"/>
          <w:szCs w:val="24"/>
          <w:u w:val="single"/>
          <w:lang w:val="sq-AL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509.45pt;margin-top:5.95pt;width:0;height:164.15pt;z-index:251660288" o:connectortype="straight"/>
        </w:pict>
      </w:r>
      <w:r w:rsidR="001D26DA" w:rsidRPr="006C6A88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6471920" cy="2240915"/>
            <wp:effectExtent l="1905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4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1920" cy="2240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26DA" w:rsidRPr="006C6A88" w:rsidRDefault="001D26DA" w:rsidP="001D26DA">
      <w:pPr>
        <w:widowControl w:val="0"/>
        <w:spacing w:after="0" w:line="240" w:lineRule="auto"/>
        <w:rPr>
          <w:rFonts w:ascii="Garamond" w:hAnsi="Garamond"/>
          <w:b/>
          <w:caps/>
          <w:sz w:val="24"/>
          <w:szCs w:val="24"/>
          <w:u w:val="single"/>
          <w:lang w:val="sq-AL"/>
        </w:rPr>
      </w:pPr>
    </w:p>
    <w:p w:rsidR="001D26DA" w:rsidRPr="006C6A88" w:rsidRDefault="001D26DA" w:rsidP="001D26DA">
      <w:pPr>
        <w:spacing w:after="0" w:line="240" w:lineRule="auto"/>
        <w:rPr>
          <w:rFonts w:ascii="Garamond" w:hAnsi="Garamond"/>
          <w:sz w:val="24"/>
          <w:szCs w:val="24"/>
          <w:lang w:val="sq-AL"/>
        </w:rPr>
        <w:sectPr w:rsidR="001D26DA" w:rsidRPr="006C6A88" w:rsidSect="006C6A88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1D26DA" w:rsidRPr="006C6A88" w:rsidRDefault="001D26DA" w:rsidP="001D26D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lastRenderedPageBreak/>
        <w:t>Shënime për tabelën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>(1) CAS: Shërbimi Kimik Abstrakt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>(2) Ky parametër është EQN e shprehur si vlerë mesatare vjetore (EQN-AA). Në qoftë se nuk specifikohet ndryshe, ajo aplikohet në përqendrimin total të të gjitha izomereve.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>(3) Ujërat sipërfaqësore të brendshme përfshijnë lumenjtë, liqenet dhe trupat artificialë apo tepër të modifikuar.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>(4)</w:t>
      </w:r>
      <w:r w:rsidRPr="006C6A88">
        <w:rPr>
          <w:rFonts w:ascii="Garamond" w:hAnsi="Garamond"/>
          <w:spacing w:val="-4"/>
          <w:sz w:val="24"/>
          <w:szCs w:val="24"/>
          <w:lang w:val="sq-AL"/>
        </w:rPr>
        <w:tab/>
        <w:t>Ky parametër është EQN, i shprehur si përqendrimi maksimal i lejueshëm (MAC-EQN). Në rastet  kur për MAC-EQN  është bërë shënimi “e  paaplikueshme”, vlerat EQN-AA konsiderohen mbrojtëse  ndaj pikut të ndotjes afatshkurtër për shkarkimet e vazhdueshme, meqë ato janë konsiderueshëm më të ulëta sesa vlerat që rrjedhin në bazë të toksicitetit akut.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(5) Për grupin  e substancave prioritare të mbuluara  nga  difenileteret e bromuara (nr. 5) të përcaktuara në legjislacionin përkatës,  përcaktohet një EQN vetëm për elementet e të njëjtit grup për numrat 28, 47, 99, 100, 153 dhe 154.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>(6)</w:t>
      </w:r>
      <w:r w:rsidRPr="006C6A88">
        <w:rPr>
          <w:rFonts w:ascii="Garamond" w:hAnsi="Garamond"/>
          <w:spacing w:val="-4"/>
          <w:sz w:val="24"/>
          <w:szCs w:val="24"/>
          <w:lang w:val="sq-AL"/>
        </w:rPr>
        <w:tab/>
        <w:t>Për kadmiumin dhe përbërjet e tij (nr. 6) vlerat e EQN ndryshojnë në varësi të fortësisë së ujit siç specifikohet në pesë kategoritë (Kategoria I: &lt; 40 mg CaC03/l,  kategoria 2: 40 deri në &lt; 50 mg CaC03/1,  kategoria 3: 50 deri në &lt;100 mg CaC03/l, kategoria 4: 100 deri në &lt;200 mg CaC03/l  dhe kategoria 5: 200 mg CaC03/l).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>(7)</w:t>
      </w:r>
      <w:r w:rsidRPr="006C6A88">
        <w:rPr>
          <w:rFonts w:ascii="Garamond" w:hAnsi="Garamond"/>
          <w:spacing w:val="-4"/>
          <w:sz w:val="24"/>
          <w:szCs w:val="24"/>
          <w:lang w:val="sq-AL"/>
        </w:rPr>
        <w:tab/>
        <w:t>Kjo substancë nuk është substancë prioritare.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>(8) DDT total përbëhet nga shuma e izomereve l, l ,l-trikloro-2,2 bis (p-klorofenil) etani (numri CAS 50-29-3; numri  EU  200-024-3); 1,1,l-trikloro-2(0-klorofenil)-2-(p-klorofenil)  etani (numri CAS 789-02-6; numri EU 212-332-5); 1,1-dikloro-2,2 bis (p-klorofenil) etileni (numri CAS 72-55-9; numri EU 200-784-6); dhe 1,1-dikloro-2,2 bis (p-klorofenil) etani (numri CAS 72-54-8; numri EU 200-783-0).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(9) Nëse nuk zbatohet EQN-në për biotën, duhet të prezantohet EQN-ja më strikte për ujin me qëllim që të arrihet i njëjti nivel mbrojtjeje si me EQN-në për biotën që përcaktohet  në paragrafin 5 të këtij vendimi. Plani i Menaxhimit të Rrethit të Basenit Lumor përcakton arsyet dhe bazat për përdorimin e kësaj përqasjeje, EQN-në alternative të përcaktuar për ujin, përfshirë të dhënat  dhe metodologjinë  prej së cilës është nxjerrë EQN alternative, dhe kategoritë e ujërave sipërfaqësore ku ajo zbatohet. Ky vendim amendohet, në mënyrë që të përcaktojë EQN-në alternative dhe kategoritë e ujërave ku zbatohet.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C6A88">
        <w:rPr>
          <w:rFonts w:ascii="Garamond" w:hAnsi="Garamond"/>
          <w:spacing w:val="-4"/>
          <w:sz w:val="24"/>
          <w:szCs w:val="24"/>
          <w:lang w:val="sq-AL"/>
        </w:rPr>
        <w:t xml:space="preserve">(10) </w:t>
      </w:r>
      <w:r w:rsidRPr="006C6A88">
        <w:rPr>
          <w:rFonts w:ascii="Garamond" w:hAnsi="Garamond"/>
          <w:spacing w:val="-4"/>
          <w:sz w:val="24"/>
          <w:szCs w:val="24"/>
          <w:lang w:val="sq-AL"/>
        </w:rPr>
        <w:tab/>
        <w:t>Për grupin e substancave prioritare të hidrokarbureve poliaromatike (HPA) (nr. 28), është e aplikueshme çdo EQN individuale, d.m.th. EQN për Benzo(a) pirenin, EQN për shumën e Benzo(b)fluorantenit dhe Benzo(k)fluorantenit dhe EQN për shumën e Benzo(g,h,i)perilenit dhe Indeno(1,2,3-cd)pirenit.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Pjesa B. Zbatimi i normave të cilësisë së mjedisit të përcaktuara në pjesën  A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1. Kolonat 4 dhe 5 të tabelës: Për çdo trup me ujëra sipërfaqësore, zbatimi i EQN-AA do të thotë që, për çdo pikë monitorimi përfaqësuese në atë trup ujor, mesatarja aritmetike e përqendrimeve të matura në kohë të ndryshme gjatë një viti nuk e tejkalon normën.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Llogaritja e mesatares aritmetike, metoda analitike e përdorur dhe, në rastet kur nuk ka metodë analitike të përshtatshme që plotëson kriteret minimale të performancës, metoda e zbatimit të EQN-së duhet të jetë në përputhje me legjislacionin që miraton specifikimet teknike për monitorimin kimik dhe cilësinë e rezultateve analitike, në përputhje me ligjin "Për menaxhimin e integruar të ujërave".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2. Kolonat 6 dhe 7 të tabelës: Për çdo trup me ujëra sipërfaqësore, zbatimi i MAC-EQN do të thotë se përqendrimi i matur në cilëndo pikë monitorimi përfaqësuese brenda trupit ujor nuk e tejkalon normën.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3. Me përjashtim të kadmiumit, plumbit, merkurit dhe nikelit (këtej e tutje “metalet”) EQN-të e përcaktuara në këtë aneks janë të shprehura si përqendrime totale në të gjithë kampionin e ujit. Në rastin e metaleve EQN i referohet përqendrimit të holluar, d.m.th. fazës së holluar të një kampioni uji të përftuar nga filtrimi me anë të një filtri 0,45 µm apo çdo paratrajtimi të barazvlefshëm.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lastRenderedPageBreak/>
        <w:t>4. Ministria  kur  vlerëson  rezultatet e monitorimit në lidhje me EQN-në, mund  të marrë  në konsideratë: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a) përqendrimet natyrale të metaleve dhe përbërjeve të tyre, në qoftë se ato pengojnë respektimin e vlerave EQN; dhe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6C6A88">
        <w:rPr>
          <w:rFonts w:ascii="Garamond" w:hAnsi="Garamond"/>
          <w:sz w:val="24"/>
          <w:szCs w:val="24"/>
          <w:lang w:val="sq-AL"/>
        </w:rPr>
        <w:t>b) fortësinë, pH apo parametrat e tjerë të cilësisë së ujit që ndikojnë bio­disponueshmerinë e metaleve.</w:t>
      </w:r>
    </w:p>
    <w:p w:rsidR="001D26DA" w:rsidRPr="006C6A88" w:rsidRDefault="001D26DA" w:rsidP="001D26DA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CE60B5" w:rsidRPr="006C6A88" w:rsidRDefault="00CE60B5">
      <w:pPr>
        <w:rPr>
          <w:rFonts w:ascii="Garamond" w:hAnsi="Garamond"/>
          <w:sz w:val="24"/>
          <w:szCs w:val="24"/>
        </w:rPr>
      </w:pPr>
    </w:p>
    <w:sectPr w:rsidR="00CE60B5" w:rsidRPr="006C6A88" w:rsidSect="006C6A8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2FFB" w:rsidRDefault="000D2FFB" w:rsidP="001D26DA">
      <w:pPr>
        <w:spacing w:after="0" w:line="240" w:lineRule="auto"/>
      </w:pPr>
      <w:r>
        <w:separator/>
      </w:r>
    </w:p>
  </w:endnote>
  <w:endnote w:type="continuationSeparator" w:id="0">
    <w:p w:rsidR="000D2FFB" w:rsidRDefault="000D2FFB" w:rsidP="001D2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6DA" w:rsidRPr="007508BA" w:rsidRDefault="001D26DA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2444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6DA" w:rsidRPr="007508BA" w:rsidRDefault="001D26DA" w:rsidP="000E2620">
    <w:pPr>
      <w:spacing w:after="0" w:line="240" w:lineRule="auto"/>
      <w:jc w:val="right"/>
      <w:rPr>
        <w:rFonts w:ascii="CG Times" w:hAnsi="CG Times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2FFB" w:rsidRDefault="000D2FFB" w:rsidP="001D26DA">
      <w:pPr>
        <w:spacing w:after="0" w:line="240" w:lineRule="auto"/>
      </w:pPr>
      <w:r>
        <w:separator/>
      </w:r>
    </w:p>
  </w:footnote>
  <w:footnote w:type="continuationSeparator" w:id="0">
    <w:p w:rsidR="000D2FFB" w:rsidRDefault="000D2FFB" w:rsidP="001D26DA">
      <w:pPr>
        <w:spacing w:after="0" w:line="240" w:lineRule="auto"/>
      </w:pPr>
      <w:r>
        <w:continuationSeparator/>
      </w:r>
    </w:p>
  </w:footnote>
  <w:footnote w:id="1">
    <w:p w:rsidR="001D26DA" w:rsidRPr="00E46C2A" w:rsidRDefault="001D26DA" w:rsidP="001D26DA">
      <w:pPr>
        <w:pStyle w:val="ColorfulList-Accent11"/>
        <w:ind w:left="0"/>
        <w:jc w:val="both"/>
        <w:rPr>
          <w:rFonts w:ascii="CG Times" w:hAnsi="CG Times"/>
          <w:sz w:val="18"/>
          <w:szCs w:val="18"/>
          <w:lang w:val="fr-FR"/>
        </w:rPr>
      </w:pPr>
      <w:r w:rsidRPr="00E46C2A">
        <w:rPr>
          <w:rStyle w:val="FootnoteReference"/>
          <w:rFonts w:ascii="CG Times" w:hAnsi="CG Times"/>
          <w:sz w:val="18"/>
          <w:szCs w:val="18"/>
        </w:rPr>
        <w:footnoteRef/>
      </w:r>
      <w:r w:rsidRPr="00E46C2A">
        <w:rPr>
          <w:rFonts w:ascii="CG Times" w:hAnsi="CG Times"/>
          <w:sz w:val="18"/>
          <w:szCs w:val="18"/>
        </w:rPr>
        <w:t xml:space="preserve"> </w:t>
      </w:r>
      <w:r w:rsidRPr="00E46C2A">
        <w:rPr>
          <w:rFonts w:ascii="CG Times" w:hAnsi="CG Times"/>
          <w:sz w:val="18"/>
          <w:szCs w:val="18"/>
          <w:lang w:val="sq-AL"/>
        </w:rPr>
        <w:t xml:space="preserve">Direktiva 2008/105/EC e Parlamentit Evropian dhe e Këshillit, e datës </w:t>
      </w:r>
      <w:r w:rsidRPr="00E46C2A">
        <w:rPr>
          <w:rFonts w:ascii="CG Times" w:hAnsi="CG Times"/>
          <w:sz w:val="18"/>
          <w:szCs w:val="18"/>
          <w:lang w:val="fr-FR"/>
        </w:rPr>
        <w:t xml:space="preserve">16 </w:t>
      </w:r>
      <w:proofErr w:type="spellStart"/>
      <w:r w:rsidRPr="00E46C2A">
        <w:rPr>
          <w:rFonts w:ascii="CG Times" w:hAnsi="CG Times"/>
          <w:sz w:val="18"/>
          <w:szCs w:val="18"/>
          <w:lang w:val="fr-FR"/>
        </w:rPr>
        <w:t>dhjetor</w:t>
      </w:r>
      <w:proofErr w:type="spellEnd"/>
      <w:r w:rsidRPr="00E46C2A">
        <w:rPr>
          <w:rFonts w:ascii="CG Times" w:hAnsi="CG Times"/>
          <w:sz w:val="18"/>
          <w:szCs w:val="18"/>
          <w:lang w:val="fr-FR"/>
        </w:rPr>
        <w:t xml:space="preserve"> 2008, “</w:t>
      </w:r>
      <w:proofErr w:type="spellStart"/>
      <w:r w:rsidRPr="00E46C2A">
        <w:rPr>
          <w:rFonts w:ascii="CG Times" w:hAnsi="CG Times"/>
          <w:sz w:val="18"/>
          <w:szCs w:val="18"/>
          <w:lang w:val="fr-FR"/>
        </w:rPr>
        <w:t>Normat</w:t>
      </w:r>
      <w:proofErr w:type="spellEnd"/>
      <w:r w:rsidRPr="00E46C2A">
        <w:rPr>
          <w:rFonts w:ascii="CG Times" w:hAnsi="CG Times"/>
          <w:sz w:val="18"/>
          <w:szCs w:val="18"/>
          <w:lang w:val="fr-FR"/>
        </w:rPr>
        <w:t xml:space="preserve"> e </w:t>
      </w:r>
      <w:proofErr w:type="spellStart"/>
      <w:r w:rsidRPr="00E46C2A">
        <w:rPr>
          <w:rFonts w:ascii="CG Times" w:hAnsi="CG Times"/>
          <w:sz w:val="18"/>
          <w:szCs w:val="18"/>
          <w:lang w:val="fr-FR"/>
        </w:rPr>
        <w:t>cilësisë</w:t>
      </w:r>
      <w:proofErr w:type="spellEnd"/>
      <w:r w:rsidRPr="00E46C2A">
        <w:rPr>
          <w:rFonts w:ascii="CG Times" w:hAnsi="CG Times"/>
          <w:sz w:val="18"/>
          <w:szCs w:val="18"/>
          <w:lang w:val="fr-FR"/>
        </w:rPr>
        <w:t xml:space="preserve"> </w:t>
      </w:r>
      <w:proofErr w:type="spellStart"/>
      <w:r w:rsidRPr="00E46C2A">
        <w:rPr>
          <w:rFonts w:ascii="CG Times" w:hAnsi="CG Times"/>
          <w:sz w:val="18"/>
          <w:szCs w:val="18"/>
          <w:lang w:val="fr-FR"/>
        </w:rPr>
        <w:t>mjedisore</w:t>
      </w:r>
      <w:proofErr w:type="spellEnd"/>
      <w:r w:rsidRPr="00E46C2A">
        <w:rPr>
          <w:rFonts w:ascii="CG Times" w:hAnsi="CG Times"/>
          <w:sz w:val="18"/>
          <w:szCs w:val="18"/>
          <w:lang w:val="fr-FR"/>
        </w:rPr>
        <w:t xml:space="preserve"> </w:t>
      </w:r>
      <w:proofErr w:type="spellStart"/>
      <w:r w:rsidRPr="00E46C2A">
        <w:rPr>
          <w:rFonts w:ascii="CG Times" w:hAnsi="CG Times"/>
          <w:sz w:val="18"/>
          <w:szCs w:val="18"/>
          <w:lang w:val="fr-FR"/>
        </w:rPr>
        <w:t>në</w:t>
      </w:r>
      <w:proofErr w:type="spellEnd"/>
      <w:r w:rsidRPr="00E46C2A">
        <w:rPr>
          <w:rFonts w:ascii="CG Times" w:hAnsi="CG Times"/>
          <w:sz w:val="18"/>
          <w:szCs w:val="18"/>
          <w:lang w:val="fr-FR"/>
        </w:rPr>
        <w:t xml:space="preserve"> </w:t>
      </w:r>
      <w:proofErr w:type="spellStart"/>
      <w:r w:rsidRPr="00E46C2A">
        <w:rPr>
          <w:rFonts w:ascii="CG Times" w:hAnsi="CG Times"/>
          <w:sz w:val="18"/>
          <w:szCs w:val="18"/>
          <w:lang w:val="fr-FR"/>
        </w:rPr>
        <w:t>fushën</w:t>
      </w:r>
      <w:proofErr w:type="spellEnd"/>
      <w:r w:rsidRPr="00E46C2A">
        <w:rPr>
          <w:rFonts w:ascii="CG Times" w:hAnsi="CG Times"/>
          <w:sz w:val="18"/>
          <w:szCs w:val="18"/>
          <w:lang w:val="fr-FR"/>
        </w:rPr>
        <w:t xml:space="preserve"> e </w:t>
      </w:r>
      <w:proofErr w:type="spellStart"/>
      <w:r w:rsidRPr="00E46C2A">
        <w:rPr>
          <w:rFonts w:ascii="CG Times" w:hAnsi="CG Times"/>
          <w:sz w:val="18"/>
          <w:szCs w:val="18"/>
          <w:lang w:val="fr-FR"/>
        </w:rPr>
        <w:t>politikave</w:t>
      </w:r>
      <w:proofErr w:type="spellEnd"/>
      <w:r w:rsidRPr="00E46C2A">
        <w:rPr>
          <w:rFonts w:ascii="CG Times" w:hAnsi="CG Times"/>
          <w:sz w:val="18"/>
          <w:szCs w:val="18"/>
          <w:lang w:val="fr-FR"/>
        </w:rPr>
        <w:t xml:space="preserve"> </w:t>
      </w:r>
      <w:proofErr w:type="spellStart"/>
      <w:r w:rsidRPr="00E46C2A">
        <w:rPr>
          <w:rFonts w:ascii="CG Times" w:hAnsi="CG Times"/>
          <w:sz w:val="18"/>
          <w:szCs w:val="18"/>
          <w:lang w:val="fr-FR"/>
        </w:rPr>
        <w:t>të</w:t>
      </w:r>
      <w:proofErr w:type="spellEnd"/>
      <w:r w:rsidRPr="00E46C2A">
        <w:rPr>
          <w:rFonts w:ascii="CG Times" w:hAnsi="CG Times"/>
          <w:sz w:val="18"/>
          <w:szCs w:val="18"/>
          <w:lang w:val="fr-FR"/>
        </w:rPr>
        <w:t xml:space="preserve"> </w:t>
      </w:r>
      <w:proofErr w:type="spellStart"/>
      <w:r w:rsidRPr="00E46C2A">
        <w:rPr>
          <w:rFonts w:ascii="CG Times" w:hAnsi="CG Times"/>
          <w:sz w:val="18"/>
          <w:szCs w:val="18"/>
          <w:lang w:val="fr-FR"/>
        </w:rPr>
        <w:t>ujit</w:t>
      </w:r>
      <w:proofErr w:type="spellEnd"/>
      <w:r w:rsidRPr="00E46C2A">
        <w:rPr>
          <w:rFonts w:ascii="CG Times" w:hAnsi="CG Times"/>
          <w:sz w:val="18"/>
          <w:szCs w:val="18"/>
          <w:lang w:val="it-IT"/>
        </w:rPr>
        <w:t>”</w:t>
      </w:r>
      <w:r w:rsidRPr="00E46C2A">
        <w:rPr>
          <w:rFonts w:ascii="CG Times" w:hAnsi="CG Times"/>
          <w:sz w:val="18"/>
          <w:szCs w:val="18"/>
          <w:lang w:val="fr-FR"/>
        </w:rPr>
        <w:t xml:space="preserve">, (OJ L 348, 24.12.2008, p. 84–970).  </w:t>
      </w:r>
    </w:p>
    <w:p w:rsidR="001D26DA" w:rsidRPr="007A1EBE" w:rsidRDefault="001D26DA" w:rsidP="001D26DA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6DA" w:rsidRDefault="001D26DA" w:rsidP="00CE19B2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nr.65,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12 </w:t>
    </w:r>
    <w:proofErr w:type="spellStart"/>
    <w:r>
      <w:rPr>
        <w:rFonts w:ascii="CG Times" w:hAnsi="CG Times"/>
        <w:sz w:val="20"/>
        <w:szCs w:val="20"/>
      </w:rPr>
      <w:t>maj</w:t>
    </w:r>
    <w:proofErr w:type="spellEnd"/>
    <w:r>
      <w:rPr>
        <w:rFonts w:ascii="CG Times" w:hAnsi="CG Times"/>
        <w:sz w:val="20"/>
        <w:szCs w:val="20"/>
      </w:rPr>
      <w:t xml:space="preserve"> 2014</w:t>
    </w:r>
  </w:p>
  <w:p w:rsidR="001D26DA" w:rsidRPr="00045422" w:rsidRDefault="001D26DA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26DA"/>
    <w:rsid w:val="000D2FFB"/>
    <w:rsid w:val="001D26DA"/>
    <w:rsid w:val="006C6A88"/>
    <w:rsid w:val="00CE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1AA690CA"/>
  <w15:docId w15:val="{87BED335-008A-4F02-A52C-EDFA256A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D26D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D26D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1D26D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1D26D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D26D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D26D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1D26DA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D26D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D26D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D26DA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1D26DA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D26DA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1D26DA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1D26DA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1D26DA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basedOn w:val="DefaultParagraphFont"/>
    <w:uiPriority w:val="99"/>
    <w:rsid w:val="001D26DA"/>
    <w:rPr>
      <w:vertAlign w:val="superscript"/>
    </w:rPr>
  </w:style>
  <w:style w:type="paragraph" w:customStyle="1" w:styleId="ColorfulList-Accent11">
    <w:name w:val="Colorful List - Accent 11"/>
    <w:basedOn w:val="Normal"/>
    <w:qFormat/>
    <w:rsid w:val="001D26DA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  <w:lang w:val="en-GB" w:eastAsia="fr-FR"/>
    </w:rPr>
  </w:style>
  <w:style w:type="character" w:customStyle="1" w:styleId="AutoritetiEmerChar">
    <w:name w:val="Autoriteti_Emer Char"/>
    <w:link w:val="AutoritetiEmer"/>
    <w:locked/>
    <w:rsid w:val="001D26DA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6D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6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A88"/>
  </w:style>
  <w:style w:type="paragraph" w:styleId="Footer">
    <w:name w:val="footer"/>
    <w:basedOn w:val="Normal"/>
    <w:link w:val="FooterChar"/>
    <w:uiPriority w:val="99"/>
    <w:unhideWhenUsed/>
    <w:rsid w:val="006C6A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1639</Words>
  <Characters>9347</Characters>
  <Application>Microsoft Office Word</Application>
  <DocSecurity>0</DocSecurity>
  <Lines>77</Lines>
  <Paragraphs>21</Paragraphs>
  <ScaleCrop>false</ScaleCrop>
  <Company>Grizli777</Company>
  <LinksUpToDate>false</LinksUpToDate>
  <CharactersWithSpaces>10965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2014-09-23T12:50:00Z</dcterms:created>
  <dcterms:modified xsi:type="dcterms:W3CDTF">2025-01-06T12:03:00Z</dcterms:modified>
</cp:coreProperties>
</file>