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351" w:rsidRPr="00135002" w:rsidRDefault="00884351" w:rsidP="00884351">
      <w:pPr>
        <w:pStyle w:val="Akt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VENDIM</w:t>
      </w:r>
    </w:p>
    <w:p w:rsidR="00884351" w:rsidRPr="00135002" w:rsidRDefault="00884351" w:rsidP="00884351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Nr. 439, datë 2.7.2014</w:t>
      </w:r>
    </w:p>
    <w:p w:rsidR="00884351" w:rsidRPr="00135002" w:rsidRDefault="00884351" w:rsidP="00884351">
      <w:pPr>
        <w:pStyle w:val="Titulli"/>
        <w:rPr>
          <w:rFonts w:ascii="Garamond" w:hAnsi="Garamond"/>
          <w:sz w:val="24"/>
          <w:szCs w:val="24"/>
          <w:lang w:val="sq-AL"/>
        </w:rPr>
      </w:pPr>
    </w:p>
    <w:p w:rsidR="00884351" w:rsidRPr="00135002" w:rsidRDefault="00884351" w:rsidP="0088435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PËR PËRCAKTIMIN E PROCEDURAVE TË LEGALIZIMIT TË NDËRTIMEVE PA LEJE, SHTESAVE ANËSORE APO NË LARTËSI, TË NDËRTUARA NGA SHOQËRIA “HAWAI-ALB” SHPK</w:t>
      </w:r>
    </w:p>
    <w:p w:rsidR="00884351" w:rsidRPr="00135002" w:rsidRDefault="00135002" w:rsidP="0013500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135002">
        <w:rPr>
          <w:rFonts w:ascii="Garamond" w:hAnsi="Garamond"/>
          <w:i/>
          <w:sz w:val="24"/>
          <w:szCs w:val="24"/>
          <w:lang w:val="sq-AL"/>
        </w:rPr>
        <w:t>(ndryshua</w:t>
      </w:r>
      <w:r w:rsidR="00531237">
        <w:rPr>
          <w:rFonts w:ascii="Garamond" w:hAnsi="Garamond"/>
          <w:i/>
          <w:sz w:val="24"/>
          <w:szCs w:val="24"/>
          <w:lang w:val="sq-AL"/>
        </w:rPr>
        <w:t>r me VKM nr. 760, datë 12.11.201</w:t>
      </w:r>
      <w:bookmarkStart w:id="0" w:name="_GoBack"/>
      <w:bookmarkEnd w:id="0"/>
      <w:r w:rsidRPr="00135002">
        <w:rPr>
          <w:rFonts w:ascii="Garamond" w:hAnsi="Garamond"/>
          <w:i/>
          <w:sz w:val="24"/>
          <w:szCs w:val="24"/>
          <w:lang w:val="sq-AL"/>
        </w:rPr>
        <w:t>4)</w:t>
      </w:r>
    </w:p>
    <w:p w:rsidR="00135002" w:rsidRPr="00135002" w:rsidRDefault="00135002" w:rsidP="00135002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13500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35002" w:rsidRPr="00135002" w:rsidRDefault="00135002" w:rsidP="0088435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Në mbështetje të nenit 100 të Kushtetutës dhe të pikës 1, të nenit 43/1, të ligjit nr. 9482 datë 3.4.2006, “Për legalizimin, urbanizimin dhe integrimin e ndërtimeve pa leje”, të ndryshuar, me propozimin e ministrit të Zhvillimit Urban dhe Turizmit, Këshilli i Ministrave</w:t>
      </w:r>
    </w:p>
    <w:p w:rsidR="00884351" w:rsidRPr="00135002" w:rsidRDefault="00884351" w:rsidP="0088435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VENDOSI: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1. Procedurat e legalizimit të ndërtimeve pa leje, shtesave anësore apo në lartësi, të ndërtuara nga shoqëria “Hawai-Alb” sh.p.k., kryhen në favor të poseduesve të apartamenteve dhe ambienteve me funksion social-ekonomik. Ndërtimet pa leje, shtesat anësore apo ndërtimet në lartësi, u nënshtrohen procedurave të legalizimit edhe nëse për to nuk është kryer procedura e vetëdeklarimit apo nuk është paraqitur kërkesa për legalizim sipas afateve të parashikuara në ligjin nr. 9482, datë 3.4.2006, “Për legalizimin, urbanizimin dhe integrimin e ndërtimeve pa leje”, të ndryshuar.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 xml:space="preserve">2. Agjencia e Legalizimit, Urbanizimit dhe Integrimit të Zonave/Ndërtimeve Informale (ALUIZNI), brenda dy muajve nga hyrja në fuqi e këtij vendimi, evidenton, harton dhe publikon listën e ndërtimeve pa leje, shtesave anësore apo në lartësi, të ngritura nga shoqëria “Hawai-Alb” sh.p.k., si dhe listën emërore të poseduesve të apartamenteve të banimit dhe ambienteve me funksion social-ekonomik. 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3. Listat e hartuara sipas pikës 2 të këtij vendimi, publikohen në faqen zyrtare të ALUIZNI-t dhe afishohen në godinën qendrore dhe atë lokale të ALUIZNI-t, pranë njësive përkatëse të qeverisjes vendore, si dhe në ambientet e objekteve që do t’i nënshtrohen procesit të legalizimit. Poseduesit e këtyre ndërtimeve njoftohen në adresën ku ato banojnë për të kryer procedurat e legalizimit.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4. Procedurat e legalizimit të ndërtimeve pa leje, shtesave anësore apo në lartësi, në tejkalim të projektit të miratuar, do të kryhen në dy faza: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a) Legalizimi dhe regjistrimi pranë ZVRPP-së i objektit bazë, së bashku me shtesat eventuale anësore dhe/ose në lartësi të kryera nga vetë shoqëria “Hawai-Alb” sh.p.k.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b) Legalizimi i shtesës anësore dhe/ose në lartësi si ndërtim i  bashkëngjitur ndaj objektit bazë, të kryera nga vetë subjektet poseduese.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“Objekt bazë” konsiderohet pjesa e objektit e parashikuar në projektin e miratuar në lejen e ndërtimit, pa shtesat e realizuara në tejkalim të tij.</w:t>
      </w:r>
    </w:p>
    <w:p w:rsidR="00135002" w:rsidRPr="00135002" w:rsidRDefault="00135002" w:rsidP="0088435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35002">
        <w:rPr>
          <w:rFonts w:ascii="Garamond" w:hAnsi="Garamond"/>
          <w:i/>
          <w:sz w:val="24"/>
          <w:szCs w:val="24"/>
          <w:lang w:val="sq-AL"/>
        </w:rPr>
        <w:t>4/1. Kur trualli mbi të cilin është ngritur objekti bazë ose shtesa anësore/në lartësi, apo një pjesë e tij, rezultojnë në pronësi shtetërore, sipas regjistrit të pasurive të paluajtshme, kalimi i pronësisë mbi sipërfaqen përkatëse kryhet pa pagesë, në mbështetje të neneve 3, pika 4, e 4, të ligjit nr. 8743, datë 22.2.2001, “Për pasuritë e paluajtshme të shtetit”, të ndryshuar, dhe të nenit 761, të ligjit nr. 7850, datë 29.7.1994, “Kodi Civil i Republikës së Shqipërisë.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 xml:space="preserve">5. Kur për të njëjtin apartament apo ambient me funksion social-ekonomik ka pretendime për posedimin nga dy apo më shumë persona, mosmarrëveshja zgjidhet nga gjykata. 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6. Në rast se çështja është në proces gjyqësor sipas pikës 5 të këtij vendimi, procedurat e legalizimit për apartamentin ose ambientin me funksion social- ekonomik pezullohen, me paraqitjen e vërtetimit gjyqësor nga pala e interesuar apo me vendim gjyqësor të lejimit të masës së sigurimit.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7. Procedurat e legalizimit rinisin në përputhje me dispozitivin e vendimit gjyqësor të formës së prerë, të dorëzuar nga subjekti i interesuar.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lastRenderedPageBreak/>
        <w:t xml:space="preserve">8. Detyrimet financiare të lidhura me tarifën e shërbimit shlyhen nga poseduesit e ambienteve me funksion social-ekonomik, sipas paragrafit të fundit të nenit 27, të ligjit nr. 9482, datë 3.4.2006, të ndryshuar. 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 xml:space="preserve">9. Vlerësimi i qëndrueshmërisë konstruktive për ndërtimet pa leje, shtesat anësore apo në lartësi, të ndërtuara nga shoqëria “Hawai-Alb” sh.p.k., bëhet nga Instituti i Ndërtimit, pa pagesë, dhe i bashkëngjitet praktikës dokumentare të legalizimit. 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 xml:space="preserve">10. Regjistrimi në ZRPP i objekteve bazë të subjektit “Hawai-Alb” sh.p.k., kryhet në emër dhe për llogari të ALUIZNI-it dhe përjashtohet nga taksat dhe tarifat e shërbimit.  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Regjistrimi i njësive individuale, apartamenteve dhe ambienteve me funksion social-ekonomik, si dhe i pjesës takuese të bashkëpronësisë do të kryhet nga poseduesit e tyre me anë të lejes së legalizimit.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11. Subjekti “Hawai-Alb” sh.p.k., ka detyrimin e pagesës së penaliteteve të parashikuara nga neni 43 i ligjit nr. 9482, datë 3.4.2006, të ndryshuar, të cilat do t’i njoftohen personit të ngarkuar me zbatimin e procedurave të likuidimit të shoqërisë tregtare, përfaqësuesit të saj, Drejtorisë së Përgjithshme të Tatimeve dhe Agjencisë së Mbikëqyrjes së Falimentit.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12. Ngarkohen Ministria e Zhvillimit Urban dhe Turizmit, Agjencia e Legalizimit, Urbanizimit dhe Integrimit të Zonave/Ndërtimeve Informale, Zyra e Regjistrimit të Pasurive të Paluajtshme, Drejtoria e Përgjithshme e Tatimeve, Agjencia e Mbikëqyrjes së Falimentit dhe Instituti i Ndërtimit për zbatimin e këtij vendimi.</w:t>
      </w:r>
    </w:p>
    <w:p w:rsidR="00884351" w:rsidRPr="00135002" w:rsidRDefault="00884351" w:rsidP="008843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884351" w:rsidRPr="00135002" w:rsidRDefault="00884351" w:rsidP="0088435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35002">
        <w:rPr>
          <w:rFonts w:ascii="Garamond" w:hAnsi="Garamond"/>
          <w:sz w:val="24"/>
          <w:szCs w:val="24"/>
          <w:lang w:val="sq-AL"/>
        </w:rPr>
        <w:t>KRYEMINISTRI</w:t>
      </w:r>
    </w:p>
    <w:p w:rsidR="00291711" w:rsidRPr="00135002" w:rsidRDefault="00884351" w:rsidP="00884351">
      <w:pPr>
        <w:ind w:left="7200" w:firstLine="720"/>
        <w:rPr>
          <w:rFonts w:ascii="Garamond" w:hAnsi="Garamond"/>
          <w:sz w:val="24"/>
          <w:szCs w:val="24"/>
        </w:rPr>
      </w:pPr>
      <w:r w:rsidRPr="00135002">
        <w:rPr>
          <w:rFonts w:ascii="Garamond" w:hAnsi="Garamond"/>
          <w:sz w:val="24"/>
          <w:szCs w:val="24"/>
          <w:lang w:val="sq-AL"/>
        </w:rPr>
        <w:t>Edi Rama</w:t>
      </w:r>
    </w:p>
    <w:sectPr w:rsidR="00291711" w:rsidRPr="00135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351"/>
    <w:rsid w:val="00135002"/>
    <w:rsid w:val="00291711"/>
    <w:rsid w:val="00531237"/>
    <w:rsid w:val="0088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0622C1-2BEA-4F6A-AE44-CCB80980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435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8435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88435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8435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8435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8435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435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8435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8435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8435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8435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84351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3</cp:revision>
  <dcterms:created xsi:type="dcterms:W3CDTF">2025-04-10T08:45:00Z</dcterms:created>
  <dcterms:modified xsi:type="dcterms:W3CDTF">2025-04-16T12:23:00Z</dcterms:modified>
</cp:coreProperties>
</file>