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383B" w:rsidRPr="002227C4" w:rsidRDefault="001D383B" w:rsidP="001D383B">
      <w:pPr>
        <w:pStyle w:val="AKTI"/>
        <w:rPr>
          <w:szCs w:val="24"/>
          <w:lang w:val="sq-AL"/>
        </w:rPr>
      </w:pPr>
      <w:r w:rsidRPr="002227C4">
        <w:rPr>
          <w:szCs w:val="24"/>
          <w:lang w:val="sq-AL"/>
        </w:rPr>
        <w:t>VENDIM</w:t>
      </w:r>
    </w:p>
    <w:p w:rsidR="001D383B" w:rsidRPr="002227C4" w:rsidRDefault="001D383B" w:rsidP="001D383B">
      <w:pPr>
        <w:pStyle w:val="NumriData"/>
        <w:keepNext w:val="0"/>
        <w:rPr>
          <w:szCs w:val="24"/>
          <w:lang w:val="sq-AL"/>
        </w:rPr>
      </w:pPr>
      <w:r w:rsidRPr="002227C4">
        <w:rPr>
          <w:szCs w:val="24"/>
          <w:lang w:val="sq-AL"/>
        </w:rPr>
        <w:t>Nr. 572, datë 3.9.2014</w:t>
      </w:r>
    </w:p>
    <w:p w:rsidR="001D383B" w:rsidRPr="002227C4" w:rsidRDefault="001D383B" w:rsidP="001D383B">
      <w:pPr>
        <w:pStyle w:val="Paragrafi"/>
        <w:rPr>
          <w:szCs w:val="24"/>
          <w:lang w:val="sq-AL"/>
        </w:rPr>
      </w:pPr>
    </w:p>
    <w:p w:rsidR="001D383B" w:rsidRPr="002227C4" w:rsidRDefault="001D383B" w:rsidP="001D383B">
      <w:pPr>
        <w:pStyle w:val="Titulli"/>
        <w:keepNext w:val="0"/>
        <w:rPr>
          <w:szCs w:val="24"/>
          <w:lang w:val="sq-AL"/>
        </w:rPr>
      </w:pPr>
      <w:r w:rsidRPr="002227C4">
        <w:rPr>
          <w:szCs w:val="24"/>
          <w:lang w:val="sq-AL"/>
        </w:rPr>
        <w:t xml:space="preserve">PËR DHËNIEN NË PËRDORIM TË PËRKOHSHËM, NGA MINISTRIA E MBROJTJES TË OBJEKTIT NR. 42, ME EMËRTIM “INSTITUTI I STUDIMEVE DHE PROJEKTIMEVE TË MBROJTJES”, PËR SHKOLLËN SHQIPTARE TË ADMINISTRATËS PUBLIKE, DHE SHFUQIZIMIN E VENDIMIT NR. 786, DATË 14.11.2012,  TË KËSHILLIT TË MINISTRAVE </w:t>
      </w:r>
    </w:p>
    <w:p w:rsidR="0056268C" w:rsidRPr="002227C4" w:rsidRDefault="0056268C" w:rsidP="0056268C">
      <w:pPr>
        <w:jc w:val="center"/>
        <w:rPr>
          <w:rFonts w:ascii="Garamond" w:hAnsi="Garamond"/>
          <w:i/>
          <w:sz w:val="24"/>
          <w:szCs w:val="24"/>
          <w:lang w:val="sq-AL"/>
        </w:rPr>
      </w:pPr>
      <w:r w:rsidRPr="002227C4">
        <w:rPr>
          <w:rFonts w:ascii="Garamond" w:hAnsi="Garamond"/>
          <w:i/>
          <w:sz w:val="24"/>
          <w:szCs w:val="24"/>
          <w:lang w:val="sq-AL"/>
        </w:rPr>
        <w:t>(Ndryshuar me VKM nr. 142, datë 20.3.2019</w:t>
      </w:r>
      <w:r w:rsidR="006C486D">
        <w:rPr>
          <w:rStyle w:val="FootnoteReference"/>
          <w:rFonts w:ascii="Garamond" w:hAnsi="Garamond"/>
          <w:i/>
          <w:sz w:val="24"/>
          <w:szCs w:val="24"/>
          <w:lang w:val="sq-AL"/>
        </w:rPr>
        <w:footnoteReference w:id="1"/>
      </w:r>
      <w:r w:rsidRPr="002227C4">
        <w:rPr>
          <w:rFonts w:ascii="Garamond" w:hAnsi="Garamond"/>
          <w:i/>
          <w:sz w:val="24"/>
          <w:szCs w:val="24"/>
          <w:lang w:val="sq-AL"/>
        </w:rPr>
        <w:t>)</w:t>
      </w:r>
    </w:p>
    <w:p w:rsidR="0056268C" w:rsidRPr="002227C4" w:rsidRDefault="0056268C" w:rsidP="0056268C">
      <w:pPr>
        <w:jc w:val="right"/>
        <w:rPr>
          <w:rFonts w:ascii="Garamond" w:hAnsi="Garamond" w:cs="Arial"/>
          <w:i/>
          <w:sz w:val="24"/>
          <w:szCs w:val="24"/>
          <w:lang w:val="sq-AL" w:eastAsia="ja-JP"/>
        </w:rPr>
      </w:pPr>
      <w:bookmarkStart w:id="0" w:name="_GoBack"/>
      <w:bookmarkEnd w:id="0"/>
      <w:r w:rsidRPr="002227C4">
        <w:rPr>
          <w:rFonts w:ascii="Garamond" w:hAnsi="Garamond"/>
          <w:i/>
          <w:sz w:val="24"/>
          <w:szCs w:val="24"/>
          <w:lang w:val="sq-AL"/>
        </w:rPr>
        <w:t>(</w:t>
      </w:r>
      <w:r w:rsidR="009A1EA6" w:rsidRPr="002227C4">
        <w:rPr>
          <w:rFonts w:ascii="Garamond" w:hAnsi="Garamond"/>
          <w:i/>
          <w:sz w:val="24"/>
          <w:szCs w:val="24"/>
          <w:lang w:val="sq-AL"/>
        </w:rPr>
        <w:t>I</w:t>
      </w:r>
      <w:r w:rsidRPr="002227C4">
        <w:rPr>
          <w:rFonts w:ascii="Garamond" w:hAnsi="Garamond"/>
          <w:i/>
          <w:sz w:val="24"/>
          <w:szCs w:val="24"/>
          <w:lang w:val="sq-AL"/>
        </w:rPr>
        <w:t xml:space="preserve"> përditësuar)</w:t>
      </w:r>
    </w:p>
    <w:p w:rsidR="001D383B" w:rsidRPr="002227C4" w:rsidRDefault="001D383B" w:rsidP="001D383B">
      <w:pPr>
        <w:pStyle w:val="Paragrafi"/>
        <w:rPr>
          <w:szCs w:val="24"/>
          <w:lang w:val="sq-AL"/>
        </w:rPr>
      </w:pPr>
      <w:r w:rsidRPr="002227C4">
        <w:rPr>
          <w:szCs w:val="24"/>
          <w:lang w:val="sq-AL"/>
        </w:rPr>
        <w:t xml:space="preserve">Në mbështetje të nenit 100 të Kushtetutës dhe të neneve 8, pika 3, 10 e 12, të ligjit nr. 8743, datë 22.2.2001, “Për pronat e paluajtshme të shtetit”, të ndryshuar, me propozimin e ministrit të Punëve të Brendshme, Këshilli i Ministrave </w:t>
      </w:r>
    </w:p>
    <w:p w:rsidR="001D383B" w:rsidRPr="002227C4" w:rsidRDefault="001D383B" w:rsidP="001D383B">
      <w:pPr>
        <w:pStyle w:val="Paragrafi"/>
        <w:rPr>
          <w:szCs w:val="24"/>
          <w:lang w:val="sq-AL"/>
        </w:rPr>
      </w:pPr>
    </w:p>
    <w:p w:rsidR="001D383B" w:rsidRPr="002227C4" w:rsidRDefault="001D383B" w:rsidP="001D383B">
      <w:pPr>
        <w:pStyle w:val="VENDOSI"/>
        <w:rPr>
          <w:szCs w:val="24"/>
          <w:lang w:val="sq-AL"/>
        </w:rPr>
      </w:pPr>
      <w:r w:rsidRPr="002227C4">
        <w:rPr>
          <w:szCs w:val="24"/>
          <w:lang w:val="sq-AL"/>
        </w:rPr>
        <w:t xml:space="preserve">VENDOSI:   </w:t>
      </w:r>
    </w:p>
    <w:p w:rsidR="001D383B" w:rsidRPr="002227C4" w:rsidRDefault="001D383B" w:rsidP="001D383B">
      <w:pPr>
        <w:pStyle w:val="Paragrafi"/>
        <w:rPr>
          <w:szCs w:val="24"/>
          <w:lang w:val="sq-AL"/>
        </w:rPr>
      </w:pPr>
    </w:p>
    <w:p w:rsidR="009343B8" w:rsidRPr="009343B8" w:rsidRDefault="009343B8" w:rsidP="009343B8">
      <w:pPr>
        <w:pStyle w:val="Paragrafi"/>
        <w:ind w:firstLine="0"/>
        <w:rPr>
          <w:i/>
          <w:lang w:val="sq-AL"/>
        </w:rPr>
      </w:pPr>
      <w:r w:rsidRPr="009343B8">
        <w:rPr>
          <w:i/>
          <w:szCs w:val="24"/>
          <w:lang w:val="sq-AL"/>
        </w:rPr>
        <w:t xml:space="preserve">  </w:t>
      </w:r>
      <w:r w:rsidR="002227C4" w:rsidRPr="009343B8">
        <w:rPr>
          <w:i/>
          <w:szCs w:val="24"/>
          <w:lang w:val="sq-AL"/>
        </w:rPr>
        <w:t xml:space="preserve"> </w:t>
      </w:r>
      <w:r w:rsidR="009A1EA6" w:rsidRPr="009343B8">
        <w:rPr>
          <w:rFonts w:eastAsia="Times New Roman" w:cs="Arial"/>
          <w:i/>
          <w:spacing w:val="-2"/>
          <w:szCs w:val="24"/>
        </w:rPr>
        <w:t>1.</w:t>
      </w:r>
      <w:r w:rsidRPr="009343B8">
        <w:rPr>
          <w:i/>
          <w:lang w:val="sq-AL"/>
        </w:rPr>
        <w:t xml:space="preserve"> </w:t>
      </w:r>
      <w:r w:rsidRPr="009343B8">
        <w:rPr>
          <w:i/>
          <w:lang w:val="sq-AL"/>
        </w:rPr>
        <w:t>Dhënien në përdorim të përkohshëm, për një periudhë 40-vjeçare, të objektit nr. 42, me emërtim “Instituti i Studimeve dhe Projektimeve të Mbrojtjes”, nga Ministria e Mbrojtjes te Shkolla Shqiptare e Administratës Publike”, të truallit funksional dhe objektit me sipërfaqe të përgjithshme 1077.28 (një mijë e shtatëdhjetë e shtatë pikë njëzet e tetë) m², sipas planvendosjes që i bashkëlidhet këtij vendimi dhe është pjesë përbërëse e tij, për ta përdorur për nevojat e administratës së këtij institucioni..</w:t>
      </w:r>
    </w:p>
    <w:p w:rsidR="001D383B" w:rsidRPr="002227C4" w:rsidRDefault="001D383B" w:rsidP="001D383B">
      <w:pPr>
        <w:pStyle w:val="Paragrafi"/>
        <w:rPr>
          <w:szCs w:val="24"/>
          <w:lang w:val="sq-AL"/>
        </w:rPr>
      </w:pPr>
      <w:r w:rsidRPr="002227C4">
        <w:rPr>
          <w:szCs w:val="24"/>
          <w:lang w:val="sq-AL"/>
        </w:rPr>
        <w:t xml:space="preserve">2. </w:t>
      </w:r>
      <w:r w:rsidR="009343B8" w:rsidRPr="009343B8">
        <w:rPr>
          <w:i/>
          <w:lang w:val="sq-AL"/>
        </w:rPr>
        <w:t>Shkollës Shqiptare të Administratës Publike</w:t>
      </w:r>
      <w:r w:rsidR="009343B8">
        <w:rPr>
          <w:lang w:val="sq-AL"/>
        </w:rPr>
        <w:t xml:space="preserve"> </w:t>
      </w:r>
      <w:r w:rsidRPr="002227C4">
        <w:rPr>
          <w:szCs w:val="24"/>
          <w:lang w:val="sq-AL"/>
        </w:rPr>
        <w:t xml:space="preserve">i ndalohet ta ndryshojë destinacionin e pronës, të përcaktuar në pikën 1, të këtij vendimi, ta tjetërsojë ose t’ua japë në përdorim të tretëve. Në rast përfundimi të veprimtarisë së Shkollës Shqiptare të Administratës Publike, para afatit të përcaktuar në këtë vendim, objekti dhe trualli funksional t’i kthehen Ministrisë së Mbrojtjes. </w:t>
      </w:r>
    </w:p>
    <w:p w:rsidR="001D383B" w:rsidRPr="002227C4" w:rsidRDefault="001D383B" w:rsidP="001D383B">
      <w:pPr>
        <w:pStyle w:val="Paragrafi"/>
        <w:rPr>
          <w:szCs w:val="24"/>
          <w:lang w:val="sq-AL"/>
        </w:rPr>
      </w:pPr>
      <w:r w:rsidRPr="002227C4">
        <w:rPr>
          <w:szCs w:val="24"/>
          <w:lang w:val="sq-AL"/>
        </w:rPr>
        <w:t>3. Objekti nr. 36, me emërtim “Ish-Kolegji Turk”, dhe trualli funksional, pjesë e pronës nr. 12, me emërtim “Komanda e Doktrinës dhe Stërvitjes”, Tiranë, me sipërfaqe të përgjithshme 7 594 (shtatë mijë e pesëqind e nëntëdhjetë e katër) m</w:t>
      </w:r>
      <w:r w:rsidRPr="002227C4">
        <w:rPr>
          <w:szCs w:val="24"/>
          <w:vertAlign w:val="superscript"/>
          <w:lang w:val="sq-AL"/>
        </w:rPr>
        <w:t>2</w:t>
      </w:r>
      <w:r w:rsidRPr="002227C4">
        <w:rPr>
          <w:szCs w:val="24"/>
          <w:lang w:val="sq-AL"/>
        </w:rPr>
        <w:t xml:space="preserve">, t’i kthehen në përdorim Ministrisë së Mbrojtjes. </w:t>
      </w:r>
    </w:p>
    <w:p w:rsidR="001D383B" w:rsidRPr="002227C4" w:rsidRDefault="001D383B" w:rsidP="001D383B">
      <w:pPr>
        <w:pStyle w:val="Paragrafi"/>
        <w:rPr>
          <w:spacing w:val="-4"/>
          <w:szCs w:val="24"/>
          <w:lang w:val="sq-AL"/>
        </w:rPr>
      </w:pPr>
      <w:r w:rsidRPr="002227C4">
        <w:rPr>
          <w:spacing w:val="-4"/>
          <w:szCs w:val="24"/>
          <w:lang w:val="sq-AL"/>
        </w:rPr>
        <w:t>4. Vendimi nr. 786, datë 14.11.2012, i Këshillit të Ministrave, “Për dhënien në përdorim të përkohshëm, nga Ministria e Mbrojtjes Ministrisë së Brendshme, të mjediseve të objektit nr. 36, me emërtim “Ish-Kolegji Turk”, dhe të truallit funksional, pjesë e pronës nr. 12, me emërtim “Komanda e Doktrinës dhe Stërvitjes”, Tiranë, me sipërfaqen e përgjithshme 7 594 (shtatë mijë e pesëqind e nëntëdhjetë e katër) m</w:t>
      </w:r>
      <w:r w:rsidRPr="002227C4">
        <w:rPr>
          <w:spacing w:val="-4"/>
          <w:szCs w:val="24"/>
          <w:vertAlign w:val="superscript"/>
          <w:lang w:val="sq-AL"/>
        </w:rPr>
        <w:t>2</w:t>
      </w:r>
      <w:r w:rsidRPr="002227C4">
        <w:rPr>
          <w:spacing w:val="-4"/>
          <w:szCs w:val="24"/>
          <w:lang w:val="sq-AL"/>
        </w:rPr>
        <w:t xml:space="preserve">, për Shkollën Shqiptare të Administratës Publike”, shfuqizohet. </w:t>
      </w:r>
    </w:p>
    <w:p w:rsidR="001D383B" w:rsidRPr="002227C4" w:rsidRDefault="001D383B" w:rsidP="001D383B">
      <w:pPr>
        <w:pStyle w:val="Paragrafi"/>
        <w:rPr>
          <w:szCs w:val="24"/>
          <w:lang w:val="sq-AL"/>
        </w:rPr>
      </w:pPr>
      <w:r w:rsidRPr="002227C4">
        <w:rPr>
          <w:szCs w:val="24"/>
          <w:lang w:val="sq-AL"/>
        </w:rPr>
        <w:t xml:space="preserve">5. Ngarkohen ministri i Punëve të Brendshme, ministri i Mbrojtjes dhe kryeregjistruesi i Pasurive të Paluajtshme të Republikës së Shqipërisë të ndjekin procedurat e nevojshme për zbatimin e këtij vendimi. </w:t>
      </w:r>
    </w:p>
    <w:p w:rsidR="001D383B" w:rsidRPr="002227C4" w:rsidRDefault="001D383B" w:rsidP="001D383B">
      <w:pPr>
        <w:pStyle w:val="Paragrafi"/>
        <w:rPr>
          <w:szCs w:val="24"/>
          <w:lang w:val="sq-AL"/>
        </w:rPr>
      </w:pPr>
      <w:r w:rsidRPr="002227C4">
        <w:rPr>
          <w:szCs w:val="24"/>
          <w:lang w:val="sq-AL"/>
        </w:rPr>
        <w:t xml:space="preserve">  Ky vendim hyn në fuqi pas botimit në Fletoren Zyrtare. </w:t>
      </w:r>
    </w:p>
    <w:p w:rsidR="0056268C" w:rsidRPr="002227C4" w:rsidRDefault="0056268C" w:rsidP="001D383B">
      <w:pPr>
        <w:pStyle w:val="AUTORITETI"/>
        <w:rPr>
          <w:szCs w:val="24"/>
          <w:lang w:val="sq-AL"/>
        </w:rPr>
      </w:pPr>
    </w:p>
    <w:p w:rsidR="001D383B" w:rsidRPr="002227C4" w:rsidRDefault="001D383B" w:rsidP="001D383B">
      <w:pPr>
        <w:pStyle w:val="AUTORITETI"/>
        <w:rPr>
          <w:szCs w:val="24"/>
          <w:lang w:val="sq-AL"/>
        </w:rPr>
      </w:pPr>
      <w:r w:rsidRPr="002227C4">
        <w:rPr>
          <w:szCs w:val="24"/>
          <w:lang w:val="sq-AL"/>
        </w:rPr>
        <w:t>KRYEMINISTRI</w:t>
      </w:r>
    </w:p>
    <w:p w:rsidR="0056268C" w:rsidRPr="002227C4" w:rsidRDefault="0056268C" w:rsidP="0056268C">
      <w:pPr>
        <w:widowControl w:val="0"/>
        <w:spacing w:after="0" w:line="240" w:lineRule="auto"/>
        <w:jc w:val="right"/>
        <w:rPr>
          <w:rFonts w:ascii="Garamond" w:hAnsi="Garamond" w:cs="Times New Roman"/>
          <w:b/>
          <w:bCs/>
          <w:sz w:val="24"/>
          <w:szCs w:val="24"/>
          <w:lang w:val="sq-AL"/>
        </w:rPr>
      </w:pPr>
      <w:r w:rsidRPr="002227C4">
        <w:rPr>
          <w:rFonts w:ascii="Garamond" w:hAnsi="Garamond" w:cs="Times New Roman"/>
          <w:b/>
          <w:bCs/>
          <w:sz w:val="24"/>
          <w:szCs w:val="24"/>
          <w:lang w:val="sq-AL"/>
        </w:rPr>
        <w:t>Edi Rama</w:t>
      </w:r>
    </w:p>
    <w:p w:rsidR="0056268C" w:rsidRPr="002227C4" w:rsidRDefault="0056268C" w:rsidP="001D383B">
      <w:pPr>
        <w:pStyle w:val="AutoritetiEmer"/>
        <w:rPr>
          <w:szCs w:val="24"/>
          <w:lang w:val="sq-AL"/>
        </w:rPr>
      </w:pPr>
    </w:p>
    <w:p w:rsidR="0056268C" w:rsidRPr="002227C4" w:rsidRDefault="0056268C" w:rsidP="0056268C">
      <w:pPr>
        <w:rPr>
          <w:sz w:val="24"/>
          <w:szCs w:val="24"/>
          <w:lang w:val="sq-AL"/>
        </w:rPr>
        <w:sectPr w:rsidR="0056268C" w:rsidRPr="002227C4" w:rsidSect="0056268C">
          <w:pgSz w:w="11907" w:h="16840" w:code="9"/>
          <w:pgMar w:top="720" w:right="1134" w:bottom="720" w:left="1134" w:header="851" w:footer="851" w:gutter="0"/>
          <w:cols w:space="454"/>
          <w:docGrid w:linePitch="360"/>
        </w:sectPr>
      </w:pPr>
    </w:p>
    <w:p w:rsidR="001D383B" w:rsidRPr="002227C4" w:rsidRDefault="001D383B" w:rsidP="001D383B">
      <w:pPr>
        <w:pStyle w:val="AKTI"/>
        <w:rPr>
          <w:szCs w:val="24"/>
          <w:lang w:val="sq-AL"/>
        </w:rPr>
        <w:sectPr w:rsidR="001D383B" w:rsidRPr="002227C4" w:rsidSect="0056268C">
          <w:type w:val="continuous"/>
          <w:pgSz w:w="11907" w:h="16840" w:code="9"/>
          <w:pgMar w:top="720" w:right="1134" w:bottom="720" w:left="1134" w:header="851" w:footer="851" w:gutter="0"/>
          <w:cols w:num="2" w:space="454"/>
          <w:docGrid w:linePitch="360"/>
        </w:sectPr>
      </w:pPr>
    </w:p>
    <w:p w:rsidR="001D383B" w:rsidRPr="002227C4" w:rsidRDefault="001D383B" w:rsidP="001D383B">
      <w:pPr>
        <w:pStyle w:val="AKTI"/>
        <w:rPr>
          <w:szCs w:val="24"/>
          <w:lang w:val="sq-AL"/>
        </w:rPr>
      </w:pPr>
    </w:p>
    <w:p w:rsidR="001D383B" w:rsidRPr="002227C4" w:rsidRDefault="001D383B" w:rsidP="001D383B">
      <w:pPr>
        <w:pStyle w:val="Paragrafi"/>
        <w:ind w:firstLine="0"/>
        <w:jc w:val="center"/>
        <w:rPr>
          <w:szCs w:val="24"/>
          <w:lang w:val="sq-AL"/>
        </w:rPr>
      </w:pPr>
      <w:r w:rsidRPr="002227C4">
        <w:rPr>
          <w:noProof/>
          <w:szCs w:val="24"/>
        </w:rPr>
        <w:drawing>
          <wp:inline distT="0" distB="0" distL="0" distR="0">
            <wp:extent cx="5943600" cy="3385185"/>
            <wp:effectExtent l="19050" t="0" r="0" b="0"/>
            <wp:docPr id="70"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stretch>
                      <a:fillRect/>
                    </a:stretch>
                  </pic:blipFill>
                  <pic:spPr>
                    <a:xfrm>
                      <a:off x="0" y="0"/>
                      <a:ext cx="5943600" cy="3385185"/>
                    </a:xfrm>
                    <a:prstGeom prst="rect">
                      <a:avLst/>
                    </a:prstGeom>
                  </pic:spPr>
                </pic:pic>
              </a:graphicData>
            </a:graphic>
          </wp:inline>
        </w:drawing>
      </w:r>
    </w:p>
    <w:p w:rsidR="001D383B" w:rsidRPr="002227C4" w:rsidRDefault="001D383B" w:rsidP="001D383B">
      <w:pPr>
        <w:pStyle w:val="Paragrafi"/>
        <w:ind w:firstLine="0"/>
        <w:jc w:val="center"/>
        <w:rPr>
          <w:szCs w:val="24"/>
          <w:lang w:val="sq-AL"/>
        </w:rPr>
      </w:pPr>
      <w:r w:rsidRPr="002227C4">
        <w:rPr>
          <w:noProof/>
          <w:szCs w:val="24"/>
        </w:rPr>
        <w:drawing>
          <wp:inline distT="0" distB="0" distL="0" distR="0">
            <wp:extent cx="6019440" cy="3407434"/>
            <wp:effectExtent l="19050" t="0" r="360" b="0"/>
            <wp:docPr id="72"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stretch>
                      <a:fillRect/>
                    </a:stretch>
                  </pic:blipFill>
                  <pic:spPr>
                    <a:xfrm>
                      <a:off x="0" y="0"/>
                      <a:ext cx="6022763" cy="3409315"/>
                    </a:xfrm>
                    <a:prstGeom prst="rect">
                      <a:avLst/>
                    </a:prstGeom>
                  </pic:spPr>
                </pic:pic>
              </a:graphicData>
            </a:graphic>
          </wp:inline>
        </w:drawing>
      </w:r>
      <w:r w:rsidR="0056268C" w:rsidRPr="002227C4">
        <w:rPr>
          <w:noProof/>
          <w:szCs w:val="24"/>
        </w:rPr>
        <mc:AlternateContent>
          <mc:Choice Requires="wps">
            <w:drawing>
              <wp:anchor distT="0" distB="0" distL="114300" distR="114300" simplePos="0" relativeHeight="251660288" behindDoc="0" locked="0" layoutInCell="1" allowOverlap="1">
                <wp:simplePos x="0" y="0"/>
                <wp:positionH relativeFrom="column">
                  <wp:posOffset>1064260</wp:posOffset>
                </wp:positionH>
                <wp:positionV relativeFrom="paragraph">
                  <wp:posOffset>8104505</wp:posOffset>
                </wp:positionV>
                <wp:extent cx="4594225" cy="43815"/>
                <wp:effectExtent l="6985" t="12065" r="8890" b="1079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94225" cy="438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5FDBA6E" id="_x0000_t32" coordsize="21600,21600" o:spt="32" o:oned="t" path="m,l21600,21600e" filled="f">
                <v:path arrowok="t" fillok="f" o:connecttype="none"/>
                <o:lock v:ext="edit" shapetype="t"/>
              </v:shapetype>
              <v:shape id="AutoShape 2" o:spid="_x0000_s1026" type="#_x0000_t32" style="position:absolute;margin-left:83.8pt;margin-top:638.15pt;width:361.75pt;height:3.4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"/>
            </w:pict>
          </mc:Fallback>
        </mc:AlternateContent>
      </w:r>
    </w:p>
    <w:p w:rsidR="001D383B" w:rsidRPr="002227C4" w:rsidRDefault="001D383B" w:rsidP="001D383B">
      <w:pPr>
        <w:pStyle w:val="Paragrafi"/>
        <w:rPr>
          <w:szCs w:val="24"/>
          <w:lang w:val="sq-AL"/>
        </w:rPr>
      </w:pPr>
    </w:p>
    <w:p w:rsidR="00FD57DC" w:rsidRPr="002227C4" w:rsidRDefault="005D069A">
      <w:pPr>
        <w:rPr>
          <w:sz w:val="24"/>
          <w:szCs w:val="24"/>
        </w:rPr>
      </w:pPr>
    </w:p>
    <w:p w:rsidR="0056268C" w:rsidRPr="002227C4" w:rsidRDefault="0056268C">
      <w:pPr>
        <w:rPr>
          <w:sz w:val="24"/>
          <w:szCs w:val="24"/>
        </w:rPr>
      </w:pPr>
    </w:p>
    <w:p w:rsidR="0056268C" w:rsidRPr="002227C4" w:rsidRDefault="0056268C">
      <w:pPr>
        <w:rPr>
          <w:sz w:val="24"/>
          <w:szCs w:val="24"/>
        </w:rPr>
      </w:pPr>
    </w:p>
    <w:p w:rsidR="0056268C" w:rsidRPr="002227C4" w:rsidRDefault="0056268C" w:rsidP="0056268C">
      <w:pPr>
        <w:jc w:val="center"/>
        <w:rPr>
          <w:rFonts w:ascii="Garamond" w:hAnsi="Garamond"/>
          <w:i/>
          <w:sz w:val="24"/>
          <w:szCs w:val="24"/>
          <w:lang w:val="sq-AL"/>
        </w:rPr>
      </w:pPr>
      <w:r w:rsidRPr="002227C4">
        <w:rPr>
          <w:rFonts w:ascii="Garamond" w:hAnsi="Garamond"/>
          <w:i/>
          <w:sz w:val="24"/>
          <w:szCs w:val="24"/>
          <w:lang w:val="sq-AL"/>
        </w:rPr>
        <w:lastRenderedPageBreak/>
        <w:t>(Shtuar me VKM nr. 142, datë 20.3.2019)</w:t>
      </w:r>
    </w:p>
    <w:p w:rsidR="0056268C" w:rsidRPr="002227C4" w:rsidRDefault="0056268C">
      <w:pPr>
        <w:rPr>
          <w:sz w:val="24"/>
          <w:szCs w:val="24"/>
        </w:rPr>
      </w:pPr>
      <w:r w:rsidRPr="002227C4">
        <w:rPr>
          <w:noProof/>
          <w:sz w:val="24"/>
          <w:szCs w:val="24"/>
        </w:rPr>
        <w:drawing>
          <wp:inline distT="0" distB="0" distL="0" distR="0" wp14:anchorId="0E2ABA73">
            <wp:extent cx="5476875" cy="764796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81994" cy="7655114"/>
                    </a:xfrm>
                    <a:prstGeom prst="rect">
                      <a:avLst/>
                    </a:prstGeom>
                    <a:noFill/>
                  </pic:spPr>
                </pic:pic>
              </a:graphicData>
            </a:graphic>
          </wp:inline>
        </w:drawing>
      </w:r>
    </w:p>
    <w:sectPr w:rsidR="0056268C" w:rsidRPr="002227C4" w:rsidSect="00A84D8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D069A" w:rsidRDefault="005D069A" w:rsidP="0056268C">
      <w:pPr>
        <w:spacing w:after="0" w:line="240" w:lineRule="auto"/>
      </w:pPr>
      <w:r>
        <w:separator/>
      </w:r>
    </w:p>
  </w:endnote>
  <w:endnote w:type="continuationSeparator" w:id="0">
    <w:p w:rsidR="005D069A" w:rsidRDefault="005D069A" w:rsidP="005626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D069A" w:rsidRDefault="005D069A" w:rsidP="0056268C">
      <w:pPr>
        <w:spacing w:after="0" w:line="240" w:lineRule="auto"/>
      </w:pPr>
      <w:r>
        <w:separator/>
      </w:r>
    </w:p>
  </w:footnote>
  <w:footnote w:type="continuationSeparator" w:id="0">
    <w:p w:rsidR="005D069A" w:rsidRDefault="005D069A" w:rsidP="0056268C">
      <w:pPr>
        <w:spacing w:after="0" w:line="240" w:lineRule="auto"/>
      </w:pPr>
      <w:r>
        <w:continuationSeparator/>
      </w:r>
    </w:p>
  </w:footnote>
  <w:footnote w:id="1">
    <w:p w:rsidR="006C486D" w:rsidRPr="00EE2B57" w:rsidRDefault="006C486D" w:rsidP="006C486D">
      <w:pPr>
        <w:autoSpaceDE w:val="0"/>
        <w:autoSpaceDN w:val="0"/>
        <w:adjustRightInd w:val="0"/>
        <w:ind w:firstLine="284"/>
        <w:jc w:val="both"/>
        <w:rPr>
          <w:rFonts w:ascii="Garamond" w:hAnsi="Garamond"/>
          <w:lang w:val="sq-AL"/>
        </w:rPr>
      </w:pPr>
      <w:r>
        <w:rPr>
          <w:rStyle w:val="FootnoteReference"/>
        </w:rPr>
        <w:footnoteRef/>
      </w:r>
      <w:r>
        <w:t xml:space="preserve"> </w:t>
      </w:r>
      <w:proofErr w:type="spellStart"/>
      <w:r w:rsidRPr="00455718">
        <w:rPr>
          <w:rFonts w:ascii="Garamond" w:hAnsi="Garamond"/>
        </w:rPr>
        <w:t>Vendimi</w:t>
      </w:r>
      <w:proofErr w:type="spellEnd"/>
      <w:r w:rsidRPr="00455718">
        <w:rPr>
          <w:rFonts w:ascii="Garamond" w:hAnsi="Garamond"/>
        </w:rPr>
        <w:t xml:space="preserve"> nr. 12, </w:t>
      </w:r>
      <w:proofErr w:type="spellStart"/>
      <w:r w:rsidRPr="00455718">
        <w:rPr>
          <w:rFonts w:ascii="Garamond" w:hAnsi="Garamond"/>
        </w:rPr>
        <w:t>datë</w:t>
      </w:r>
      <w:proofErr w:type="spellEnd"/>
      <w:r w:rsidRPr="00455718">
        <w:rPr>
          <w:rFonts w:ascii="Garamond" w:hAnsi="Garamond"/>
        </w:rPr>
        <w:t xml:space="preserve"> 9.1.2025 </w:t>
      </w:r>
      <w:proofErr w:type="spellStart"/>
      <w:r w:rsidRPr="00455718">
        <w:rPr>
          <w:rFonts w:ascii="Garamond" w:hAnsi="Garamond"/>
        </w:rPr>
        <w:t>botuar</w:t>
      </w:r>
      <w:proofErr w:type="spellEnd"/>
      <w:r w:rsidRPr="00455718">
        <w:rPr>
          <w:rFonts w:ascii="Garamond" w:hAnsi="Garamond"/>
        </w:rPr>
        <w:t xml:space="preserve"> </w:t>
      </w:r>
      <w:proofErr w:type="spellStart"/>
      <w:r w:rsidRPr="00455718">
        <w:rPr>
          <w:rFonts w:ascii="Garamond" w:hAnsi="Garamond"/>
        </w:rPr>
        <w:t>në</w:t>
      </w:r>
      <w:proofErr w:type="spellEnd"/>
      <w:r w:rsidRPr="00455718">
        <w:rPr>
          <w:rFonts w:ascii="Garamond" w:hAnsi="Garamond"/>
        </w:rPr>
        <w:t xml:space="preserve"> F.Z nr. 3 </w:t>
      </w:r>
      <w:proofErr w:type="spellStart"/>
      <w:r w:rsidRPr="00455718">
        <w:rPr>
          <w:rFonts w:ascii="Garamond" w:hAnsi="Garamond"/>
        </w:rPr>
        <w:t>datë</w:t>
      </w:r>
      <w:proofErr w:type="spellEnd"/>
      <w:r w:rsidRPr="00455718">
        <w:rPr>
          <w:rFonts w:ascii="Garamond" w:hAnsi="Garamond"/>
        </w:rPr>
        <w:t xml:space="preserve"> 9.1.2025 </w:t>
      </w:r>
      <w:proofErr w:type="spellStart"/>
      <w:r w:rsidRPr="00455718">
        <w:rPr>
          <w:rFonts w:ascii="Garamond" w:hAnsi="Garamond"/>
        </w:rPr>
        <w:t>n</w:t>
      </w:r>
      <w:r w:rsidR="00455718" w:rsidRPr="00455718">
        <w:rPr>
          <w:rFonts w:ascii="Garamond" w:hAnsi="Garamond"/>
        </w:rPr>
        <w:t>ë</w:t>
      </w:r>
      <w:proofErr w:type="spellEnd"/>
      <w:r w:rsidRPr="00455718">
        <w:rPr>
          <w:rFonts w:ascii="Garamond" w:hAnsi="Garamond"/>
        </w:rPr>
        <w:t xml:space="preserve"> </w:t>
      </w:r>
      <w:proofErr w:type="spellStart"/>
      <w:r w:rsidRPr="00455718">
        <w:rPr>
          <w:rFonts w:ascii="Garamond" w:hAnsi="Garamond"/>
        </w:rPr>
        <w:t>pik</w:t>
      </w:r>
      <w:r w:rsidR="00455718" w:rsidRPr="00455718">
        <w:rPr>
          <w:rFonts w:ascii="Garamond" w:hAnsi="Garamond"/>
        </w:rPr>
        <w:t>ë</w:t>
      </w:r>
      <w:r w:rsidRPr="00455718">
        <w:rPr>
          <w:rFonts w:ascii="Garamond" w:hAnsi="Garamond"/>
        </w:rPr>
        <w:t>n</w:t>
      </w:r>
      <w:proofErr w:type="spellEnd"/>
      <w:r w:rsidRPr="00455718">
        <w:rPr>
          <w:rFonts w:ascii="Garamond" w:hAnsi="Garamond"/>
        </w:rPr>
        <w:t xml:space="preserve"> 10 </w:t>
      </w:r>
      <w:proofErr w:type="spellStart"/>
      <w:r w:rsidRPr="00455718">
        <w:rPr>
          <w:rFonts w:ascii="Garamond" w:hAnsi="Garamond"/>
        </w:rPr>
        <w:t>t</w:t>
      </w:r>
      <w:r w:rsidR="00455718" w:rsidRPr="00455718">
        <w:rPr>
          <w:rFonts w:ascii="Garamond" w:hAnsi="Garamond"/>
        </w:rPr>
        <w:t>ë</w:t>
      </w:r>
      <w:proofErr w:type="spellEnd"/>
      <w:r w:rsidRPr="00455718">
        <w:rPr>
          <w:rFonts w:ascii="Garamond" w:hAnsi="Garamond"/>
        </w:rPr>
        <w:t xml:space="preserve"> </w:t>
      </w:r>
      <w:proofErr w:type="spellStart"/>
      <w:r w:rsidRPr="00455718">
        <w:rPr>
          <w:rFonts w:ascii="Garamond" w:hAnsi="Garamond"/>
        </w:rPr>
        <w:t>tij</w:t>
      </w:r>
      <w:proofErr w:type="spellEnd"/>
      <w:r w:rsidRPr="00455718">
        <w:rPr>
          <w:rFonts w:ascii="Garamond" w:hAnsi="Garamond"/>
        </w:rPr>
        <w:t xml:space="preserve"> </w:t>
      </w:r>
      <w:proofErr w:type="spellStart"/>
      <w:r w:rsidRPr="00455718">
        <w:rPr>
          <w:rFonts w:ascii="Garamond" w:hAnsi="Garamond"/>
        </w:rPr>
        <w:t>shprehet</w:t>
      </w:r>
      <w:proofErr w:type="spellEnd"/>
      <w:r w:rsidRPr="00455718">
        <w:rPr>
          <w:rFonts w:ascii="Garamond" w:hAnsi="Garamond"/>
        </w:rPr>
        <w:t>: “</w:t>
      </w:r>
      <w:r w:rsidRPr="00455718">
        <w:rPr>
          <w:rFonts w:ascii="Garamond" w:hAnsi="Garamond"/>
          <w:i/>
          <w:sz w:val="20"/>
          <w:szCs w:val="20"/>
          <w:lang w:val="sq-AL"/>
        </w:rPr>
        <w:t>Pika 5 e vendimit</w:t>
      </w:r>
      <w:r w:rsidRPr="006C486D">
        <w:rPr>
          <w:rFonts w:ascii="Garamond" w:hAnsi="Garamond"/>
          <w:i/>
          <w:sz w:val="20"/>
          <w:szCs w:val="20"/>
          <w:lang w:val="sq-AL"/>
        </w:rPr>
        <w:t xml:space="preserve"> nr. 142, datë 20.3.2019, të Këshillit të Ministrave, “Për kalimin në pronësi, nga Ministria e Mbrojtjes tek Bashkia Tiranë, të një sipërfaqeje trualli funksional dhe objekti, brenda territorit të pronës nr. 42, me emërtim “Instituti i Studimeve dhe Projektimeve të Mbrojtjes”, me vendndodhje bulevardi “Zhanë D’Ark”, Tiranë, disa ndryshime në vendimin nr. 572, datë 3.9.2014, të Këshillit të Ministrave, “Për dhënien në përdorim të përkohshëm, nga Ministria e Mbrojtjes Ministrisë së Punëve të Brendshme, të objektit nr. 42, me emërtim “Instituti i Studimeve dhe Projektimeve të Mbrojtjes”, për Shkollën Shqiptare të Administratës Publike, dhe shfuqizimin e vendimit nr. 786, datë 14.11.2012, të Këshillit të Ministrave”, dhe në vendimin nr. 515, datë 18.7.2003, të Këshillit të Ministrave, “Për miratimin e listës së inventarit të pronave të paluajtshme shtetërore, të cilat i kalojnë në përgjegjësi administrimi Ministrisë së Mbrojtjes”, të ndryshuar, dhe vendimi nr. 572, datë 3.9.2014, i Këshillit të Ministrave, “Për dhënien në përdorim të përkohshëm, nga Ministria e Mbrojtjes Ministrisë së Punëve të Brendshme, të objektit nr. 42, me emërtim “Instituti i Studimeve dhe Projektimeve të Mbrojtjes”, për Shkollën Shqiptare të Administratës Publike”, shfuqizohen me hyrjen në fuqi të këtij vendimi.</w:t>
      </w:r>
      <w:r>
        <w:rPr>
          <w:rFonts w:ascii="Garamond" w:hAnsi="Garamond"/>
          <w:lang w:val="sq-AL"/>
        </w:rPr>
        <w:t>”</w:t>
      </w:r>
    </w:p>
    <w:p w:rsidR="006C486D" w:rsidRDefault="006C486D">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83B"/>
    <w:rsid w:val="001D383B"/>
    <w:rsid w:val="001F7DB8"/>
    <w:rsid w:val="002227C4"/>
    <w:rsid w:val="002E7553"/>
    <w:rsid w:val="00455718"/>
    <w:rsid w:val="004A6D85"/>
    <w:rsid w:val="0056268C"/>
    <w:rsid w:val="005D069A"/>
    <w:rsid w:val="006C486D"/>
    <w:rsid w:val="009343B8"/>
    <w:rsid w:val="009A1EA6"/>
    <w:rsid w:val="00A3508F"/>
    <w:rsid w:val="00A84D81"/>
    <w:rsid w:val="00FF6E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232B5"/>
  <w15:docId w15:val="{6AEE54BA-7C90-4969-AE67-3311749EF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riData">
    <w:name w:val="Numri_Data"/>
    <w:next w:val="Normal"/>
    <w:link w:val="NumriDataChar"/>
    <w:rsid w:val="001D383B"/>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link w:val="NumriData"/>
    <w:locked/>
    <w:rsid w:val="001D383B"/>
    <w:rPr>
      <w:rFonts w:ascii="Garamond" w:eastAsia="MS Mincho" w:hAnsi="Garamond" w:cs="CG Times"/>
      <w:b/>
      <w:bCs/>
      <w:sz w:val="24"/>
      <w:lang w:val="en-GB"/>
    </w:rPr>
  </w:style>
  <w:style w:type="paragraph" w:customStyle="1" w:styleId="Paragrafi">
    <w:name w:val="Paragrafi"/>
    <w:link w:val="ParagrafiChar"/>
    <w:qFormat/>
    <w:rsid w:val="001D383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link w:val="Paragrafi"/>
    <w:locked/>
    <w:rsid w:val="001D383B"/>
    <w:rPr>
      <w:rFonts w:ascii="Garamond" w:eastAsia="MS Mincho" w:hAnsi="Garamond" w:cs="CG Times"/>
      <w:sz w:val="24"/>
    </w:rPr>
  </w:style>
  <w:style w:type="paragraph" w:customStyle="1" w:styleId="Titulli">
    <w:name w:val="Titulli"/>
    <w:next w:val="Normal"/>
    <w:link w:val="TitulliChar"/>
    <w:rsid w:val="001D383B"/>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link w:val="Titulli"/>
    <w:rsid w:val="001D383B"/>
    <w:rPr>
      <w:rFonts w:ascii="Garamond" w:eastAsia="MS Mincho" w:hAnsi="Garamond" w:cs="CG Times"/>
      <w:b/>
      <w:bCs/>
      <w:caps/>
      <w:sz w:val="24"/>
      <w:lang w:val="en-GB"/>
    </w:rPr>
  </w:style>
  <w:style w:type="paragraph" w:customStyle="1" w:styleId="AutoritetiEmer">
    <w:name w:val="Autoriteti_Emer"/>
    <w:next w:val="Normal"/>
    <w:link w:val="AutoritetiEmerChar"/>
    <w:rsid w:val="001D383B"/>
    <w:pPr>
      <w:widowControl w:val="0"/>
      <w:spacing w:after="0" w:line="240" w:lineRule="auto"/>
      <w:jc w:val="right"/>
    </w:pPr>
    <w:rPr>
      <w:rFonts w:ascii="Garamond" w:eastAsia="MS Mincho" w:hAnsi="Garamond" w:cs="Times New Roman"/>
      <w:b/>
      <w:bCs/>
      <w:sz w:val="24"/>
      <w:lang w:val="en-GB"/>
    </w:rPr>
  </w:style>
  <w:style w:type="character" w:customStyle="1" w:styleId="AutoritetiEmerChar">
    <w:name w:val="Autoriteti_Emer Char"/>
    <w:link w:val="AutoritetiEmer"/>
    <w:locked/>
    <w:rsid w:val="001D383B"/>
    <w:rPr>
      <w:rFonts w:ascii="Garamond" w:eastAsia="MS Mincho" w:hAnsi="Garamond" w:cs="Times New Roman"/>
      <w:b/>
      <w:bCs/>
      <w:sz w:val="24"/>
      <w:lang w:val="en-GB"/>
    </w:rPr>
  </w:style>
  <w:style w:type="paragraph" w:customStyle="1" w:styleId="AKTI">
    <w:name w:val="AKTI"/>
    <w:basedOn w:val="Paragrafi"/>
    <w:qFormat/>
    <w:rsid w:val="001D383B"/>
    <w:pPr>
      <w:ind w:firstLine="0"/>
      <w:jc w:val="center"/>
    </w:pPr>
    <w:rPr>
      <w:rFonts w:cs="Times New Roman"/>
      <w:b/>
      <w:szCs w:val="20"/>
    </w:rPr>
  </w:style>
  <w:style w:type="paragraph" w:customStyle="1" w:styleId="VENDOSI">
    <w:name w:val="VENDOSI"/>
    <w:basedOn w:val="Paragrafi"/>
    <w:qFormat/>
    <w:rsid w:val="001D383B"/>
    <w:pPr>
      <w:ind w:firstLine="0"/>
      <w:jc w:val="center"/>
    </w:pPr>
    <w:rPr>
      <w:rFonts w:cs="Times New Roman"/>
      <w:caps/>
      <w:szCs w:val="20"/>
    </w:rPr>
  </w:style>
  <w:style w:type="paragraph" w:customStyle="1" w:styleId="AUTORITETI">
    <w:name w:val="AUTORITETI"/>
    <w:basedOn w:val="Paragrafi"/>
    <w:qFormat/>
    <w:rsid w:val="001D383B"/>
    <w:pPr>
      <w:ind w:firstLine="0"/>
      <w:jc w:val="right"/>
    </w:pPr>
    <w:rPr>
      <w:rFonts w:cs="Times New Roman"/>
      <w:caps/>
      <w:szCs w:val="20"/>
    </w:rPr>
  </w:style>
  <w:style w:type="paragraph" w:styleId="BalloonText">
    <w:name w:val="Balloon Text"/>
    <w:basedOn w:val="Normal"/>
    <w:link w:val="BalloonTextChar"/>
    <w:uiPriority w:val="99"/>
    <w:semiHidden/>
    <w:unhideWhenUsed/>
    <w:rsid w:val="001D38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383B"/>
    <w:rPr>
      <w:rFonts w:ascii="Tahoma" w:hAnsi="Tahoma" w:cs="Tahoma"/>
      <w:sz w:val="16"/>
      <w:szCs w:val="16"/>
    </w:rPr>
  </w:style>
  <w:style w:type="paragraph" w:styleId="Header">
    <w:name w:val="header"/>
    <w:basedOn w:val="Normal"/>
    <w:link w:val="HeaderChar"/>
    <w:uiPriority w:val="99"/>
    <w:unhideWhenUsed/>
    <w:rsid w:val="005626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268C"/>
  </w:style>
  <w:style w:type="paragraph" w:styleId="Footer">
    <w:name w:val="footer"/>
    <w:basedOn w:val="Normal"/>
    <w:link w:val="FooterChar"/>
    <w:uiPriority w:val="99"/>
    <w:unhideWhenUsed/>
    <w:rsid w:val="005626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268C"/>
  </w:style>
  <w:style w:type="paragraph" w:styleId="FootnoteText">
    <w:name w:val="footnote text"/>
    <w:basedOn w:val="Normal"/>
    <w:link w:val="FootnoteTextChar"/>
    <w:uiPriority w:val="99"/>
    <w:semiHidden/>
    <w:unhideWhenUsed/>
    <w:rsid w:val="006C486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C486D"/>
    <w:rPr>
      <w:sz w:val="20"/>
      <w:szCs w:val="20"/>
    </w:rPr>
  </w:style>
  <w:style w:type="character" w:styleId="FootnoteReference">
    <w:name w:val="footnote reference"/>
    <w:basedOn w:val="DefaultParagraphFont"/>
    <w:uiPriority w:val="99"/>
    <w:semiHidden/>
    <w:unhideWhenUsed/>
    <w:rsid w:val="006C486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4034891">
      <w:bodyDiv w:val="1"/>
      <w:marLeft w:val="0"/>
      <w:marRight w:val="0"/>
      <w:marTop w:val="0"/>
      <w:marBottom w:val="0"/>
      <w:divBdr>
        <w:top w:val="none" w:sz="0" w:space="0" w:color="auto"/>
        <w:left w:val="none" w:sz="0" w:space="0" w:color="auto"/>
        <w:bottom w:val="none" w:sz="0" w:space="0" w:color="auto"/>
        <w:right w:val="none" w:sz="0" w:space="0" w:color="auto"/>
      </w:divBdr>
      <w:divsChild>
        <w:div w:id="1326277102">
          <w:marLeft w:val="0"/>
          <w:marRight w:val="0"/>
          <w:marTop w:val="0"/>
          <w:marBottom w:val="0"/>
          <w:divBdr>
            <w:top w:val="none" w:sz="0" w:space="0" w:color="auto"/>
            <w:left w:val="none" w:sz="0" w:space="0" w:color="auto"/>
            <w:bottom w:val="none" w:sz="0" w:space="0" w:color="auto"/>
            <w:right w:val="none" w:sz="0" w:space="0" w:color="auto"/>
          </w:divBdr>
        </w:div>
        <w:div w:id="278689311">
          <w:marLeft w:val="0"/>
          <w:marRight w:val="0"/>
          <w:marTop w:val="0"/>
          <w:marBottom w:val="0"/>
          <w:divBdr>
            <w:top w:val="none" w:sz="0" w:space="0" w:color="auto"/>
            <w:left w:val="none" w:sz="0" w:space="0" w:color="auto"/>
            <w:bottom w:val="none" w:sz="0" w:space="0" w:color="auto"/>
            <w:right w:val="none" w:sz="0" w:space="0" w:color="auto"/>
          </w:divBdr>
        </w:div>
        <w:div w:id="565337338">
          <w:marLeft w:val="0"/>
          <w:marRight w:val="0"/>
          <w:marTop w:val="0"/>
          <w:marBottom w:val="0"/>
          <w:divBdr>
            <w:top w:val="none" w:sz="0" w:space="0" w:color="auto"/>
            <w:left w:val="none" w:sz="0" w:space="0" w:color="auto"/>
            <w:bottom w:val="none" w:sz="0" w:space="0" w:color="auto"/>
            <w:right w:val="none" w:sz="0" w:space="0" w:color="auto"/>
          </w:divBdr>
        </w:div>
        <w:div w:id="2704357">
          <w:marLeft w:val="0"/>
          <w:marRight w:val="0"/>
          <w:marTop w:val="0"/>
          <w:marBottom w:val="0"/>
          <w:divBdr>
            <w:top w:val="none" w:sz="0" w:space="0" w:color="auto"/>
            <w:left w:val="none" w:sz="0" w:space="0" w:color="auto"/>
            <w:bottom w:val="none" w:sz="0" w:space="0" w:color="auto"/>
            <w:right w:val="none" w:sz="0" w:space="0" w:color="auto"/>
          </w:divBdr>
        </w:div>
        <w:div w:id="1370647945">
          <w:marLeft w:val="0"/>
          <w:marRight w:val="0"/>
          <w:marTop w:val="0"/>
          <w:marBottom w:val="0"/>
          <w:divBdr>
            <w:top w:val="none" w:sz="0" w:space="0" w:color="auto"/>
            <w:left w:val="none" w:sz="0" w:space="0" w:color="auto"/>
            <w:bottom w:val="none" w:sz="0" w:space="0" w:color="auto"/>
            <w:right w:val="none" w:sz="0" w:space="0" w:color="auto"/>
          </w:divBdr>
        </w:div>
        <w:div w:id="10389748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80BC82-58D2-467C-B90F-3F98542DC5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392</Words>
  <Characters>2240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Rovena Lipe</cp:lastModifiedBy>
  <cp:revision>2</cp:revision>
  <dcterms:created xsi:type="dcterms:W3CDTF">2025-01-14T10:53:00Z</dcterms:created>
  <dcterms:modified xsi:type="dcterms:W3CDTF">2025-01-14T10:53:00Z</dcterms:modified>
</cp:coreProperties>
</file>