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3E1" w:rsidRPr="00F3195B" w:rsidRDefault="004D63E1" w:rsidP="004D63E1">
      <w:pPr>
        <w:pStyle w:val="AKTI"/>
        <w:rPr>
          <w:spacing w:val="-4"/>
          <w:lang w:val="sq-AL"/>
        </w:rPr>
      </w:pPr>
      <w:r w:rsidRPr="00F3195B">
        <w:rPr>
          <w:spacing w:val="-4"/>
          <w:lang w:val="sq-AL"/>
        </w:rPr>
        <w:t>VENDIM</w:t>
      </w:r>
    </w:p>
    <w:p w:rsidR="004D63E1" w:rsidRPr="00F3195B" w:rsidRDefault="004D63E1" w:rsidP="004D63E1">
      <w:pPr>
        <w:pStyle w:val="NumriData"/>
        <w:keepNext w:val="0"/>
        <w:rPr>
          <w:spacing w:val="-4"/>
          <w:lang w:val="sq-AL"/>
        </w:rPr>
      </w:pPr>
      <w:r w:rsidRPr="00F3195B">
        <w:rPr>
          <w:spacing w:val="-4"/>
          <w:lang w:val="sq-AL"/>
        </w:rPr>
        <w:t>Nr. 576, datë 3.9.2014</w:t>
      </w:r>
    </w:p>
    <w:p w:rsidR="004D63E1" w:rsidRPr="00E96BF2" w:rsidRDefault="004D63E1" w:rsidP="004D63E1">
      <w:pPr>
        <w:pStyle w:val="Paragrafi"/>
        <w:rPr>
          <w:spacing w:val="-4"/>
          <w:sz w:val="14"/>
          <w:lang w:val="sq-AL"/>
        </w:rPr>
      </w:pPr>
    </w:p>
    <w:p w:rsidR="004D63E1" w:rsidRPr="00F3195B" w:rsidRDefault="004D63E1" w:rsidP="004D63E1">
      <w:pPr>
        <w:pStyle w:val="Titulli"/>
        <w:keepNext w:val="0"/>
        <w:rPr>
          <w:spacing w:val="-4"/>
          <w:lang w:val="sq-AL"/>
        </w:rPr>
      </w:pPr>
      <w:r w:rsidRPr="00F3195B">
        <w:rPr>
          <w:spacing w:val="-4"/>
          <w:lang w:val="sq-AL"/>
        </w:rPr>
        <w:t>PËR HEQJEN NGA FONDI PYJOR/KULLOSOR KOMBËTAR TË SIPËRFAQES MBI TË CILËN DO TË NDËRTOHEN 11 HIDROCENTRALET MBI LUMIN CURRAJ</w:t>
      </w:r>
    </w:p>
    <w:p w:rsidR="004D63E1" w:rsidRPr="00F3195B" w:rsidRDefault="004D63E1" w:rsidP="004D63E1">
      <w:pPr>
        <w:pStyle w:val="Paragrafi"/>
        <w:rPr>
          <w:spacing w:val="-4"/>
          <w:sz w:val="10"/>
          <w:lang w:val="sq-AL"/>
        </w:rPr>
      </w:pPr>
      <w:r w:rsidRPr="00F3195B">
        <w:rPr>
          <w:spacing w:val="-4"/>
          <w:sz w:val="10"/>
          <w:lang w:val="sq-AL"/>
        </w:rPr>
        <w:t xml:space="preserve"> </w:t>
      </w:r>
    </w:p>
    <w:p w:rsidR="004D63E1" w:rsidRPr="00F3195B" w:rsidRDefault="004D63E1" w:rsidP="004D63E1">
      <w:pPr>
        <w:pStyle w:val="Paragrafi"/>
        <w:rPr>
          <w:spacing w:val="-4"/>
          <w:lang w:val="sq-AL"/>
        </w:rPr>
      </w:pPr>
      <w:r w:rsidRPr="00F3195B">
        <w:rPr>
          <w:spacing w:val="-4"/>
          <w:lang w:val="sq-AL"/>
        </w:rPr>
        <w:t>Në mbështetje të nenit 100 të Kushtetutës, të shkronjës “b”, të pikës 1, të nenit 17, të ligjit nr. 9385, datë 4.5.2005, “Për pyjet dhe shërbimin pyjor”, të ndryshuar, dhe të nenit 10, të ligjit nr. 9693, datë 19.3.2007, “Për fondin kullosor”, të ndryshuar, me propozimin e ministrit të Mjedisit dhe të ministrit të Energjisë dhe Industrisë, Këshilli i Ministrave</w:t>
      </w:r>
    </w:p>
    <w:p w:rsidR="004D63E1" w:rsidRPr="00F3195B" w:rsidRDefault="004D63E1" w:rsidP="004D63E1">
      <w:pPr>
        <w:pStyle w:val="Paragrafi"/>
        <w:rPr>
          <w:spacing w:val="-4"/>
          <w:sz w:val="14"/>
          <w:lang w:val="sq-AL"/>
        </w:rPr>
      </w:pPr>
    </w:p>
    <w:p w:rsidR="004D63E1" w:rsidRPr="00F3195B" w:rsidRDefault="004D63E1" w:rsidP="004D63E1">
      <w:pPr>
        <w:pStyle w:val="VENDOSI"/>
        <w:rPr>
          <w:spacing w:val="-4"/>
          <w:lang w:val="sq-AL"/>
        </w:rPr>
      </w:pPr>
      <w:r w:rsidRPr="00F3195B">
        <w:rPr>
          <w:spacing w:val="-4"/>
          <w:lang w:val="sq-AL"/>
        </w:rPr>
        <w:t>VENDOSI:</w:t>
      </w:r>
    </w:p>
    <w:p w:rsidR="004D63E1" w:rsidRPr="00F3195B" w:rsidRDefault="004D63E1" w:rsidP="004D63E1">
      <w:pPr>
        <w:pStyle w:val="Paragrafi"/>
        <w:rPr>
          <w:spacing w:val="-4"/>
          <w:sz w:val="12"/>
          <w:lang w:val="sq-AL"/>
        </w:rPr>
      </w:pPr>
    </w:p>
    <w:p w:rsidR="004D63E1" w:rsidRPr="00F3195B" w:rsidRDefault="004D63E1" w:rsidP="004D63E1">
      <w:pPr>
        <w:pStyle w:val="Paragrafi"/>
        <w:rPr>
          <w:spacing w:val="-4"/>
          <w:lang w:val="sq-AL"/>
        </w:rPr>
      </w:pPr>
      <w:r w:rsidRPr="00F3195B">
        <w:rPr>
          <w:spacing w:val="-4"/>
          <w:lang w:val="sq-AL"/>
        </w:rPr>
        <w:t>1. Heqjen nga Fondi Pyjor dhe Kadastra Kombëtare e Pyjeve dhe Kullotave të sipërfaqes prej 52.525 (pesëdhjetë e dy pikë pesëqind e njëzet e pesë) ha, e cila është pjesë e Fondit Pyjor/Kullosor Kombëtar në ekonomitë pyjore “Curraj i Epërm” dhe “Nikaj - Mërtur 1”, sipas tabelës dhe hartës përkatëse që i bashkëlidhen këtij vendimi.</w:t>
      </w:r>
    </w:p>
    <w:p w:rsidR="004D63E1" w:rsidRPr="00F3195B" w:rsidRDefault="004D63E1" w:rsidP="004D63E1">
      <w:pPr>
        <w:pStyle w:val="Paragrafi"/>
        <w:rPr>
          <w:spacing w:val="-4"/>
          <w:lang w:val="sq-AL"/>
        </w:rPr>
      </w:pPr>
      <w:r w:rsidRPr="00F3195B">
        <w:rPr>
          <w:spacing w:val="-4"/>
          <w:lang w:val="sq-AL"/>
        </w:rPr>
        <w:t>2. Sipërfaqja e sipërpërmendur kalon në administrim të Ministrisë së Energjisë dhe Industrisë, pronësi publike.</w:t>
      </w:r>
    </w:p>
    <w:p w:rsidR="004D63E1" w:rsidRPr="00F3195B" w:rsidRDefault="004D63E1" w:rsidP="004D63E1">
      <w:pPr>
        <w:pStyle w:val="Paragrafi"/>
        <w:rPr>
          <w:spacing w:val="-4"/>
          <w:lang w:val="sq-AL"/>
        </w:rPr>
      </w:pPr>
      <w:r w:rsidRPr="00F3195B">
        <w:rPr>
          <w:spacing w:val="-4"/>
          <w:lang w:val="sq-AL"/>
        </w:rPr>
        <w:t>3. Zyra e Regjistrimit të Pasurive të Paluajtshme, pasi të përcaktohen në terren dhe në hartë kufijtë e rinj të Fondit Pyjor/Kullosor Kombëtar, që rezultojnë nga heqja e sipërfaqeve të këtyre ngastrave sipas pikës 1, të këtij vendimi, bën çregjistrimin e saj nga kategoria “Tokë e zënë, pyll/kullotë,” dhe e regjistron në kategorinë “Tokë e zënë, objekt për ndërtimin e hidrocentraleve mbi lumin Curraj”, sipas kushteve të projektit të miratuar dhe planimetrisë bashkëlidhur, në përputhje me kërkesat e akteve ligjore dhe nënligjore në fuqi për Fondin Pyjor/Kullosor Kombëtar.</w:t>
      </w:r>
    </w:p>
    <w:p w:rsidR="004D63E1" w:rsidRPr="00F3195B" w:rsidRDefault="004D63E1" w:rsidP="004D63E1">
      <w:pPr>
        <w:pStyle w:val="Paragrafi"/>
        <w:rPr>
          <w:spacing w:val="-4"/>
          <w:lang w:val="sq-AL"/>
        </w:rPr>
      </w:pPr>
      <w:r w:rsidRPr="00F3195B">
        <w:rPr>
          <w:spacing w:val="-4"/>
          <w:lang w:val="sq-AL"/>
        </w:rPr>
        <w:t>4. Bashkimi i shoqërive “Telemenia Alb”, sh.a., &amp; “F.K.Generators Equipment”, L.T.D e “Melta Inter Industries”, L.T.D.”, si koncesionar, të paguajë detyrimet për sipërfaqen që hiqet nga Fondi Pyjor/Kullosor Kombëtar, sipas tarifave të miratuara me vendimin nr.391, datë 21.6.2006, të Këshillit të Ministrave, “Për përcaktimin e tarifave në sektorin e pyjeve dhe kullotave”, të ndryshuar.</w:t>
      </w:r>
    </w:p>
    <w:p w:rsidR="004D63E1" w:rsidRPr="00F3195B" w:rsidRDefault="004D63E1" w:rsidP="004D63E1">
      <w:pPr>
        <w:pStyle w:val="Paragrafi"/>
        <w:rPr>
          <w:spacing w:val="-4"/>
          <w:lang w:val="sq-AL"/>
        </w:rPr>
      </w:pPr>
      <w:r w:rsidRPr="00F3195B">
        <w:rPr>
          <w:spacing w:val="-4"/>
          <w:lang w:val="sq-AL"/>
        </w:rPr>
        <w:t>5. Me hyrjen në fuqi të këtij vendimi, koncesionari, brenda 5 (pesë) viteve, të pyllëzojë me fondet e veta 53 (pesëdhjetë e tre) ha fond pyjor, në ngastrat e përcaktuara nga drejtoria përkatëse e shërbimit pyjor në bashkëpunim me njësinë e qeverisjes vendore. Mënyra e pyllëzimit dhe grafiku i punimeve caktohen nga drejtoria përkatëse e shërbimit pyjor, e cila ndjek punimet deri në marrjen në dorëzim me procesverbal të sipërfaqes së pyllëzuar, sipas marrëveshjes që do të lidhet mes tyre.</w:t>
      </w:r>
    </w:p>
    <w:p w:rsidR="004D63E1" w:rsidRPr="00F3195B" w:rsidRDefault="004D63E1" w:rsidP="00CF33DD">
      <w:pPr>
        <w:pStyle w:val="Paragrafi"/>
        <w:rPr>
          <w:spacing w:val="-4"/>
          <w:lang w:val="sq-AL"/>
        </w:rPr>
      </w:pPr>
      <w:r w:rsidRPr="00F3195B">
        <w:rPr>
          <w:spacing w:val="-4"/>
          <w:lang w:val="sq-AL"/>
        </w:rPr>
        <w:t>6. Koncesionari të përmbushë detyrimet e përcaktuara në lejet mjedisore në zbatim të planit të rehabilitimit të sipërfaqes.</w:t>
      </w:r>
      <w:bookmarkStart w:id="0" w:name="_GoBack"/>
      <w:bookmarkEnd w:id="0"/>
    </w:p>
    <w:p w:rsidR="004D63E1" w:rsidRPr="00F3195B" w:rsidRDefault="004D63E1" w:rsidP="004D63E1">
      <w:pPr>
        <w:pStyle w:val="Paragrafi"/>
        <w:rPr>
          <w:spacing w:val="-4"/>
          <w:lang w:val="sq-AL"/>
        </w:rPr>
      </w:pPr>
      <w:r w:rsidRPr="00F3195B">
        <w:rPr>
          <w:spacing w:val="-4"/>
          <w:lang w:val="sq-AL"/>
        </w:rPr>
        <w:t>7. Ngarkohen Ministria e Mjedisit, Ministria e Energjisë dhe Industrisë, kryeregjistruesi i Pasurive të Paluajtshme të Republikës së Shqipërisë dhe njësia e qeverisjes vendore për zbatimin e këtij vendimi.</w:t>
      </w:r>
    </w:p>
    <w:p w:rsidR="004D63E1" w:rsidRPr="00F3195B" w:rsidRDefault="004D63E1" w:rsidP="004D63E1">
      <w:pPr>
        <w:pStyle w:val="Paragrafi"/>
        <w:rPr>
          <w:spacing w:val="-4"/>
          <w:lang w:val="sq-AL"/>
        </w:rPr>
      </w:pPr>
      <w:r w:rsidRPr="00F3195B">
        <w:rPr>
          <w:spacing w:val="-4"/>
          <w:lang w:val="sq-AL"/>
        </w:rPr>
        <w:t>Ky vendim hyn në fuqi pas botimit në Fletoren Zyrtare.</w:t>
      </w:r>
    </w:p>
    <w:p w:rsidR="004D63E1" w:rsidRPr="00131718" w:rsidRDefault="004D63E1" w:rsidP="004D63E1">
      <w:pPr>
        <w:pStyle w:val="AUTORITETI"/>
        <w:rPr>
          <w:lang w:val="sq-AL"/>
        </w:rPr>
      </w:pPr>
      <w:r w:rsidRPr="00131718">
        <w:rPr>
          <w:lang w:val="sq-AL"/>
        </w:rPr>
        <w:t>KRYEMINISTRI</w:t>
      </w:r>
    </w:p>
    <w:p w:rsidR="004D63E1" w:rsidRDefault="004D63E1" w:rsidP="004D63E1">
      <w:pPr>
        <w:pStyle w:val="AutoritetiEmer"/>
        <w:rPr>
          <w:lang w:val="sq-AL"/>
        </w:rPr>
      </w:pPr>
      <w:r w:rsidRPr="00131718">
        <w:rPr>
          <w:lang w:val="sq-AL"/>
        </w:rPr>
        <w:t>Edi  Rama</w:t>
      </w:r>
    </w:p>
    <w:p w:rsidR="004D63E1" w:rsidRDefault="004D63E1" w:rsidP="004D63E1">
      <w:pPr>
        <w:pStyle w:val="AutoritetiEmer"/>
        <w:rPr>
          <w:lang w:val="sq-AL"/>
        </w:rPr>
      </w:pPr>
    </w:p>
    <w:p w:rsidR="00CF33DD" w:rsidRDefault="00CF33DD" w:rsidP="004D63E1">
      <w:pPr>
        <w:pStyle w:val="AutoritetiEmer"/>
        <w:rPr>
          <w:lang w:val="sq-AL"/>
        </w:rPr>
        <w:sectPr w:rsidR="00CF33DD" w:rsidSect="00CF33DD">
          <w:pgSz w:w="11907" w:h="16840" w:code="9"/>
          <w:pgMar w:top="1418" w:right="1418" w:bottom="1418" w:left="1418" w:header="851" w:footer="851" w:gutter="0"/>
          <w:cols w:space="454"/>
          <w:docGrid w:linePitch="360"/>
        </w:sectPr>
      </w:pPr>
    </w:p>
    <w:p w:rsidR="004D63E1" w:rsidRDefault="004D63E1" w:rsidP="004D63E1">
      <w:pPr>
        <w:pStyle w:val="AutoritetiEmer"/>
        <w:rPr>
          <w:lang w:val="sq-AL"/>
        </w:rPr>
      </w:pPr>
    </w:p>
    <w:p w:rsidR="004D63E1" w:rsidRDefault="004D63E1" w:rsidP="004D63E1">
      <w:pPr>
        <w:pStyle w:val="AutoritetiEmer"/>
        <w:rPr>
          <w:lang w:val="sq-AL"/>
        </w:rPr>
      </w:pPr>
    </w:p>
    <w:p w:rsidR="004D63E1" w:rsidRDefault="004D63E1" w:rsidP="004D63E1">
      <w:pPr>
        <w:pStyle w:val="AutoritetiEmer"/>
        <w:rPr>
          <w:lang w:val="sq-AL"/>
        </w:rPr>
      </w:pPr>
    </w:p>
    <w:p w:rsidR="004D63E1" w:rsidRDefault="004D63E1" w:rsidP="004D63E1">
      <w:pPr>
        <w:pStyle w:val="AutoritetiEmer"/>
        <w:rPr>
          <w:lang w:val="sq-AL"/>
        </w:rPr>
      </w:pPr>
    </w:p>
    <w:p w:rsidR="004D63E1" w:rsidRDefault="004D63E1" w:rsidP="004D63E1">
      <w:pPr>
        <w:pStyle w:val="AutoritetiEmer"/>
        <w:rPr>
          <w:lang w:val="sq-AL"/>
        </w:rPr>
      </w:pPr>
    </w:p>
    <w:p w:rsidR="004D63E1" w:rsidRDefault="004D63E1" w:rsidP="004D63E1">
      <w:pPr>
        <w:pStyle w:val="AutoritetiEmer"/>
        <w:rPr>
          <w:lang w:val="sq-AL"/>
        </w:rPr>
      </w:pPr>
    </w:p>
    <w:p w:rsidR="004D63E1" w:rsidRPr="00131718" w:rsidRDefault="004D63E1" w:rsidP="004D63E1">
      <w:pPr>
        <w:pStyle w:val="AutoritetiEmer"/>
        <w:rPr>
          <w:lang w:val="sq-AL"/>
        </w:rPr>
      </w:pPr>
      <w:r w:rsidRPr="00131718">
        <w:rPr>
          <w:lang w:val="sq-AL"/>
        </w:rPr>
        <w:t xml:space="preserve"> </w:t>
      </w:r>
    </w:p>
    <w:p w:rsidR="004D63E1" w:rsidRDefault="004D63E1" w:rsidP="004D63E1">
      <w:pPr>
        <w:pStyle w:val="Paragrafi"/>
        <w:rPr>
          <w:lang w:val="sq-AL"/>
        </w:rPr>
        <w:sectPr w:rsidR="004D63E1" w:rsidSect="00CF33DD">
          <w:type w:val="continuous"/>
          <w:pgSz w:w="11907" w:h="16840" w:code="9"/>
          <w:pgMar w:top="720" w:right="1134" w:bottom="720" w:left="1134" w:header="851" w:footer="851" w:gutter="0"/>
          <w:cols w:num="2" w:space="454"/>
          <w:docGrid w:linePitch="360"/>
        </w:sectPr>
      </w:pPr>
    </w:p>
    <w:p w:rsidR="004D63E1" w:rsidRPr="00131718" w:rsidRDefault="004D63E1" w:rsidP="004D63E1">
      <w:pPr>
        <w:pStyle w:val="Paragrafi"/>
        <w:rPr>
          <w:lang w:val="sq-AL"/>
        </w:rPr>
      </w:pPr>
    </w:p>
    <w:p w:rsidR="004D63E1" w:rsidRDefault="004D63E1" w:rsidP="004D63E1">
      <w:pPr>
        <w:pStyle w:val="Titull-Titull"/>
        <w:rPr>
          <w:lang w:val="sq-AL"/>
        </w:rPr>
      </w:pPr>
      <w:r w:rsidRPr="00131718">
        <w:rPr>
          <w:lang w:val="sq-AL"/>
        </w:rPr>
        <w:t xml:space="preserve">LISTA E NGASTRAVE DHE NËNNGASTRAVE </w:t>
      </w:r>
    </w:p>
    <w:p w:rsidR="004D63E1" w:rsidRPr="00131718" w:rsidRDefault="004D63E1" w:rsidP="004D63E1">
      <w:pPr>
        <w:pStyle w:val="Titull-Titull"/>
        <w:rPr>
          <w:lang w:val="sq-AL"/>
        </w:rPr>
      </w:pPr>
      <w:r w:rsidRPr="00131718">
        <w:rPr>
          <w:lang w:val="sq-AL"/>
        </w:rPr>
        <w:t>QË DO TË HIQEN NGA FONDI PYJOR PËR NDËRTIMIN E KOMPLEKSIT HIDROENERGJITIK CURRAJ TË SHOQËRISË" TELEMENIA CURRAJ"</w:t>
      </w:r>
    </w:p>
    <w:tbl>
      <w:tblPr>
        <w:tblW w:w="5855" w:type="dxa"/>
        <w:jc w:val="center"/>
        <w:tblLook w:val="04A0" w:firstRow="1" w:lastRow="0" w:firstColumn="1" w:lastColumn="0" w:noHBand="0" w:noVBand="1"/>
      </w:tblPr>
      <w:tblGrid>
        <w:gridCol w:w="611"/>
        <w:gridCol w:w="2634"/>
        <w:gridCol w:w="1112"/>
        <w:gridCol w:w="1498"/>
      </w:tblGrid>
      <w:tr w:rsidR="004D63E1" w:rsidRPr="00131718" w:rsidTr="00547C64">
        <w:trPr>
          <w:trHeight w:val="70"/>
          <w:jc w:val="center"/>
        </w:trPr>
        <w:tc>
          <w:tcPr>
            <w:tcW w:w="611" w:type="dxa"/>
            <w:tcBorders>
              <w:top w:val="nil"/>
              <w:left w:val="nil"/>
              <w:bottom w:val="nil"/>
              <w:right w:val="nil"/>
            </w:tcBorders>
            <w:shd w:val="clear" w:color="auto" w:fill="auto"/>
            <w:noWrap/>
            <w:vAlign w:val="bottom"/>
            <w:hideMark/>
          </w:tcPr>
          <w:p w:rsidR="004D63E1" w:rsidRPr="00131718" w:rsidRDefault="004D63E1" w:rsidP="00547C64">
            <w:pPr>
              <w:widowControl w:val="0"/>
              <w:spacing w:after="0" w:line="240" w:lineRule="auto"/>
              <w:ind w:firstLine="0"/>
              <w:jc w:val="left"/>
              <w:rPr>
                <w:rFonts w:ascii="Garramond" w:eastAsia="Times New Roman" w:hAnsi="Garramond"/>
                <w:color w:val="000000"/>
                <w:sz w:val="18"/>
                <w:szCs w:val="18"/>
                <w:lang w:val="sq-AL"/>
              </w:rPr>
            </w:pPr>
          </w:p>
        </w:tc>
        <w:tc>
          <w:tcPr>
            <w:tcW w:w="2634" w:type="dxa"/>
            <w:tcBorders>
              <w:top w:val="nil"/>
              <w:left w:val="nil"/>
              <w:bottom w:val="nil"/>
              <w:right w:val="nil"/>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p>
        </w:tc>
        <w:tc>
          <w:tcPr>
            <w:tcW w:w="1112" w:type="dxa"/>
            <w:tcBorders>
              <w:top w:val="nil"/>
              <w:left w:val="nil"/>
              <w:bottom w:val="nil"/>
              <w:right w:val="nil"/>
            </w:tcBorders>
            <w:shd w:val="clear" w:color="auto" w:fill="auto"/>
            <w:noWrap/>
            <w:vAlign w:val="bottom"/>
            <w:hideMark/>
          </w:tcPr>
          <w:p w:rsidR="004D63E1" w:rsidRPr="00131718" w:rsidRDefault="004D63E1" w:rsidP="00547C64">
            <w:pPr>
              <w:widowControl w:val="0"/>
              <w:spacing w:after="0" w:line="240" w:lineRule="auto"/>
              <w:ind w:firstLine="0"/>
              <w:jc w:val="left"/>
              <w:rPr>
                <w:rFonts w:ascii="Garramond" w:eastAsia="Times New Roman" w:hAnsi="Garramond"/>
                <w:color w:val="000000"/>
                <w:sz w:val="18"/>
                <w:szCs w:val="18"/>
                <w:lang w:val="sq-AL"/>
              </w:rPr>
            </w:pPr>
          </w:p>
        </w:tc>
        <w:tc>
          <w:tcPr>
            <w:tcW w:w="1498" w:type="dxa"/>
            <w:tcBorders>
              <w:top w:val="nil"/>
              <w:left w:val="nil"/>
              <w:bottom w:val="nil"/>
              <w:right w:val="nil"/>
            </w:tcBorders>
            <w:shd w:val="clear" w:color="auto" w:fill="auto"/>
            <w:noWrap/>
            <w:vAlign w:val="bottom"/>
            <w:hideMark/>
          </w:tcPr>
          <w:p w:rsidR="004D63E1" w:rsidRPr="00131718" w:rsidRDefault="004D63E1" w:rsidP="00547C64">
            <w:pPr>
              <w:widowControl w:val="0"/>
              <w:spacing w:after="0" w:line="240" w:lineRule="auto"/>
              <w:ind w:firstLine="0"/>
              <w:jc w:val="left"/>
              <w:rPr>
                <w:rFonts w:ascii="Garramond" w:eastAsia="Times New Roman" w:hAnsi="Garramond"/>
                <w:color w:val="000000"/>
                <w:sz w:val="18"/>
                <w:szCs w:val="18"/>
                <w:lang w:val="sq-AL"/>
              </w:rPr>
            </w:pPr>
          </w:p>
        </w:tc>
      </w:tr>
      <w:tr w:rsidR="004D63E1" w:rsidRPr="00131718" w:rsidTr="00547C64">
        <w:trPr>
          <w:trHeight w:val="180"/>
          <w:jc w:val="center"/>
        </w:trPr>
        <w:tc>
          <w:tcPr>
            <w:tcW w:w="3245" w:type="dxa"/>
            <w:gridSpan w:val="2"/>
            <w:tcBorders>
              <w:top w:val="nil"/>
              <w:left w:val="nil"/>
              <w:bottom w:val="nil"/>
              <w:right w:val="nil"/>
            </w:tcBorders>
            <w:shd w:val="clear" w:color="auto" w:fill="auto"/>
            <w:noWrap/>
            <w:vAlign w:val="bottom"/>
            <w:hideMark/>
          </w:tcPr>
          <w:p w:rsidR="004D63E1" w:rsidRPr="00131718" w:rsidRDefault="004D63E1" w:rsidP="00547C64">
            <w:pPr>
              <w:widowControl w:val="0"/>
              <w:spacing w:after="0" w:line="240" w:lineRule="auto"/>
              <w:ind w:firstLine="0"/>
              <w:jc w:val="lef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QARKU KUKËS</w:t>
            </w:r>
          </w:p>
        </w:tc>
        <w:tc>
          <w:tcPr>
            <w:tcW w:w="1112" w:type="dxa"/>
            <w:tcBorders>
              <w:top w:val="nil"/>
              <w:left w:val="nil"/>
              <w:bottom w:val="nil"/>
              <w:right w:val="nil"/>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p>
        </w:tc>
        <w:tc>
          <w:tcPr>
            <w:tcW w:w="1498" w:type="dxa"/>
            <w:tcBorders>
              <w:top w:val="nil"/>
              <w:left w:val="nil"/>
              <w:bottom w:val="nil"/>
              <w:right w:val="nil"/>
            </w:tcBorders>
            <w:shd w:val="clear" w:color="auto" w:fill="auto"/>
            <w:noWrap/>
            <w:vAlign w:val="bottom"/>
            <w:hideMark/>
          </w:tcPr>
          <w:p w:rsidR="004D63E1" w:rsidRPr="00131718" w:rsidRDefault="004D63E1" w:rsidP="00547C64">
            <w:pPr>
              <w:widowControl w:val="0"/>
              <w:spacing w:after="0" w:line="240" w:lineRule="auto"/>
              <w:ind w:firstLine="0"/>
              <w:jc w:val="left"/>
              <w:rPr>
                <w:rFonts w:ascii="Garramond" w:eastAsia="Times New Roman" w:hAnsi="Garramond"/>
                <w:color w:val="000000"/>
                <w:sz w:val="18"/>
                <w:szCs w:val="18"/>
                <w:lang w:val="sq-AL"/>
              </w:rPr>
            </w:pPr>
          </w:p>
        </w:tc>
      </w:tr>
      <w:tr w:rsidR="004D63E1" w:rsidRPr="00131718" w:rsidTr="00547C64">
        <w:trPr>
          <w:trHeight w:val="180"/>
          <w:jc w:val="center"/>
        </w:trPr>
        <w:tc>
          <w:tcPr>
            <w:tcW w:w="611" w:type="dxa"/>
            <w:tcBorders>
              <w:top w:val="nil"/>
              <w:left w:val="nil"/>
              <w:bottom w:val="nil"/>
              <w:right w:val="nil"/>
            </w:tcBorders>
            <w:shd w:val="clear" w:color="auto" w:fill="auto"/>
            <w:noWrap/>
            <w:vAlign w:val="bottom"/>
            <w:hideMark/>
          </w:tcPr>
          <w:p w:rsidR="004D63E1" w:rsidRPr="00131718" w:rsidRDefault="004D63E1" w:rsidP="00547C64">
            <w:pPr>
              <w:widowControl w:val="0"/>
              <w:spacing w:after="0" w:line="240" w:lineRule="auto"/>
              <w:ind w:firstLine="0"/>
              <w:jc w:val="left"/>
              <w:rPr>
                <w:rFonts w:ascii="Garramond" w:eastAsia="Times New Roman" w:hAnsi="Garramond"/>
                <w:color w:val="000000"/>
                <w:sz w:val="18"/>
                <w:szCs w:val="18"/>
                <w:lang w:val="sq-AL"/>
              </w:rPr>
            </w:pPr>
          </w:p>
        </w:tc>
        <w:tc>
          <w:tcPr>
            <w:tcW w:w="2634" w:type="dxa"/>
            <w:tcBorders>
              <w:top w:val="nil"/>
              <w:left w:val="nil"/>
              <w:bottom w:val="nil"/>
              <w:right w:val="nil"/>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p>
        </w:tc>
        <w:tc>
          <w:tcPr>
            <w:tcW w:w="1112" w:type="dxa"/>
            <w:tcBorders>
              <w:top w:val="nil"/>
              <w:left w:val="nil"/>
              <w:bottom w:val="nil"/>
              <w:right w:val="nil"/>
            </w:tcBorders>
            <w:shd w:val="clear" w:color="auto" w:fill="auto"/>
            <w:noWrap/>
            <w:vAlign w:val="bottom"/>
            <w:hideMark/>
          </w:tcPr>
          <w:p w:rsidR="004D63E1" w:rsidRPr="00131718" w:rsidRDefault="004D63E1" w:rsidP="00547C64">
            <w:pPr>
              <w:widowControl w:val="0"/>
              <w:spacing w:after="0" w:line="240" w:lineRule="auto"/>
              <w:ind w:firstLine="0"/>
              <w:jc w:val="left"/>
              <w:rPr>
                <w:rFonts w:ascii="Garramond" w:eastAsia="Times New Roman" w:hAnsi="Garramond"/>
                <w:color w:val="000000"/>
                <w:sz w:val="18"/>
                <w:szCs w:val="18"/>
                <w:lang w:val="sq-AL"/>
              </w:rPr>
            </w:pPr>
          </w:p>
        </w:tc>
        <w:tc>
          <w:tcPr>
            <w:tcW w:w="1498" w:type="dxa"/>
            <w:tcBorders>
              <w:top w:val="nil"/>
              <w:left w:val="nil"/>
              <w:bottom w:val="nil"/>
              <w:right w:val="nil"/>
            </w:tcBorders>
            <w:shd w:val="clear" w:color="auto" w:fill="auto"/>
            <w:noWrap/>
            <w:vAlign w:val="bottom"/>
            <w:hideMark/>
          </w:tcPr>
          <w:p w:rsidR="004D63E1" w:rsidRPr="00131718" w:rsidRDefault="004D63E1" w:rsidP="00547C64">
            <w:pPr>
              <w:widowControl w:val="0"/>
              <w:spacing w:after="0" w:line="240" w:lineRule="auto"/>
              <w:ind w:firstLine="0"/>
              <w:jc w:val="left"/>
              <w:rPr>
                <w:rFonts w:ascii="Garramond" w:eastAsia="Times New Roman" w:hAnsi="Garramond"/>
                <w:color w:val="000000"/>
                <w:sz w:val="18"/>
                <w:szCs w:val="18"/>
                <w:lang w:val="sq-AL"/>
              </w:rPr>
            </w:pPr>
          </w:p>
        </w:tc>
      </w:tr>
      <w:tr w:rsidR="004D63E1" w:rsidRPr="00131718" w:rsidTr="00547C64">
        <w:trPr>
          <w:trHeight w:val="180"/>
          <w:jc w:val="center"/>
        </w:trPr>
        <w:tc>
          <w:tcPr>
            <w:tcW w:w="611" w:type="dxa"/>
            <w:tcBorders>
              <w:top w:val="single" w:sz="8" w:space="0" w:color="auto"/>
              <w:left w:val="single" w:sz="8" w:space="0" w:color="auto"/>
              <w:bottom w:val="single" w:sz="4" w:space="0" w:color="auto"/>
              <w:right w:val="single" w:sz="4" w:space="0" w:color="auto"/>
            </w:tcBorders>
            <w:shd w:val="clear" w:color="auto" w:fill="auto"/>
            <w:hideMark/>
          </w:tcPr>
          <w:p w:rsidR="004D63E1" w:rsidRPr="008062A7" w:rsidRDefault="004D63E1" w:rsidP="00547C64">
            <w:pPr>
              <w:widowControl w:val="0"/>
              <w:spacing w:after="0" w:line="240" w:lineRule="auto"/>
              <w:ind w:firstLine="0"/>
              <w:jc w:val="center"/>
              <w:rPr>
                <w:rFonts w:ascii="Garramond" w:eastAsia="Times New Roman" w:hAnsi="Garramond"/>
                <w:b/>
                <w:iCs/>
                <w:color w:val="000000"/>
                <w:sz w:val="18"/>
                <w:szCs w:val="18"/>
                <w:lang w:val="sq-AL"/>
              </w:rPr>
            </w:pPr>
            <w:r w:rsidRPr="008062A7">
              <w:rPr>
                <w:rFonts w:ascii="Garramond" w:eastAsia="Times New Roman" w:hAnsi="Garramond"/>
                <w:b/>
                <w:iCs/>
                <w:color w:val="000000"/>
                <w:sz w:val="18"/>
                <w:szCs w:val="18"/>
                <w:lang w:val="sq-AL"/>
              </w:rPr>
              <w:t xml:space="preserve">Nr. </w:t>
            </w:r>
          </w:p>
        </w:tc>
        <w:tc>
          <w:tcPr>
            <w:tcW w:w="2634" w:type="dxa"/>
            <w:tcBorders>
              <w:top w:val="single" w:sz="8" w:space="0" w:color="auto"/>
              <w:left w:val="nil"/>
              <w:bottom w:val="single" w:sz="4" w:space="0" w:color="auto"/>
              <w:right w:val="single" w:sz="4" w:space="0" w:color="auto"/>
            </w:tcBorders>
            <w:shd w:val="clear" w:color="auto" w:fill="auto"/>
            <w:hideMark/>
          </w:tcPr>
          <w:p w:rsidR="004D63E1" w:rsidRPr="008062A7" w:rsidRDefault="004D63E1" w:rsidP="00547C64">
            <w:pPr>
              <w:widowControl w:val="0"/>
              <w:spacing w:after="0" w:line="240" w:lineRule="auto"/>
              <w:ind w:firstLine="0"/>
              <w:jc w:val="center"/>
              <w:rPr>
                <w:rFonts w:ascii="Garramond" w:eastAsia="Times New Roman" w:hAnsi="Garramond"/>
                <w:b/>
                <w:iCs/>
                <w:color w:val="000000"/>
                <w:sz w:val="18"/>
                <w:szCs w:val="18"/>
                <w:lang w:val="sq-AL"/>
              </w:rPr>
            </w:pPr>
            <w:r w:rsidRPr="008062A7">
              <w:rPr>
                <w:rFonts w:ascii="Garramond" w:eastAsia="Times New Roman" w:hAnsi="Garramond"/>
                <w:b/>
                <w:iCs/>
                <w:color w:val="000000"/>
                <w:sz w:val="18"/>
                <w:szCs w:val="18"/>
                <w:lang w:val="sq-AL"/>
              </w:rPr>
              <w:t>Ekonomia pyjore/kullosore</w:t>
            </w:r>
          </w:p>
        </w:tc>
        <w:tc>
          <w:tcPr>
            <w:tcW w:w="1112" w:type="dxa"/>
            <w:tcBorders>
              <w:top w:val="single" w:sz="8" w:space="0" w:color="auto"/>
              <w:left w:val="nil"/>
              <w:bottom w:val="single" w:sz="4" w:space="0" w:color="auto"/>
              <w:right w:val="single" w:sz="4" w:space="0" w:color="auto"/>
            </w:tcBorders>
            <w:shd w:val="clear" w:color="auto" w:fill="auto"/>
            <w:hideMark/>
          </w:tcPr>
          <w:p w:rsidR="004D63E1" w:rsidRPr="008062A7" w:rsidRDefault="004D63E1" w:rsidP="00547C64">
            <w:pPr>
              <w:widowControl w:val="0"/>
              <w:spacing w:after="0" w:line="240" w:lineRule="auto"/>
              <w:ind w:firstLine="0"/>
              <w:jc w:val="center"/>
              <w:rPr>
                <w:rFonts w:ascii="Garramond" w:eastAsia="Times New Roman" w:hAnsi="Garramond"/>
                <w:b/>
                <w:iCs/>
                <w:color w:val="000000"/>
                <w:sz w:val="18"/>
                <w:szCs w:val="18"/>
                <w:lang w:val="sq-AL"/>
              </w:rPr>
            </w:pPr>
            <w:r w:rsidRPr="008062A7">
              <w:rPr>
                <w:rFonts w:ascii="Garramond" w:eastAsia="Times New Roman" w:hAnsi="Garramond"/>
                <w:b/>
                <w:iCs/>
                <w:color w:val="000000"/>
                <w:sz w:val="18"/>
                <w:szCs w:val="18"/>
                <w:lang w:val="sq-AL"/>
              </w:rPr>
              <w:t xml:space="preserve">Ngastra </w:t>
            </w:r>
          </w:p>
        </w:tc>
        <w:tc>
          <w:tcPr>
            <w:tcW w:w="1498" w:type="dxa"/>
            <w:tcBorders>
              <w:top w:val="single" w:sz="8" w:space="0" w:color="auto"/>
              <w:left w:val="nil"/>
              <w:bottom w:val="single" w:sz="4" w:space="0" w:color="auto"/>
              <w:right w:val="single" w:sz="8" w:space="0" w:color="auto"/>
            </w:tcBorders>
            <w:shd w:val="clear" w:color="auto" w:fill="auto"/>
            <w:hideMark/>
          </w:tcPr>
          <w:p w:rsidR="004D63E1" w:rsidRPr="008062A7" w:rsidRDefault="004D63E1" w:rsidP="00547C64">
            <w:pPr>
              <w:widowControl w:val="0"/>
              <w:spacing w:after="0" w:line="240" w:lineRule="auto"/>
              <w:ind w:firstLine="0"/>
              <w:jc w:val="center"/>
              <w:rPr>
                <w:rFonts w:ascii="Garramond" w:eastAsia="Times New Roman" w:hAnsi="Garramond"/>
                <w:b/>
                <w:iCs/>
                <w:color w:val="000000"/>
                <w:sz w:val="18"/>
                <w:szCs w:val="18"/>
                <w:lang w:val="sq-AL"/>
              </w:rPr>
            </w:pPr>
            <w:r w:rsidRPr="008062A7">
              <w:rPr>
                <w:rFonts w:ascii="Garramond" w:eastAsia="Times New Roman" w:hAnsi="Garramond"/>
                <w:b/>
                <w:iCs/>
                <w:color w:val="000000"/>
                <w:sz w:val="18"/>
                <w:szCs w:val="18"/>
                <w:lang w:val="sq-AL"/>
              </w:rPr>
              <w:t>Sip. që hiqen  (ha)</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Ek.</w:t>
            </w:r>
            <w:r>
              <w:rPr>
                <w:rFonts w:ascii="Garramond" w:eastAsia="Times New Roman" w:hAnsi="Garramond"/>
                <w:color w:val="000000"/>
                <w:sz w:val="18"/>
                <w:szCs w:val="18"/>
                <w:lang w:val="sq-AL"/>
              </w:rPr>
              <w:t>p</w:t>
            </w:r>
            <w:r w:rsidRPr="00131718">
              <w:rPr>
                <w:rFonts w:ascii="Garramond" w:eastAsia="Times New Roman" w:hAnsi="Garramond"/>
                <w:color w:val="000000"/>
                <w:sz w:val="18"/>
                <w:szCs w:val="18"/>
                <w:lang w:val="sq-AL"/>
              </w:rPr>
              <w:t xml:space="preserve">yjore Curraj i Epërm </w:t>
            </w:r>
          </w:p>
        </w:tc>
        <w:tc>
          <w:tcPr>
            <w:tcW w:w="1112" w:type="dxa"/>
            <w:tcBorders>
              <w:top w:val="single" w:sz="8" w:space="0" w:color="auto"/>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8a</w:t>
            </w:r>
          </w:p>
        </w:tc>
        <w:tc>
          <w:tcPr>
            <w:tcW w:w="1498" w:type="dxa"/>
            <w:tcBorders>
              <w:top w:val="single" w:sz="8" w:space="0" w:color="auto"/>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0.5729</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0.0731</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18a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0.055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27a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0.0205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28a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0.066</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31a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0.057</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32a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0.025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33a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0.1345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37a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1.4859</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41a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1.0245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42a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0.6123</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12</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43a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0.2961</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44a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0.6975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45a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0.2542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15</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46a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1.0525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47a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0.6681</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17</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48b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0.0884</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18</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49b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0.2372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19</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53a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0.1411</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20</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54a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0.5332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21</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55a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1.0825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22</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56b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0.288</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23</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58a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0.8273</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24</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59a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0.1746</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25</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63</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0.1923</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26</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96a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1.822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27</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97a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0.3886</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28</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97b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0.1479</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29</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102a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0.5054</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30</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102b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0.0907</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31</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155b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0.5221</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32</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164a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0.5372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33</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164b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0.3672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34</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164c</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0.0792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35</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166b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0.4594</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36</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168a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0.2781</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37</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Ek.</w:t>
            </w:r>
            <w:r>
              <w:rPr>
                <w:rFonts w:ascii="Garramond" w:eastAsia="Times New Roman" w:hAnsi="Garramond"/>
                <w:color w:val="000000"/>
                <w:sz w:val="18"/>
                <w:szCs w:val="18"/>
                <w:lang w:val="sq-AL"/>
              </w:rPr>
              <w:t>p</w:t>
            </w:r>
            <w:r w:rsidRPr="00131718">
              <w:rPr>
                <w:rFonts w:ascii="Garramond" w:eastAsia="Times New Roman" w:hAnsi="Garramond"/>
                <w:color w:val="000000"/>
                <w:sz w:val="18"/>
                <w:szCs w:val="18"/>
                <w:lang w:val="sq-AL"/>
              </w:rPr>
              <w:t>yjore Nikaj Mertur 1</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98a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0.7156</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38</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98b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1.2335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39</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4"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98c</w:t>
            </w:r>
          </w:p>
        </w:tc>
        <w:tc>
          <w:tcPr>
            <w:tcW w:w="1498" w:type="dxa"/>
            <w:tcBorders>
              <w:top w:val="nil"/>
              <w:left w:val="nil"/>
              <w:bottom w:val="single" w:sz="4"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0.3124</w:t>
            </w:r>
          </w:p>
        </w:tc>
      </w:tr>
      <w:tr w:rsidR="004D63E1" w:rsidRPr="00131718" w:rsidTr="00547C64">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40</w:t>
            </w:r>
          </w:p>
        </w:tc>
        <w:tc>
          <w:tcPr>
            <w:tcW w:w="2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single" w:sz="4" w:space="0" w:color="auto"/>
              <w:bottom w:val="single" w:sz="4" w:space="0" w:color="auto"/>
              <w:right w:val="single" w:sz="4"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110a</w:t>
            </w:r>
          </w:p>
        </w:tc>
        <w:tc>
          <w:tcPr>
            <w:tcW w:w="1498" w:type="dxa"/>
            <w:tcBorders>
              <w:top w:val="single" w:sz="4" w:space="0" w:color="auto"/>
              <w:left w:val="single" w:sz="4" w:space="0" w:color="auto"/>
              <w:bottom w:val="single" w:sz="4" w:space="0" w:color="auto"/>
              <w:right w:val="single" w:sz="4"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1.0053</w:t>
            </w:r>
          </w:p>
        </w:tc>
      </w:tr>
      <w:tr w:rsidR="004D63E1" w:rsidRPr="00131718" w:rsidTr="00547C64">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41</w:t>
            </w:r>
          </w:p>
        </w:tc>
        <w:tc>
          <w:tcPr>
            <w:tcW w:w="2634" w:type="dxa"/>
            <w:tcBorders>
              <w:top w:val="single" w:sz="4" w:space="0" w:color="auto"/>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nil"/>
              <w:bottom w:val="single" w:sz="4"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110b</w:t>
            </w:r>
          </w:p>
        </w:tc>
        <w:tc>
          <w:tcPr>
            <w:tcW w:w="1498" w:type="dxa"/>
            <w:tcBorders>
              <w:top w:val="single" w:sz="4" w:space="0" w:color="auto"/>
              <w:left w:val="nil"/>
              <w:bottom w:val="single" w:sz="4"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1.3846</w:t>
            </w:r>
          </w:p>
        </w:tc>
      </w:tr>
      <w:tr w:rsidR="004D63E1" w:rsidRPr="00131718" w:rsidTr="00547C64">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42</w:t>
            </w:r>
          </w:p>
        </w:tc>
        <w:tc>
          <w:tcPr>
            <w:tcW w:w="2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single" w:sz="4" w:space="0" w:color="auto"/>
              <w:bottom w:val="single" w:sz="4" w:space="0" w:color="auto"/>
              <w:right w:val="single" w:sz="4"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111b</w:t>
            </w:r>
          </w:p>
        </w:tc>
        <w:tc>
          <w:tcPr>
            <w:tcW w:w="1498" w:type="dxa"/>
            <w:tcBorders>
              <w:top w:val="single" w:sz="4" w:space="0" w:color="auto"/>
              <w:left w:val="single" w:sz="4" w:space="0" w:color="auto"/>
              <w:bottom w:val="single" w:sz="4" w:space="0" w:color="auto"/>
              <w:right w:val="single" w:sz="4"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0.9412</w:t>
            </w:r>
          </w:p>
        </w:tc>
      </w:tr>
      <w:tr w:rsidR="004D63E1" w:rsidRPr="00131718" w:rsidTr="00547C64">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43</w:t>
            </w:r>
          </w:p>
        </w:tc>
        <w:tc>
          <w:tcPr>
            <w:tcW w:w="2634" w:type="dxa"/>
            <w:tcBorders>
              <w:top w:val="single" w:sz="4" w:space="0" w:color="auto"/>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112</w:t>
            </w:r>
          </w:p>
        </w:tc>
        <w:tc>
          <w:tcPr>
            <w:tcW w:w="1498" w:type="dxa"/>
            <w:tcBorders>
              <w:top w:val="single" w:sz="4" w:space="0" w:color="auto"/>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1.8358</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44</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 </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115a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0.1115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45</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Curraj i Epërm</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1.0087</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46</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14c</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2.382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47</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19b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0.036</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48</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21b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0.045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lastRenderedPageBreak/>
              <w:t>49</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23b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0.0975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50</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27c</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0.017</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51</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4"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77d</w:t>
            </w:r>
          </w:p>
        </w:tc>
        <w:tc>
          <w:tcPr>
            <w:tcW w:w="1498" w:type="dxa"/>
            <w:tcBorders>
              <w:top w:val="nil"/>
              <w:left w:val="nil"/>
              <w:bottom w:val="single" w:sz="4"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r>
      <w:tr w:rsidR="004D63E1" w:rsidRPr="00131718" w:rsidTr="00547C64">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52</w:t>
            </w:r>
          </w:p>
        </w:tc>
        <w:tc>
          <w:tcPr>
            <w:tcW w:w="2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single" w:sz="4" w:space="0" w:color="auto"/>
              <w:bottom w:val="single" w:sz="4" w:space="0" w:color="auto"/>
              <w:right w:val="single" w:sz="4"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86a</w:t>
            </w:r>
          </w:p>
        </w:tc>
        <w:tc>
          <w:tcPr>
            <w:tcW w:w="1498" w:type="dxa"/>
            <w:tcBorders>
              <w:top w:val="single" w:sz="4" w:space="0" w:color="auto"/>
              <w:left w:val="single" w:sz="4" w:space="0" w:color="auto"/>
              <w:bottom w:val="single" w:sz="4" w:space="0" w:color="auto"/>
              <w:right w:val="single" w:sz="4"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0.6596</w:t>
            </w:r>
          </w:p>
        </w:tc>
      </w:tr>
      <w:tr w:rsidR="004D63E1" w:rsidRPr="00131718" w:rsidTr="00547C64">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53</w:t>
            </w:r>
          </w:p>
        </w:tc>
        <w:tc>
          <w:tcPr>
            <w:tcW w:w="2634" w:type="dxa"/>
            <w:tcBorders>
              <w:top w:val="single" w:sz="4" w:space="0" w:color="auto"/>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86b</w:t>
            </w:r>
          </w:p>
        </w:tc>
        <w:tc>
          <w:tcPr>
            <w:tcW w:w="1498" w:type="dxa"/>
            <w:tcBorders>
              <w:top w:val="single" w:sz="4" w:space="0" w:color="auto"/>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1.2954</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54</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87a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0.612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55</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98b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3.0442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56</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100a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0.1238</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57</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100b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0.5731</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58</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Nikaj Mërtur 1</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63a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0.4365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59</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64b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0.8274</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60</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66b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1.7625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61</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67a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0.6148</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62</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68a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2.0079</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63</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68b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1.4552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64</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69c</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0.275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65</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70a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0.567</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66</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78a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0.2764</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67</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78b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1.3178</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68</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85b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0.059</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69</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94a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0.9259</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70</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95a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0.7095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71</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96a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0.6195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72</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96c</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0.3255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73</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97a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0.9935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74</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136</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1.9367</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75</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137a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0.7295</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76</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138a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0.482</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77</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140a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2.2319</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78</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142a</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1.3354</w:t>
            </w:r>
          </w:p>
        </w:tc>
      </w:tr>
      <w:tr w:rsidR="004D63E1" w:rsidRPr="00131718" w:rsidTr="00547C64">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79</w:t>
            </w:r>
          </w:p>
        </w:tc>
        <w:tc>
          <w:tcPr>
            <w:tcW w:w="2634" w:type="dxa"/>
            <w:tcBorders>
              <w:top w:val="nil"/>
              <w:left w:val="nil"/>
              <w:bottom w:val="single" w:sz="4" w:space="0" w:color="auto"/>
              <w:right w:val="single" w:sz="4" w:space="0" w:color="auto"/>
            </w:tcBorders>
            <w:shd w:val="clear" w:color="auto" w:fill="auto"/>
            <w:noWrap/>
            <w:vAlign w:val="bottom"/>
            <w:hideMark/>
          </w:tcPr>
          <w:p w:rsidR="004D63E1" w:rsidRPr="00131718" w:rsidRDefault="004D63E1" w:rsidP="00547C64">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142b</w:t>
            </w:r>
          </w:p>
        </w:tc>
        <w:tc>
          <w:tcPr>
            <w:tcW w:w="1498" w:type="dxa"/>
            <w:tcBorders>
              <w:top w:val="nil"/>
              <w:left w:val="nil"/>
              <w:bottom w:val="single" w:sz="8" w:space="0" w:color="auto"/>
              <w:right w:val="single" w:sz="8" w:space="0" w:color="auto"/>
            </w:tcBorders>
            <w:shd w:val="clear" w:color="auto" w:fill="auto"/>
            <w:hideMark/>
          </w:tcPr>
          <w:p w:rsidR="004D63E1" w:rsidRPr="00131718" w:rsidRDefault="004D63E1" w:rsidP="00547C64">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1.345</w:t>
            </w:r>
          </w:p>
        </w:tc>
      </w:tr>
    </w:tbl>
    <w:p w:rsidR="004D63E1" w:rsidRPr="00131718" w:rsidRDefault="004D63E1" w:rsidP="004D63E1">
      <w:pPr>
        <w:pStyle w:val="AKTI"/>
        <w:rPr>
          <w:lang w:val="sq-AL"/>
        </w:rPr>
      </w:pPr>
    </w:p>
    <w:p w:rsidR="004D63E1" w:rsidRPr="00131718" w:rsidRDefault="004D63E1" w:rsidP="004D63E1">
      <w:pPr>
        <w:pStyle w:val="AKTI"/>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AKTI"/>
        <w:jc w:val="both"/>
        <w:rPr>
          <w:lang w:val="sq-AL"/>
        </w:rPr>
      </w:pPr>
    </w:p>
    <w:p w:rsidR="004D63E1" w:rsidRDefault="004D63E1" w:rsidP="004D63E1">
      <w:pPr>
        <w:pStyle w:val="AKTI"/>
        <w:jc w:val="both"/>
        <w:rPr>
          <w:lang w:val="sq-AL"/>
        </w:rPr>
      </w:pPr>
    </w:p>
    <w:p w:rsidR="004D63E1" w:rsidRPr="00131718" w:rsidRDefault="004D63E1" w:rsidP="004D63E1">
      <w:pPr>
        <w:pStyle w:val="AKTI"/>
        <w:jc w:val="both"/>
        <w:rPr>
          <w:lang w:val="sq-AL"/>
        </w:rPr>
      </w:pPr>
    </w:p>
    <w:p w:rsidR="004D63E1" w:rsidRPr="00131718" w:rsidRDefault="004D63E1" w:rsidP="004D63E1">
      <w:pPr>
        <w:pStyle w:val="Titull-Titull"/>
        <w:rPr>
          <w:lang w:val="sq-AL"/>
        </w:rPr>
      </w:pPr>
      <w:r w:rsidRPr="00131718">
        <w:rPr>
          <w:lang w:val="sq-AL"/>
        </w:rPr>
        <w:t>Kompleksi hidroenergjetik Curraj</w:t>
      </w:r>
    </w:p>
    <w:p w:rsidR="004D63E1" w:rsidRPr="00131718" w:rsidRDefault="004D63E1" w:rsidP="004D63E1">
      <w:pPr>
        <w:pStyle w:val="AKTI"/>
        <w:rPr>
          <w:lang w:val="sq-AL"/>
        </w:rPr>
      </w:pPr>
      <w:r w:rsidRPr="00131718">
        <w:rPr>
          <w:noProof/>
        </w:rPr>
        <w:lastRenderedPageBreak/>
        <w:drawing>
          <wp:inline distT="0" distB="0" distL="0" distR="0">
            <wp:extent cx="4699254" cy="6364224"/>
            <wp:effectExtent l="19050" t="0" r="6096" b="0"/>
            <wp:docPr id="11" name="Picture 30" descr="C:\Users\Gladiola.Cicako\Desktop\kimc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ladiola.Cicako\Desktop\kimca 1.jpg"/>
                    <pic:cNvPicPr>
                      <a:picLocks noChangeAspect="1" noChangeArrowheads="1"/>
                    </pic:cNvPicPr>
                  </pic:nvPicPr>
                  <pic:blipFill>
                    <a:blip r:embed="rId4" cstate="print"/>
                    <a:srcRect t="7100" r="29228" b="5900"/>
                    <a:stretch>
                      <a:fillRect/>
                    </a:stretch>
                  </pic:blipFill>
                  <pic:spPr bwMode="auto">
                    <a:xfrm>
                      <a:off x="0" y="0"/>
                      <a:ext cx="4699254" cy="6364224"/>
                    </a:xfrm>
                    <a:prstGeom prst="rect">
                      <a:avLst/>
                    </a:prstGeom>
                    <a:noFill/>
                    <a:ln w="9525">
                      <a:noFill/>
                      <a:miter lim="800000"/>
                      <a:headEnd/>
                      <a:tailEnd/>
                    </a:ln>
                  </pic:spPr>
                </pic:pic>
              </a:graphicData>
            </a:graphic>
          </wp:inline>
        </w:drawing>
      </w:r>
    </w:p>
    <w:p w:rsidR="004D63E1" w:rsidRPr="00131718" w:rsidRDefault="004D63E1" w:rsidP="004D63E1">
      <w:pPr>
        <w:pStyle w:val="AKTI"/>
        <w:rPr>
          <w:lang w:val="sq-AL"/>
        </w:rPr>
      </w:pPr>
    </w:p>
    <w:p w:rsidR="00FD57DC" w:rsidRDefault="00CF33DD"/>
    <w:sectPr w:rsidR="00FD57DC" w:rsidSect="00A84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ramond">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D63E1"/>
    <w:rsid w:val="002E7553"/>
    <w:rsid w:val="004D63E1"/>
    <w:rsid w:val="00A3508F"/>
    <w:rsid w:val="00A84D81"/>
    <w:rsid w:val="00CF3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50BA4"/>
  <w15:docId w15:val="{BD9B9708-DFC7-4E61-BE3D-1A26FCC32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3E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4D63E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4D63E1"/>
    <w:rPr>
      <w:rFonts w:ascii="Garamond" w:eastAsia="MS Mincho" w:hAnsi="Garamond" w:cs="CG Times"/>
      <w:b/>
      <w:bCs/>
      <w:sz w:val="24"/>
      <w:lang w:val="en-GB"/>
    </w:rPr>
  </w:style>
  <w:style w:type="paragraph" w:customStyle="1" w:styleId="Paragrafi">
    <w:name w:val="Paragrafi"/>
    <w:link w:val="ParagrafiChar"/>
    <w:rsid w:val="004D63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4D63E1"/>
    <w:rPr>
      <w:rFonts w:ascii="Garamond" w:eastAsia="MS Mincho" w:hAnsi="Garamond" w:cs="CG Times"/>
      <w:sz w:val="24"/>
    </w:rPr>
  </w:style>
  <w:style w:type="paragraph" w:customStyle="1" w:styleId="Titulli">
    <w:name w:val="Titulli"/>
    <w:next w:val="Normal"/>
    <w:link w:val="TitulliChar"/>
    <w:rsid w:val="004D63E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4D63E1"/>
    <w:rPr>
      <w:rFonts w:ascii="Garamond" w:eastAsia="MS Mincho" w:hAnsi="Garamond" w:cs="CG Times"/>
      <w:b/>
      <w:bCs/>
      <w:caps/>
      <w:sz w:val="24"/>
      <w:lang w:val="en-GB"/>
    </w:rPr>
  </w:style>
  <w:style w:type="paragraph" w:customStyle="1" w:styleId="AutoritetiEmer">
    <w:name w:val="Autoriteti_Emer"/>
    <w:next w:val="Normal"/>
    <w:link w:val="AutoritetiEmerChar"/>
    <w:rsid w:val="004D63E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4D63E1"/>
    <w:rPr>
      <w:rFonts w:ascii="Garamond" w:eastAsia="MS Mincho" w:hAnsi="Garamond" w:cs="Times New Roman"/>
      <w:b/>
      <w:bCs/>
      <w:sz w:val="24"/>
      <w:lang w:val="en-GB"/>
    </w:rPr>
  </w:style>
  <w:style w:type="paragraph" w:customStyle="1" w:styleId="Titull-Titull">
    <w:name w:val="Titull-Titull"/>
    <w:basedOn w:val="Paragrafi"/>
    <w:qFormat/>
    <w:rsid w:val="004D63E1"/>
    <w:pPr>
      <w:ind w:firstLine="0"/>
      <w:jc w:val="center"/>
    </w:pPr>
    <w:rPr>
      <w:caps/>
      <w:szCs w:val="24"/>
    </w:rPr>
  </w:style>
  <w:style w:type="paragraph" w:customStyle="1" w:styleId="AKTI">
    <w:name w:val="AKTI"/>
    <w:basedOn w:val="Paragrafi"/>
    <w:qFormat/>
    <w:rsid w:val="004D63E1"/>
    <w:pPr>
      <w:ind w:firstLine="0"/>
      <w:jc w:val="center"/>
    </w:pPr>
    <w:rPr>
      <w:rFonts w:cs="Times New Roman"/>
      <w:b/>
      <w:szCs w:val="20"/>
    </w:rPr>
  </w:style>
  <w:style w:type="paragraph" w:customStyle="1" w:styleId="VENDOSI">
    <w:name w:val="VENDOSI"/>
    <w:basedOn w:val="Paragrafi"/>
    <w:qFormat/>
    <w:rsid w:val="004D63E1"/>
    <w:pPr>
      <w:ind w:firstLine="0"/>
      <w:jc w:val="center"/>
    </w:pPr>
    <w:rPr>
      <w:rFonts w:cs="Times New Roman"/>
      <w:caps/>
      <w:szCs w:val="20"/>
    </w:rPr>
  </w:style>
  <w:style w:type="paragraph" w:customStyle="1" w:styleId="AUTORITETI">
    <w:name w:val="AUTORITETI"/>
    <w:basedOn w:val="Paragrafi"/>
    <w:qFormat/>
    <w:rsid w:val="004D63E1"/>
    <w:pPr>
      <w:ind w:firstLine="0"/>
      <w:jc w:val="right"/>
    </w:pPr>
    <w:rPr>
      <w:rFonts w:cs="Times New Roman"/>
      <w:caps/>
      <w:szCs w:val="20"/>
    </w:rPr>
  </w:style>
  <w:style w:type="paragraph" w:styleId="BalloonText">
    <w:name w:val="Balloon Text"/>
    <w:basedOn w:val="Normal"/>
    <w:link w:val="BalloonTextChar"/>
    <w:uiPriority w:val="99"/>
    <w:semiHidden/>
    <w:unhideWhenUsed/>
    <w:rsid w:val="004D6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3E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678</Words>
  <Characters>3865</Characters>
  <Application>Microsoft Office Word</Application>
  <DocSecurity>0</DocSecurity>
  <Lines>32</Lines>
  <Paragraphs>9</Paragraphs>
  <ScaleCrop>false</ScaleCrop>
  <Company>Grizli777</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2014-11-17T09:44:00Z</dcterms:created>
  <dcterms:modified xsi:type="dcterms:W3CDTF">2025-01-08T12:27:00Z</dcterms:modified>
</cp:coreProperties>
</file>