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02709C" w14:textId="77777777" w:rsidR="00B02CEC" w:rsidRPr="003B79F4" w:rsidRDefault="00B02CEC" w:rsidP="00B02CEC">
      <w:pPr>
        <w:pStyle w:val="Akti"/>
        <w:keepNext w:val="0"/>
        <w:rPr>
          <w:lang w:val="sq-AL"/>
        </w:rPr>
      </w:pPr>
      <w:r w:rsidRPr="003B79F4">
        <w:rPr>
          <w:lang w:val="sq-AL"/>
        </w:rPr>
        <w:t xml:space="preserve">VENDIM </w:t>
      </w:r>
    </w:p>
    <w:p w14:paraId="4DA6E45E" w14:textId="77777777" w:rsidR="00B02CEC" w:rsidRPr="003B79F4" w:rsidRDefault="00B02CEC" w:rsidP="00B02CEC">
      <w:pPr>
        <w:pStyle w:val="Numri"/>
        <w:rPr>
          <w:lang w:val="sq-AL"/>
        </w:rPr>
      </w:pPr>
      <w:r w:rsidRPr="003B79F4">
        <w:rPr>
          <w:lang w:val="sq-AL"/>
        </w:rPr>
        <w:t>Nr. 591, datë 10.9.2014</w:t>
      </w:r>
    </w:p>
    <w:p w14:paraId="1693BFDF" w14:textId="77777777" w:rsidR="00B02CEC" w:rsidRPr="003B79F4" w:rsidRDefault="00B02CEC" w:rsidP="00B02CEC">
      <w:pPr>
        <w:pStyle w:val="Paragrafi"/>
        <w:rPr>
          <w:sz w:val="14"/>
          <w:lang w:val="sq-AL"/>
        </w:rPr>
      </w:pPr>
    </w:p>
    <w:p w14:paraId="3D3479B2" w14:textId="77777777" w:rsidR="00B02CEC" w:rsidRPr="003B79F4" w:rsidRDefault="00B02CEC" w:rsidP="00B02CEC">
      <w:pPr>
        <w:pStyle w:val="Titulli"/>
        <w:keepNext w:val="0"/>
        <w:rPr>
          <w:lang w:val="sq-AL"/>
        </w:rPr>
      </w:pPr>
      <w:r w:rsidRPr="003B79F4">
        <w:rPr>
          <w:lang w:val="sq-AL"/>
        </w:rPr>
        <w:t xml:space="preserve">PËR MIRATIMIN E PLANIT TË VEPRIMIT PËR PËRMIRËSIMIN DHE MONITORIMIN E INDIKATORËVE “TË BËSH BIZNES” </w:t>
      </w:r>
    </w:p>
    <w:p w14:paraId="212D7789" w14:textId="77777777" w:rsidR="00B02CEC" w:rsidRPr="003B79F4" w:rsidRDefault="00B02CEC" w:rsidP="00B02CEC">
      <w:pPr>
        <w:pStyle w:val="Paragrafi"/>
        <w:rPr>
          <w:sz w:val="14"/>
          <w:lang w:val="sq-AL"/>
        </w:rPr>
      </w:pPr>
    </w:p>
    <w:p w14:paraId="684F7C63" w14:textId="77777777" w:rsidR="00B02CEC" w:rsidRPr="003B79F4" w:rsidRDefault="00B02CEC" w:rsidP="00B02CEC">
      <w:pPr>
        <w:pStyle w:val="Paragrafi"/>
        <w:rPr>
          <w:lang w:val="sq-AL"/>
        </w:rPr>
      </w:pPr>
      <w:r w:rsidRPr="003B79F4">
        <w:rPr>
          <w:lang w:val="sq-AL"/>
        </w:rPr>
        <w:t>Në mbështetje të nenit 100 të Kushtetutës, me propozimin e ministrit të Zhvillimit Ekonomik, Tregtisë dhe Sipërmarrjes, Këshilli i Ministrave</w:t>
      </w:r>
    </w:p>
    <w:p w14:paraId="6C7A7374" w14:textId="77777777" w:rsidR="00B02CEC" w:rsidRPr="003B79F4" w:rsidRDefault="00B02CEC" w:rsidP="00B02CEC">
      <w:pPr>
        <w:pStyle w:val="Vendosi"/>
        <w:rPr>
          <w:lang w:val="sq-AL"/>
        </w:rPr>
      </w:pPr>
      <w:bookmarkStart w:id="0" w:name="_GoBack"/>
      <w:bookmarkEnd w:id="0"/>
    </w:p>
    <w:p w14:paraId="30AC2D64" w14:textId="77777777" w:rsidR="00B02CEC" w:rsidRPr="003B79F4" w:rsidRDefault="00B02CEC" w:rsidP="00B02CEC">
      <w:pPr>
        <w:pStyle w:val="Vendosi"/>
        <w:rPr>
          <w:lang w:val="sq-AL"/>
        </w:rPr>
      </w:pPr>
      <w:r w:rsidRPr="003B79F4">
        <w:rPr>
          <w:lang w:val="sq-AL"/>
        </w:rPr>
        <w:t>VENDOSI:</w:t>
      </w:r>
    </w:p>
    <w:p w14:paraId="58561FBB" w14:textId="77777777" w:rsidR="00B02CEC" w:rsidRPr="003B79F4" w:rsidRDefault="00B02CEC" w:rsidP="00B02CEC">
      <w:pPr>
        <w:pStyle w:val="Paragrafi"/>
        <w:rPr>
          <w:sz w:val="14"/>
          <w:lang w:val="sq-AL"/>
        </w:rPr>
      </w:pPr>
    </w:p>
    <w:p w14:paraId="7B0C30EE" w14:textId="77777777" w:rsidR="00B02CEC" w:rsidRPr="003B79F4" w:rsidRDefault="00B02CEC" w:rsidP="00B02CEC">
      <w:pPr>
        <w:pStyle w:val="Paragrafi"/>
        <w:rPr>
          <w:lang w:val="sq-AL"/>
        </w:rPr>
      </w:pPr>
      <w:r w:rsidRPr="003B79F4">
        <w:rPr>
          <w:lang w:val="sq-AL"/>
        </w:rPr>
        <w:t xml:space="preserve">1. Miratimin e planit të veprimit për përmirësimin dhe monitorimin e indikatorëve “Të bësh biznes”, që i bashkëlidhet këtij vendimi dhe është pjesë përbërëse e tij.  </w:t>
      </w:r>
    </w:p>
    <w:p w14:paraId="1DBE1F29" w14:textId="77777777" w:rsidR="00B02CEC" w:rsidRPr="003B79F4" w:rsidRDefault="00B02CEC" w:rsidP="00B02CEC">
      <w:pPr>
        <w:pStyle w:val="Paragrafi"/>
        <w:rPr>
          <w:lang w:val="sq-AL"/>
        </w:rPr>
      </w:pPr>
      <w:r w:rsidRPr="003B79F4">
        <w:rPr>
          <w:lang w:val="sq-AL"/>
        </w:rPr>
        <w:t>2. Ngarkohet Ministria e Zhvillimit Ekonomik, Tregtisë dhe Sipërmarrjes për ndjekjen e zbatimit të këtij plani veprimi.</w:t>
      </w:r>
    </w:p>
    <w:p w14:paraId="21BE35BF" w14:textId="77777777" w:rsidR="00B02CEC" w:rsidRPr="003B79F4" w:rsidRDefault="00B02CEC" w:rsidP="00B02CEC">
      <w:pPr>
        <w:pStyle w:val="Paragrafi"/>
        <w:rPr>
          <w:lang w:val="sq-AL"/>
        </w:rPr>
      </w:pPr>
      <w:r w:rsidRPr="003B79F4">
        <w:rPr>
          <w:lang w:val="sq-AL"/>
        </w:rPr>
        <w:t>Ky vendim hyn në fuqi pas botimit në Fletoren Zyrtare.</w:t>
      </w:r>
    </w:p>
    <w:p w14:paraId="1920AFAA" w14:textId="77777777" w:rsidR="00B02CEC" w:rsidRPr="003B79F4" w:rsidRDefault="00B02CEC" w:rsidP="00B02CEC">
      <w:pPr>
        <w:pStyle w:val="Autoriteti"/>
        <w:keepNext w:val="0"/>
        <w:rPr>
          <w:lang w:val="sq-AL"/>
        </w:rPr>
      </w:pPr>
      <w:r w:rsidRPr="003B79F4">
        <w:rPr>
          <w:lang w:val="sq-AL"/>
        </w:rPr>
        <w:t>KRYEMINISTRI</w:t>
      </w:r>
    </w:p>
    <w:p w14:paraId="15FFC6FB" w14:textId="77777777" w:rsidR="00B02CEC" w:rsidRPr="003B79F4" w:rsidRDefault="00B02CEC" w:rsidP="00B02CEC">
      <w:pPr>
        <w:pStyle w:val="AutoritetiEmer"/>
        <w:rPr>
          <w:lang w:val="sq-AL"/>
        </w:rPr>
        <w:sectPr w:rsidR="00B02CEC" w:rsidRPr="003B79F4" w:rsidSect="00B16365">
          <w:pgSz w:w="11907" w:h="16840" w:code="9"/>
          <w:pgMar w:top="1418" w:right="1418" w:bottom="1418" w:left="1418" w:header="1304" w:footer="1134" w:gutter="0"/>
          <w:cols w:space="284"/>
          <w:docGrid w:linePitch="360"/>
        </w:sectPr>
      </w:pPr>
      <w:r w:rsidRPr="003B79F4">
        <w:rPr>
          <w:lang w:val="sq-AL"/>
        </w:rPr>
        <w:t>Edi Rama</w:t>
      </w:r>
    </w:p>
    <w:p w14:paraId="4A140225" w14:textId="77777777" w:rsidR="00B02CEC" w:rsidRPr="003B79F4" w:rsidRDefault="00B02CEC" w:rsidP="00B02CEC">
      <w:pPr>
        <w:pStyle w:val="Paragrafi"/>
        <w:jc w:val="center"/>
        <w:rPr>
          <w:lang w:val="sq-AL"/>
        </w:rPr>
      </w:pPr>
      <w:r w:rsidRPr="003B79F4">
        <w:rPr>
          <w:lang w:val="sq-AL"/>
        </w:rPr>
        <w:t>PLANI I VEPRIMIT</w:t>
      </w:r>
    </w:p>
    <w:p w14:paraId="7CA30F05" w14:textId="77777777" w:rsidR="00B02CEC" w:rsidRPr="003B79F4" w:rsidRDefault="00B02CEC" w:rsidP="00B02CEC">
      <w:pPr>
        <w:pStyle w:val="Paragrafi"/>
        <w:jc w:val="center"/>
        <w:rPr>
          <w:lang w:val="sq-AL"/>
        </w:rPr>
      </w:pPr>
      <w:r w:rsidRPr="003B79F4">
        <w:rPr>
          <w:lang w:val="sq-AL"/>
        </w:rPr>
        <w:t>PËR PËRMIRËSIMIN E INDIKATORËVE “TË BËSH BIZNES”</w:t>
      </w:r>
    </w:p>
    <w:p w14:paraId="16841AE5" w14:textId="77777777" w:rsidR="00B02CEC" w:rsidRPr="003B79F4" w:rsidRDefault="00B02CEC" w:rsidP="00B02CEC">
      <w:pPr>
        <w:pStyle w:val="Paragrafi"/>
        <w:rPr>
          <w:sz w:val="14"/>
          <w:lang w:val="sq-AL"/>
        </w:rPr>
      </w:pPr>
    </w:p>
    <w:tbl>
      <w:tblPr>
        <w:tblW w:w="54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9"/>
        <w:gridCol w:w="2641"/>
        <w:gridCol w:w="1334"/>
        <w:gridCol w:w="1331"/>
        <w:gridCol w:w="28"/>
        <w:gridCol w:w="18"/>
        <w:gridCol w:w="1202"/>
        <w:gridCol w:w="13"/>
        <w:gridCol w:w="810"/>
        <w:gridCol w:w="2008"/>
      </w:tblGrid>
      <w:tr w:rsidR="00B02CEC" w:rsidRPr="003B79F4" w14:paraId="4887CF63" w14:textId="77777777" w:rsidTr="00680053">
        <w:trPr>
          <w:trHeight w:val="360"/>
          <w:jc w:val="center"/>
        </w:trPr>
        <w:tc>
          <w:tcPr>
            <w:tcW w:w="620" w:type="pct"/>
            <w:tcBorders>
              <w:bottom w:val="single" w:sz="4" w:space="0" w:color="auto"/>
            </w:tcBorders>
          </w:tcPr>
          <w:p w14:paraId="65088234" w14:textId="77777777" w:rsidR="00B02CEC" w:rsidRPr="003B79F4" w:rsidRDefault="00B02CEC" w:rsidP="00680053">
            <w:pPr>
              <w:widowControl w:val="0"/>
              <w:spacing w:after="0" w:line="240" w:lineRule="auto"/>
              <w:jc w:val="center"/>
              <w:rPr>
                <w:rFonts w:ascii="Garamond" w:hAnsi="Garamond"/>
                <w:b/>
                <w:bCs/>
                <w:spacing w:val="-4"/>
                <w:sz w:val="14"/>
                <w:szCs w:val="14"/>
                <w:lang w:val="sq-AL"/>
              </w:rPr>
            </w:pPr>
            <w:r w:rsidRPr="003B79F4">
              <w:rPr>
                <w:rFonts w:ascii="Garamond" w:hAnsi="Garamond"/>
                <w:b/>
                <w:bCs/>
                <w:spacing w:val="-4"/>
                <w:sz w:val="14"/>
                <w:szCs w:val="14"/>
                <w:lang w:val="sq-AL"/>
              </w:rPr>
              <w:t>Rekomandimi</w:t>
            </w:r>
          </w:p>
        </w:tc>
        <w:tc>
          <w:tcPr>
            <w:tcW w:w="1233" w:type="pct"/>
            <w:tcBorders>
              <w:bottom w:val="single" w:sz="4" w:space="0" w:color="auto"/>
            </w:tcBorders>
            <w:shd w:val="clear" w:color="auto" w:fill="auto"/>
          </w:tcPr>
          <w:p w14:paraId="1277FBE1" w14:textId="77777777" w:rsidR="00B02CEC" w:rsidRPr="003B79F4" w:rsidRDefault="00B02CEC" w:rsidP="00680053">
            <w:pPr>
              <w:widowControl w:val="0"/>
              <w:spacing w:after="0" w:line="240" w:lineRule="auto"/>
              <w:jc w:val="center"/>
              <w:rPr>
                <w:rFonts w:ascii="Garamond" w:hAnsi="Garamond"/>
                <w:b/>
                <w:bCs/>
                <w:spacing w:val="-4"/>
                <w:sz w:val="14"/>
                <w:szCs w:val="14"/>
                <w:lang w:val="sq-AL"/>
              </w:rPr>
            </w:pPr>
            <w:r w:rsidRPr="003B79F4">
              <w:rPr>
                <w:rFonts w:ascii="Garamond" w:hAnsi="Garamond"/>
                <w:b/>
                <w:bCs/>
                <w:spacing w:val="-4"/>
                <w:sz w:val="14"/>
                <w:szCs w:val="14"/>
                <w:lang w:val="sq-AL"/>
              </w:rPr>
              <w:t>Masa e propozuar</w:t>
            </w:r>
          </w:p>
          <w:p w14:paraId="2006AB4D" w14:textId="77777777" w:rsidR="00B02CEC" w:rsidRPr="003B79F4" w:rsidRDefault="00B02CEC" w:rsidP="00680053">
            <w:pPr>
              <w:widowControl w:val="0"/>
              <w:spacing w:after="0" w:line="240" w:lineRule="auto"/>
              <w:jc w:val="center"/>
              <w:rPr>
                <w:rFonts w:ascii="Garamond" w:hAnsi="Garamond"/>
                <w:b/>
                <w:bCs/>
                <w:spacing w:val="-4"/>
                <w:sz w:val="14"/>
                <w:szCs w:val="14"/>
                <w:lang w:val="sq-AL"/>
              </w:rPr>
            </w:pPr>
          </w:p>
        </w:tc>
        <w:tc>
          <w:tcPr>
            <w:tcW w:w="623" w:type="pct"/>
            <w:tcBorders>
              <w:bottom w:val="single" w:sz="4" w:space="0" w:color="auto"/>
            </w:tcBorders>
            <w:shd w:val="clear" w:color="auto" w:fill="auto"/>
          </w:tcPr>
          <w:p w14:paraId="3AE6642B" w14:textId="77777777" w:rsidR="00B02CEC" w:rsidRPr="003B79F4" w:rsidRDefault="00B02CEC" w:rsidP="00680053">
            <w:pPr>
              <w:widowControl w:val="0"/>
              <w:spacing w:after="0" w:line="240" w:lineRule="auto"/>
              <w:jc w:val="center"/>
              <w:rPr>
                <w:rFonts w:ascii="Garamond" w:hAnsi="Garamond"/>
                <w:b/>
                <w:bCs/>
                <w:spacing w:val="-4"/>
                <w:sz w:val="14"/>
                <w:szCs w:val="14"/>
                <w:lang w:val="sq-AL"/>
              </w:rPr>
            </w:pPr>
            <w:r w:rsidRPr="003B79F4">
              <w:rPr>
                <w:rFonts w:ascii="Garamond" w:hAnsi="Garamond"/>
                <w:b/>
                <w:bCs/>
                <w:spacing w:val="-4"/>
                <w:sz w:val="14"/>
                <w:szCs w:val="14"/>
                <w:lang w:val="sq-AL"/>
              </w:rPr>
              <w:t>Afati i zbatimit</w:t>
            </w:r>
          </w:p>
        </w:tc>
        <w:tc>
          <w:tcPr>
            <w:tcW w:w="642" w:type="pct"/>
            <w:gridSpan w:val="3"/>
            <w:tcBorders>
              <w:bottom w:val="single" w:sz="4" w:space="0" w:color="auto"/>
            </w:tcBorders>
            <w:shd w:val="clear" w:color="auto" w:fill="auto"/>
          </w:tcPr>
          <w:p w14:paraId="339D8C21" w14:textId="77777777" w:rsidR="00B02CEC" w:rsidRPr="003B79F4" w:rsidRDefault="00B02CEC" w:rsidP="00680053">
            <w:pPr>
              <w:widowControl w:val="0"/>
              <w:spacing w:after="0" w:line="240" w:lineRule="auto"/>
              <w:jc w:val="center"/>
              <w:rPr>
                <w:rFonts w:ascii="Garamond" w:hAnsi="Garamond"/>
                <w:b/>
                <w:bCs/>
                <w:spacing w:val="-4"/>
                <w:sz w:val="14"/>
                <w:szCs w:val="14"/>
                <w:lang w:val="sq-AL"/>
              </w:rPr>
            </w:pPr>
            <w:r w:rsidRPr="003B79F4">
              <w:rPr>
                <w:rFonts w:ascii="Garamond" w:hAnsi="Garamond"/>
                <w:b/>
                <w:bCs/>
                <w:spacing w:val="-4"/>
                <w:sz w:val="14"/>
                <w:szCs w:val="14"/>
                <w:lang w:val="sq-AL"/>
              </w:rPr>
              <w:t>Institucioni përgjegjës</w:t>
            </w:r>
          </w:p>
        </w:tc>
        <w:tc>
          <w:tcPr>
            <w:tcW w:w="567" w:type="pct"/>
            <w:gridSpan w:val="2"/>
            <w:tcBorders>
              <w:bottom w:val="single" w:sz="4" w:space="0" w:color="auto"/>
            </w:tcBorders>
            <w:shd w:val="clear" w:color="auto" w:fill="auto"/>
          </w:tcPr>
          <w:p w14:paraId="3E15A4E8" w14:textId="77777777" w:rsidR="00B02CEC" w:rsidRPr="003B79F4" w:rsidRDefault="00B02CEC" w:rsidP="00680053">
            <w:pPr>
              <w:widowControl w:val="0"/>
              <w:spacing w:after="0" w:line="240" w:lineRule="auto"/>
              <w:jc w:val="center"/>
              <w:rPr>
                <w:rFonts w:ascii="Garamond" w:hAnsi="Garamond"/>
                <w:b/>
                <w:bCs/>
                <w:spacing w:val="-4"/>
                <w:sz w:val="14"/>
                <w:szCs w:val="14"/>
                <w:lang w:val="sq-AL"/>
              </w:rPr>
            </w:pPr>
            <w:r w:rsidRPr="003B79F4">
              <w:rPr>
                <w:rFonts w:ascii="Garamond" w:hAnsi="Garamond"/>
                <w:b/>
                <w:bCs/>
                <w:spacing w:val="-4"/>
                <w:sz w:val="14"/>
                <w:szCs w:val="14"/>
                <w:lang w:val="sq-AL"/>
              </w:rPr>
              <w:t>Rezultati i pritshëm</w:t>
            </w:r>
          </w:p>
          <w:p w14:paraId="5F6426BB" w14:textId="77777777" w:rsidR="00B02CEC" w:rsidRPr="003B79F4" w:rsidRDefault="00B02CEC" w:rsidP="00680053">
            <w:pPr>
              <w:widowControl w:val="0"/>
              <w:spacing w:after="0" w:line="240" w:lineRule="auto"/>
              <w:jc w:val="center"/>
              <w:rPr>
                <w:rFonts w:ascii="Garamond" w:hAnsi="Garamond"/>
                <w:b/>
                <w:bCs/>
                <w:spacing w:val="-4"/>
                <w:sz w:val="14"/>
                <w:szCs w:val="14"/>
                <w:lang w:val="sq-AL"/>
              </w:rPr>
            </w:pPr>
          </w:p>
        </w:tc>
        <w:tc>
          <w:tcPr>
            <w:tcW w:w="378" w:type="pct"/>
            <w:tcBorders>
              <w:bottom w:val="single" w:sz="4" w:space="0" w:color="auto"/>
            </w:tcBorders>
            <w:shd w:val="clear" w:color="auto" w:fill="auto"/>
          </w:tcPr>
          <w:p w14:paraId="202EB498" w14:textId="77777777" w:rsidR="00B02CEC" w:rsidRPr="003B79F4" w:rsidRDefault="00B02CEC" w:rsidP="00680053">
            <w:pPr>
              <w:widowControl w:val="0"/>
              <w:spacing w:after="0" w:line="240" w:lineRule="auto"/>
              <w:jc w:val="center"/>
              <w:rPr>
                <w:rFonts w:ascii="Garamond" w:hAnsi="Garamond"/>
                <w:b/>
                <w:bCs/>
                <w:spacing w:val="-4"/>
                <w:sz w:val="14"/>
                <w:szCs w:val="14"/>
                <w:lang w:val="sq-AL"/>
              </w:rPr>
            </w:pPr>
            <w:r w:rsidRPr="003B79F4">
              <w:rPr>
                <w:rFonts w:ascii="Garamond" w:hAnsi="Garamond"/>
                <w:b/>
                <w:bCs/>
                <w:spacing w:val="-4"/>
                <w:sz w:val="14"/>
                <w:szCs w:val="14"/>
                <w:lang w:val="sq-AL"/>
              </w:rPr>
              <w:t>Kur reflektohet ndikimi</w:t>
            </w:r>
          </w:p>
        </w:tc>
        <w:tc>
          <w:tcPr>
            <w:tcW w:w="938" w:type="pct"/>
            <w:tcBorders>
              <w:bottom w:val="single" w:sz="4" w:space="0" w:color="auto"/>
            </w:tcBorders>
            <w:shd w:val="clear" w:color="auto" w:fill="auto"/>
          </w:tcPr>
          <w:p w14:paraId="3AD2EAD5" w14:textId="77777777" w:rsidR="00B02CEC" w:rsidRPr="003B79F4" w:rsidRDefault="00B02CEC" w:rsidP="00680053">
            <w:pPr>
              <w:widowControl w:val="0"/>
              <w:spacing w:after="0" w:line="240" w:lineRule="auto"/>
              <w:jc w:val="center"/>
              <w:rPr>
                <w:rFonts w:ascii="Garamond" w:hAnsi="Garamond"/>
                <w:b/>
                <w:bCs/>
                <w:spacing w:val="-4"/>
                <w:sz w:val="14"/>
                <w:szCs w:val="14"/>
                <w:lang w:val="sq-AL"/>
              </w:rPr>
            </w:pPr>
            <w:r w:rsidRPr="003B79F4">
              <w:rPr>
                <w:rFonts w:ascii="Garamond" w:hAnsi="Garamond"/>
                <w:b/>
                <w:bCs/>
                <w:spacing w:val="-4"/>
                <w:sz w:val="14"/>
                <w:szCs w:val="14"/>
                <w:lang w:val="sq-AL"/>
              </w:rPr>
              <w:t>Komente/status</w:t>
            </w:r>
          </w:p>
        </w:tc>
      </w:tr>
      <w:tr w:rsidR="00B02CEC" w:rsidRPr="003B79F4" w14:paraId="354765ED" w14:textId="77777777" w:rsidTr="00680053">
        <w:trPr>
          <w:jc w:val="center"/>
        </w:trPr>
        <w:tc>
          <w:tcPr>
            <w:tcW w:w="5000" w:type="pct"/>
            <w:gridSpan w:val="10"/>
            <w:shd w:val="clear" w:color="auto" w:fill="FFFFFF" w:themeFill="background1"/>
          </w:tcPr>
          <w:p w14:paraId="1D2BD2EC" w14:textId="77777777" w:rsidR="00B02CEC" w:rsidRPr="003B79F4" w:rsidRDefault="00B02CEC" w:rsidP="00680053">
            <w:pPr>
              <w:widowControl w:val="0"/>
              <w:spacing w:after="0" w:line="240" w:lineRule="auto"/>
              <w:jc w:val="center"/>
              <w:rPr>
                <w:rFonts w:ascii="Garamond" w:hAnsi="Garamond"/>
                <w:b/>
                <w:spacing w:val="-4"/>
                <w:sz w:val="14"/>
                <w:szCs w:val="14"/>
                <w:lang w:val="sq-AL"/>
              </w:rPr>
            </w:pPr>
            <w:r w:rsidRPr="003B79F4">
              <w:rPr>
                <w:rFonts w:ascii="Garamond" w:hAnsi="Garamond"/>
                <w:b/>
                <w:spacing w:val="-4"/>
                <w:sz w:val="14"/>
                <w:szCs w:val="14"/>
                <w:lang w:val="sq-AL"/>
              </w:rPr>
              <w:t>T</w:t>
            </w:r>
            <w:r w:rsidRPr="003B79F4">
              <w:rPr>
                <w:rFonts w:ascii="Garamond" w:hAnsi="Garamond"/>
                <w:bCs/>
                <w:spacing w:val="-4"/>
                <w:sz w:val="14"/>
                <w:szCs w:val="14"/>
                <w:lang w:val="sq-AL"/>
              </w:rPr>
              <w:t>ë</w:t>
            </w:r>
            <w:r w:rsidRPr="003B79F4">
              <w:rPr>
                <w:rFonts w:ascii="Garamond" w:hAnsi="Garamond"/>
                <w:b/>
                <w:spacing w:val="-4"/>
                <w:sz w:val="14"/>
                <w:szCs w:val="14"/>
                <w:lang w:val="sq-AL"/>
              </w:rPr>
              <w:t xml:space="preserve"> hap</w:t>
            </w:r>
            <w:r w:rsidRPr="003B79F4">
              <w:rPr>
                <w:rFonts w:ascii="Garamond" w:hAnsi="Garamond"/>
                <w:bCs/>
                <w:spacing w:val="-4"/>
                <w:sz w:val="14"/>
                <w:szCs w:val="14"/>
                <w:lang w:val="sq-AL"/>
              </w:rPr>
              <w:t>ë</w:t>
            </w:r>
            <w:r w:rsidRPr="003B79F4">
              <w:rPr>
                <w:rFonts w:ascii="Garamond" w:hAnsi="Garamond"/>
                <w:b/>
                <w:spacing w:val="-4"/>
                <w:sz w:val="14"/>
                <w:szCs w:val="14"/>
                <w:lang w:val="sq-AL"/>
              </w:rPr>
              <w:t>sh një biznes</w:t>
            </w:r>
          </w:p>
        </w:tc>
      </w:tr>
      <w:tr w:rsidR="00B02CEC" w:rsidRPr="003B79F4" w14:paraId="0C9E91D2" w14:textId="77777777" w:rsidTr="00680053">
        <w:trPr>
          <w:trHeight w:val="451"/>
          <w:jc w:val="center"/>
        </w:trPr>
        <w:tc>
          <w:tcPr>
            <w:tcW w:w="620" w:type="pct"/>
            <w:vMerge w:val="restart"/>
          </w:tcPr>
          <w:p w14:paraId="0F1E05CC"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Lehtësimi i barrierave të biznesit për regjistrimin e subjekteve</w:t>
            </w:r>
          </w:p>
        </w:tc>
        <w:tc>
          <w:tcPr>
            <w:tcW w:w="1233" w:type="pct"/>
            <w:shd w:val="clear" w:color="auto" w:fill="auto"/>
          </w:tcPr>
          <w:p w14:paraId="0DD12EA4"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Amendimi i ligjit nr. 9723 datë 3.5.2007 “Për Qendrën Kombëtare të Regjistrimit”</w:t>
            </w:r>
          </w:p>
        </w:tc>
        <w:tc>
          <w:tcPr>
            <w:tcW w:w="623" w:type="pct"/>
            <w:shd w:val="clear" w:color="auto" w:fill="auto"/>
          </w:tcPr>
          <w:p w14:paraId="2CF700A7"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Shtator  2014</w:t>
            </w:r>
          </w:p>
          <w:p w14:paraId="1AE0CD8D"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3D3A6D9E" w14:textId="77777777" w:rsidR="00B02CEC" w:rsidRPr="003B79F4" w:rsidRDefault="00B02CEC" w:rsidP="00680053">
            <w:pPr>
              <w:widowControl w:val="0"/>
              <w:spacing w:after="0" w:line="240" w:lineRule="auto"/>
              <w:rPr>
                <w:rFonts w:ascii="Garamond" w:hAnsi="Garamond"/>
                <w:bCs/>
                <w:i/>
                <w:spacing w:val="-4"/>
                <w:sz w:val="14"/>
                <w:szCs w:val="14"/>
                <w:lang w:val="sq-AL"/>
              </w:rPr>
            </w:pPr>
          </w:p>
        </w:tc>
        <w:tc>
          <w:tcPr>
            <w:tcW w:w="642" w:type="pct"/>
            <w:gridSpan w:val="3"/>
            <w:shd w:val="clear" w:color="auto" w:fill="auto"/>
          </w:tcPr>
          <w:p w14:paraId="058C269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MZHETS në bashkëpunim me MF, MMSR</w:t>
            </w:r>
          </w:p>
        </w:tc>
        <w:tc>
          <w:tcPr>
            <w:tcW w:w="567" w:type="pct"/>
            <w:gridSpan w:val="2"/>
            <w:vMerge w:val="restart"/>
            <w:shd w:val="clear" w:color="auto" w:fill="auto"/>
          </w:tcPr>
          <w:p w14:paraId="6CB1EAD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-Shkurtimi me 2 hapa,</w:t>
            </w:r>
          </w:p>
          <w:p w14:paraId="008B0E7B"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-Reduktimi i kostos me 85,120 lekë</w:t>
            </w:r>
          </w:p>
          <w:p w14:paraId="71B7262D" w14:textId="77777777" w:rsidR="00B02CEC" w:rsidRPr="003B79F4" w:rsidRDefault="00B02CEC" w:rsidP="00680053">
            <w:pPr>
              <w:widowControl w:val="0"/>
              <w:spacing w:after="0" w:line="240" w:lineRule="auto"/>
              <w:rPr>
                <w:rFonts w:ascii="Garamond" w:hAnsi="Garamond"/>
                <w:bCs/>
                <w:i/>
                <w:spacing w:val="-4"/>
                <w:sz w:val="14"/>
                <w:szCs w:val="14"/>
                <w:lang w:val="sq-AL"/>
              </w:rPr>
            </w:pPr>
          </w:p>
        </w:tc>
        <w:tc>
          <w:tcPr>
            <w:tcW w:w="378" w:type="pct"/>
            <w:shd w:val="clear" w:color="auto" w:fill="auto"/>
          </w:tcPr>
          <w:p w14:paraId="1A406D9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p w14:paraId="34B9AFD9"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529BD7D2"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shd w:val="clear" w:color="auto" w:fill="auto"/>
          </w:tcPr>
          <w:p w14:paraId="3FB371C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Drafti i ligjit është në proces konsultimi me ministritë</w:t>
            </w:r>
          </w:p>
          <w:p w14:paraId="622094A4"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16F33E02" w14:textId="77777777" w:rsidR="00B02CEC" w:rsidRPr="003B79F4" w:rsidRDefault="00B02CEC" w:rsidP="00680053">
            <w:pPr>
              <w:widowControl w:val="0"/>
              <w:spacing w:after="0" w:line="240" w:lineRule="auto"/>
              <w:rPr>
                <w:rFonts w:ascii="Garamond" w:hAnsi="Garamond"/>
                <w:bCs/>
                <w:i/>
                <w:spacing w:val="-4"/>
                <w:sz w:val="14"/>
                <w:szCs w:val="14"/>
                <w:lang w:val="sq-AL"/>
              </w:rPr>
            </w:pPr>
          </w:p>
        </w:tc>
      </w:tr>
      <w:tr w:rsidR="00B02CEC" w:rsidRPr="003B79F4" w14:paraId="4B613871" w14:textId="77777777" w:rsidTr="00680053">
        <w:trPr>
          <w:jc w:val="center"/>
        </w:trPr>
        <w:tc>
          <w:tcPr>
            <w:tcW w:w="620" w:type="pct"/>
            <w:vMerge/>
          </w:tcPr>
          <w:p w14:paraId="3A4CD685" w14:textId="77777777" w:rsidR="00B02CEC" w:rsidRPr="003B79F4" w:rsidRDefault="00B02CEC" w:rsidP="00680053">
            <w:pPr>
              <w:widowControl w:val="0"/>
              <w:spacing w:after="0" w:line="240" w:lineRule="auto"/>
              <w:rPr>
                <w:rFonts w:ascii="Garamond" w:hAnsi="Garamond"/>
                <w:i/>
                <w:spacing w:val="-4"/>
                <w:sz w:val="14"/>
                <w:szCs w:val="14"/>
                <w:lang w:val="sq-AL"/>
              </w:rPr>
            </w:pPr>
          </w:p>
        </w:tc>
        <w:tc>
          <w:tcPr>
            <w:tcW w:w="1233" w:type="pct"/>
            <w:shd w:val="clear" w:color="auto" w:fill="auto"/>
          </w:tcPr>
          <w:p w14:paraId="30CE6CC2"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 xml:space="preserve">Amendimi i ligjit “Për nxitjen e punësimit” </w:t>
            </w:r>
          </w:p>
          <w:p w14:paraId="7A2F0A0B" w14:textId="77777777" w:rsidR="00B02CEC" w:rsidRPr="003B79F4" w:rsidRDefault="00B02CEC" w:rsidP="00680053">
            <w:pPr>
              <w:widowControl w:val="0"/>
              <w:spacing w:after="0" w:line="240" w:lineRule="auto"/>
              <w:rPr>
                <w:rFonts w:ascii="Garamond" w:hAnsi="Garamond"/>
                <w:spacing w:val="-4"/>
                <w:sz w:val="14"/>
                <w:szCs w:val="14"/>
                <w:lang w:val="sq-AL"/>
              </w:rPr>
            </w:pPr>
          </w:p>
          <w:p w14:paraId="79A13158" w14:textId="77777777" w:rsidR="00B02CEC" w:rsidRPr="003B79F4" w:rsidRDefault="00B02CEC" w:rsidP="00680053">
            <w:pPr>
              <w:widowControl w:val="0"/>
              <w:spacing w:after="0" w:line="240" w:lineRule="auto"/>
              <w:rPr>
                <w:rFonts w:ascii="Garamond" w:hAnsi="Garamond"/>
                <w:spacing w:val="-4"/>
                <w:sz w:val="14"/>
                <w:szCs w:val="14"/>
                <w:lang w:val="sq-AL"/>
              </w:rPr>
            </w:pPr>
          </w:p>
        </w:tc>
        <w:tc>
          <w:tcPr>
            <w:tcW w:w="623" w:type="pct"/>
            <w:shd w:val="clear" w:color="auto" w:fill="auto"/>
          </w:tcPr>
          <w:p w14:paraId="37EEE5CB"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Shkurt 2015</w:t>
            </w:r>
          </w:p>
          <w:p w14:paraId="62F27B14"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0B68A268"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42" w:type="pct"/>
            <w:gridSpan w:val="3"/>
            <w:shd w:val="clear" w:color="auto" w:fill="auto"/>
          </w:tcPr>
          <w:p w14:paraId="482B381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MF dhe MMSR</w:t>
            </w:r>
          </w:p>
        </w:tc>
        <w:tc>
          <w:tcPr>
            <w:tcW w:w="567" w:type="pct"/>
            <w:gridSpan w:val="2"/>
            <w:vMerge/>
            <w:shd w:val="clear" w:color="auto" w:fill="auto"/>
          </w:tcPr>
          <w:p w14:paraId="3D1388B2"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shd w:val="clear" w:color="auto" w:fill="auto"/>
          </w:tcPr>
          <w:p w14:paraId="316FF34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p w14:paraId="2ED59442"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shd w:val="clear" w:color="auto" w:fill="auto"/>
          </w:tcPr>
          <w:p w14:paraId="52A5862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Amendimi i neneve që detyrojnë subjektet të regjistrohen pranë ISHPSHSH dhe zyrave të punës, në varësi të marrëveshjeve që do të lidhen me Drejtorinë e Përgjithshme të Tatimeve për shpërndarjen e informacionit mbi fuqinë punëtore në formë elektronike. </w:t>
            </w:r>
          </w:p>
          <w:p w14:paraId="3318B919"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5681C4A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Ndryshimet në ligjin nr. 9136, datë 11.9.2003 “Për mbledhjen e kontributeve të detyrueshme të sigurimeve shoqërore dhe shëndetësore në Republikën e Shqipërisë”, parashikojnë që deklarata e paraqitur në administratën tatimore lidhur me punonjësit e rinj të marrë në punë dhe lidhur me punonjësit e larguar nga puna, do të shërbejë si deklarim edhe për Inspektoratin Shtetëror të Punës.</w:t>
            </w:r>
          </w:p>
        </w:tc>
      </w:tr>
      <w:tr w:rsidR="00B02CEC" w:rsidRPr="003B79F4" w14:paraId="7570F5F5" w14:textId="77777777" w:rsidTr="00680053">
        <w:trPr>
          <w:jc w:val="center"/>
        </w:trPr>
        <w:tc>
          <w:tcPr>
            <w:tcW w:w="620" w:type="pct"/>
            <w:vMerge/>
          </w:tcPr>
          <w:p w14:paraId="6BBF2CBA" w14:textId="77777777" w:rsidR="00B02CEC" w:rsidRPr="003B79F4" w:rsidRDefault="00B02CEC" w:rsidP="00680053">
            <w:pPr>
              <w:widowControl w:val="0"/>
              <w:spacing w:after="0" w:line="240" w:lineRule="auto"/>
              <w:rPr>
                <w:rFonts w:ascii="Garamond" w:hAnsi="Garamond"/>
                <w:spacing w:val="-4"/>
                <w:sz w:val="14"/>
                <w:szCs w:val="14"/>
                <w:lang w:val="sq-AL"/>
              </w:rPr>
            </w:pPr>
          </w:p>
        </w:tc>
        <w:tc>
          <w:tcPr>
            <w:tcW w:w="1233" w:type="pct"/>
            <w:shd w:val="clear" w:color="auto" w:fill="auto"/>
          </w:tcPr>
          <w:p w14:paraId="2023C812"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Amendimi i ligjit “Për inspektimin e punës”</w:t>
            </w:r>
          </w:p>
        </w:tc>
        <w:tc>
          <w:tcPr>
            <w:tcW w:w="623" w:type="pct"/>
            <w:shd w:val="clear" w:color="auto" w:fill="auto"/>
          </w:tcPr>
          <w:p w14:paraId="17BF0E9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Dhjetor 2015</w:t>
            </w:r>
          </w:p>
        </w:tc>
        <w:tc>
          <w:tcPr>
            <w:tcW w:w="642" w:type="pct"/>
            <w:gridSpan w:val="3"/>
            <w:shd w:val="clear" w:color="auto" w:fill="auto"/>
          </w:tcPr>
          <w:p w14:paraId="17A08018"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567" w:type="pct"/>
            <w:gridSpan w:val="2"/>
            <w:vMerge/>
            <w:shd w:val="clear" w:color="auto" w:fill="auto"/>
          </w:tcPr>
          <w:p w14:paraId="035ED125" w14:textId="77777777" w:rsidR="00B02CEC" w:rsidRPr="003B79F4" w:rsidRDefault="00B02CEC" w:rsidP="00680053">
            <w:pPr>
              <w:widowControl w:val="0"/>
              <w:spacing w:after="0" w:line="240" w:lineRule="auto"/>
              <w:ind w:left="205"/>
              <w:rPr>
                <w:rFonts w:ascii="Garamond" w:hAnsi="Garamond"/>
                <w:bCs/>
                <w:spacing w:val="-4"/>
                <w:sz w:val="14"/>
                <w:szCs w:val="14"/>
                <w:lang w:val="sq-AL"/>
              </w:rPr>
            </w:pPr>
          </w:p>
        </w:tc>
        <w:tc>
          <w:tcPr>
            <w:tcW w:w="378" w:type="pct"/>
            <w:shd w:val="clear" w:color="auto" w:fill="auto"/>
          </w:tcPr>
          <w:p w14:paraId="678A234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2017</w:t>
            </w:r>
          </w:p>
        </w:tc>
        <w:tc>
          <w:tcPr>
            <w:tcW w:w="938" w:type="pct"/>
            <w:shd w:val="clear" w:color="auto" w:fill="auto"/>
          </w:tcPr>
          <w:p w14:paraId="397916EB"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6B8B23AB" w14:textId="77777777" w:rsidTr="00680053">
        <w:trPr>
          <w:jc w:val="center"/>
        </w:trPr>
        <w:tc>
          <w:tcPr>
            <w:tcW w:w="620" w:type="pct"/>
            <w:vMerge/>
          </w:tcPr>
          <w:p w14:paraId="0998A7E0"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406CF73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spacing w:val="-4"/>
                <w:sz w:val="14"/>
                <w:szCs w:val="14"/>
                <w:lang w:val="sq-AL"/>
              </w:rPr>
              <w:t>Miratimi i draft-ligjit “Për tatimin mbi vlerën e shtuar”</w:t>
            </w:r>
          </w:p>
        </w:tc>
        <w:tc>
          <w:tcPr>
            <w:tcW w:w="623" w:type="pct"/>
            <w:shd w:val="clear" w:color="auto" w:fill="auto"/>
          </w:tcPr>
          <w:p w14:paraId="2F54033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Dhjetor 2014</w:t>
            </w:r>
          </w:p>
        </w:tc>
        <w:tc>
          <w:tcPr>
            <w:tcW w:w="642" w:type="pct"/>
            <w:gridSpan w:val="3"/>
            <w:shd w:val="clear" w:color="auto" w:fill="auto"/>
          </w:tcPr>
          <w:p w14:paraId="450B5A53"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MF</w:t>
            </w:r>
          </w:p>
        </w:tc>
        <w:tc>
          <w:tcPr>
            <w:tcW w:w="567" w:type="pct"/>
            <w:gridSpan w:val="2"/>
            <w:shd w:val="clear" w:color="auto" w:fill="auto"/>
          </w:tcPr>
          <w:p w14:paraId="5F94EEBA" w14:textId="77777777" w:rsidR="00B02CEC" w:rsidRPr="003B79F4" w:rsidRDefault="00B02CEC" w:rsidP="00680053">
            <w:pPr>
              <w:widowControl w:val="0"/>
              <w:spacing w:after="0" w:line="240" w:lineRule="auto"/>
              <w:ind w:left="205"/>
              <w:rPr>
                <w:rFonts w:ascii="Garamond" w:hAnsi="Garamond"/>
                <w:bCs/>
                <w:spacing w:val="-4"/>
                <w:sz w:val="14"/>
                <w:szCs w:val="14"/>
                <w:lang w:val="sq-AL"/>
              </w:rPr>
            </w:pPr>
          </w:p>
        </w:tc>
        <w:tc>
          <w:tcPr>
            <w:tcW w:w="378" w:type="pct"/>
            <w:shd w:val="clear" w:color="auto" w:fill="auto"/>
          </w:tcPr>
          <w:p w14:paraId="6F9747D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19ABB6A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spacing w:val="-4"/>
                <w:sz w:val="14"/>
                <w:szCs w:val="14"/>
                <w:lang w:val="sq-AL"/>
              </w:rPr>
              <w:t>Draft-ligji është miratuar me VKM nr. 333, date 4.6.2014 dhe ka eliminuar kërkesën për të pasur vulë në faturat e TVSH</w:t>
            </w:r>
          </w:p>
        </w:tc>
      </w:tr>
      <w:tr w:rsidR="00B02CEC" w:rsidRPr="003B79F4" w14:paraId="47CCEEF4" w14:textId="77777777" w:rsidTr="00680053">
        <w:trPr>
          <w:jc w:val="center"/>
        </w:trPr>
        <w:tc>
          <w:tcPr>
            <w:tcW w:w="620" w:type="pct"/>
            <w:tcBorders>
              <w:bottom w:val="single" w:sz="4" w:space="0" w:color="auto"/>
            </w:tcBorders>
          </w:tcPr>
          <w:p w14:paraId="53E452C0"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Zbatimi i ligjit për firmën elektronike</w:t>
            </w:r>
          </w:p>
        </w:tc>
        <w:tc>
          <w:tcPr>
            <w:tcW w:w="1233" w:type="pct"/>
            <w:tcBorders>
              <w:bottom w:val="single" w:sz="4" w:space="0" w:color="auto"/>
            </w:tcBorders>
            <w:shd w:val="clear" w:color="auto" w:fill="auto"/>
          </w:tcPr>
          <w:p w14:paraId="794784D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Investime IT për të garantuar regjistrim të plotë </w:t>
            </w:r>
            <w:r w:rsidRPr="003B79F4">
              <w:rPr>
                <w:rFonts w:ascii="Garamond" w:hAnsi="Garamond"/>
                <w:bCs/>
                <w:i/>
                <w:spacing w:val="-4"/>
                <w:sz w:val="14"/>
                <w:szCs w:val="14"/>
                <w:lang w:val="sq-AL"/>
              </w:rPr>
              <w:t>on-line</w:t>
            </w:r>
            <w:r w:rsidRPr="003B79F4">
              <w:rPr>
                <w:rFonts w:ascii="Garamond" w:hAnsi="Garamond"/>
                <w:bCs/>
                <w:spacing w:val="-4"/>
                <w:sz w:val="14"/>
                <w:szCs w:val="14"/>
                <w:lang w:val="sq-AL"/>
              </w:rPr>
              <w:t xml:space="preserve"> </w:t>
            </w:r>
          </w:p>
        </w:tc>
        <w:tc>
          <w:tcPr>
            <w:tcW w:w="623" w:type="pct"/>
            <w:tcBorders>
              <w:bottom w:val="single" w:sz="4" w:space="0" w:color="auto"/>
            </w:tcBorders>
            <w:shd w:val="clear" w:color="auto" w:fill="auto"/>
          </w:tcPr>
          <w:p w14:paraId="47C0E87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Prill 2015</w:t>
            </w:r>
          </w:p>
        </w:tc>
        <w:tc>
          <w:tcPr>
            <w:tcW w:w="642" w:type="pct"/>
            <w:gridSpan w:val="3"/>
            <w:tcBorders>
              <w:bottom w:val="single" w:sz="4" w:space="0" w:color="auto"/>
            </w:tcBorders>
            <w:shd w:val="clear" w:color="auto" w:fill="auto"/>
          </w:tcPr>
          <w:p w14:paraId="4EA27FC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MZHETS/QKR</w:t>
            </w:r>
          </w:p>
        </w:tc>
        <w:tc>
          <w:tcPr>
            <w:tcW w:w="567" w:type="pct"/>
            <w:gridSpan w:val="2"/>
            <w:tcBorders>
              <w:bottom w:val="single" w:sz="4" w:space="0" w:color="auto"/>
            </w:tcBorders>
            <w:shd w:val="clear" w:color="auto" w:fill="auto"/>
          </w:tcPr>
          <w:p w14:paraId="4B0D0D1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Fillimi i biznesit vetëm në 1 hap, 1 ditë, 100 lekë</w:t>
            </w:r>
          </w:p>
        </w:tc>
        <w:tc>
          <w:tcPr>
            <w:tcW w:w="378" w:type="pct"/>
            <w:tcBorders>
              <w:bottom w:val="single" w:sz="4" w:space="0" w:color="auto"/>
            </w:tcBorders>
            <w:shd w:val="clear" w:color="auto" w:fill="auto"/>
          </w:tcPr>
          <w:p w14:paraId="4EBC521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tcBorders>
              <w:bottom w:val="single" w:sz="4" w:space="0" w:color="auto"/>
            </w:tcBorders>
            <w:shd w:val="clear" w:color="auto" w:fill="auto"/>
          </w:tcPr>
          <w:p w14:paraId="29A55C26"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0DCAD31C" w14:textId="77777777" w:rsidTr="00680053">
        <w:trPr>
          <w:jc w:val="center"/>
        </w:trPr>
        <w:tc>
          <w:tcPr>
            <w:tcW w:w="5000" w:type="pct"/>
            <w:gridSpan w:val="10"/>
            <w:shd w:val="clear" w:color="auto" w:fill="FFFFFF" w:themeFill="background1"/>
          </w:tcPr>
          <w:p w14:paraId="1BF7D59E" w14:textId="77777777" w:rsidR="00B02CEC" w:rsidRPr="003B79F4" w:rsidRDefault="00B02CEC" w:rsidP="00680053">
            <w:pPr>
              <w:widowControl w:val="0"/>
              <w:spacing w:after="0" w:line="240" w:lineRule="auto"/>
              <w:jc w:val="center"/>
              <w:rPr>
                <w:rFonts w:ascii="Garamond" w:hAnsi="Garamond"/>
                <w:b/>
                <w:spacing w:val="-4"/>
                <w:sz w:val="14"/>
                <w:szCs w:val="14"/>
                <w:lang w:val="sq-AL"/>
              </w:rPr>
            </w:pPr>
            <w:r w:rsidRPr="003B79F4">
              <w:rPr>
                <w:rFonts w:ascii="Garamond" w:hAnsi="Garamond"/>
                <w:b/>
                <w:spacing w:val="-4"/>
                <w:sz w:val="14"/>
                <w:szCs w:val="14"/>
                <w:lang w:val="sq-AL"/>
              </w:rPr>
              <w:t>Lejet e ndërtimit</w:t>
            </w:r>
          </w:p>
        </w:tc>
      </w:tr>
      <w:tr w:rsidR="00B02CEC" w:rsidRPr="003B79F4" w14:paraId="661FE76E" w14:textId="77777777" w:rsidTr="00680053">
        <w:trPr>
          <w:jc w:val="center"/>
        </w:trPr>
        <w:tc>
          <w:tcPr>
            <w:tcW w:w="620" w:type="pct"/>
            <w:tcBorders>
              <w:top w:val="single" w:sz="4" w:space="0" w:color="auto"/>
              <w:left w:val="single" w:sz="4" w:space="0" w:color="auto"/>
              <w:bottom w:val="single" w:sz="4" w:space="0" w:color="auto"/>
              <w:right w:val="single" w:sz="4" w:space="0" w:color="auto"/>
            </w:tcBorders>
            <w:hideMark/>
          </w:tcPr>
          <w:p w14:paraId="3911A24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Nxitja e transparencës sa i përket  dokumentacionit  dhe kërkesave të aplikimit për leje</w:t>
            </w:r>
          </w:p>
        </w:tc>
        <w:tc>
          <w:tcPr>
            <w:tcW w:w="1233" w:type="pct"/>
            <w:tcBorders>
              <w:top w:val="single" w:sz="4" w:space="0" w:color="auto"/>
              <w:left w:val="single" w:sz="4" w:space="0" w:color="auto"/>
              <w:bottom w:val="single" w:sz="4" w:space="0" w:color="auto"/>
              <w:right w:val="single" w:sz="4" w:space="0" w:color="auto"/>
            </w:tcBorders>
            <w:hideMark/>
          </w:tcPr>
          <w:p w14:paraId="748C489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Miratimi i projektligjit për “Për planifikimin dhe zhvillimin e territorit”  </w:t>
            </w:r>
          </w:p>
        </w:tc>
        <w:tc>
          <w:tcPr>
            <w:tcW w:w="623" w:type="pct"/>
            <w:tcBorders>
              <w:top w:val="single" w:sz="4" w:space="0" w:color="auto"/>
              <w:left w:val="single" w:sz="4" w:space="0" w:color="auto"/>
              <w:bottom w:val="single" w:sz="4" w:space="0" w:color="auto"/>
              <w:right w:val="single" w:sz="4" w:space="0" w:color="auto"/>
            </w:tcBorders>
          </w:tcPr>
          <w:p w14:paraId="44CA139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Shtator 2014</w:t>
            </w:r>
          </w:p>
          <w:p w14:paraId="175F3598"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34" w:type="pct"/>
            <w:gridSpan w:val="2"/>
            <w:tcBorders>
              <w:top w:val="single" w:sz="4" w:space="0" w:color="auto"/>
              <w:left w:val="single" w:sz="4" w:space="0" w:color="auto"/>
              <w:bottom w:val="single" w:sz="4" w:space="0" w:color="auto"/>
              <w:right w:val="single" w:sz="4" w:space="0" w:color="auto"/>
            </w:tcBorders>
            <w:hideMark/>
          </w:tcPr>
          <w:p w14:paraId="3A97CD9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MZHUT / AKPT</w:t>
            </w:r>
          </w:p>
        </w:tc>
        <w:tc>
          <w:tcPr>
            <w:tcW w:w="569" w:type="pct"/>
            <w:gridSpan w:val="2"/>
            <w:tcBorders>
              <w:top w:val="single" w:sz="4" w:space="0" w:color="auto"/>
              <w:left w:val="single" w:sz="4" w:space="0" w:color="auto"/>
              <w:bottom w:val="single" w:sz="4" w:space="0" w:color="auto"/>
              <w:right w:val="single" w:sz="4" w:space="0" w:color="auto"/>
            </w:tcBorders>
            <w:hideMark/>
          </w:tcPr>
          <w:p w14:paraId="6CB76E6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Rritja e transparencës dhe garantimi i  respektimit të afateve ligjore  </w:t>
            </w:r>
          </w:p>
        </w:tc>
        <w:tc>
          <w:tcPr>
            <w:tcW w:w="384" w:type="pct"/>
            <w:gridSpan w:val="2"/>
            <w:tcBorders>
              <w:top w:val="single" w:sz="4" w:space="0" w:color="auto"/>
              <w:left w:val="single" w:sz="4" w:space="0" w:color="auto"/>
              <w:bottom w:val="single" w:sz="4" w:space="0" w:color="auto"/>
              <w:right w:val="single" w:sz="4" w:space="0" w:color="auto"/>
            </w:tcBorders>
            <w:hideMark/>
          </w:tcPr>
          <w:p w14:paraId="54143180"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5" w:type="pct"/>
            <w:tcBorders>
              <w:top w:val="single" w:sz="4" w:space="0" w:color="auto"/>
              <w:left w:val="single" w:sz="4" w:space="0" w:color="auto"/>
              <w:bottom w:val="single" w:sz="4" w:space="0" w:color="auto"/>
              <w:right w:val="single" w:sz="4" w:space="0" w:color="auto"/>
            </w:tcBorders>
            <w:hideMark/>
          </w:tcPr>
          <w:p w14:paraId="25BBD68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Parashikohet që procesi i aplikimit dhe botimi i dokumentacionit të aplikimit të kryhet përmes Regjistrit të Planifikimit të Territorit. </w:t>
            </w:r>
          </w:p>
          <w:p w14:paraId="32223A3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Projektligji është  miratuar në Këshillin e Ministrave dhe pritet miratimi i tij nga Kuvendi.</w:t>
            </w:r>
          </w:p>
        </w:tc>
      </w:tr>
      <w:tr w:rsidR="00B02CEC" w:rsidRPr="003B79F4" w14:paraId="3A733387" w14:textId="77777777" w:rsidTr="00680053">
        <w:trPr>
          <w:trHeight w:val="1388"/>
          <w:jc w:val="center"/>
        </w:trPr>
        <w:tc>
          <w:tcPr>
            <w:tcW w:w="620" w:type="pct"/>
            <w:tcBorders>
              <w:top w:val="single" w:sz="4" w:space="0" w:color="auto"/>
              <w:left w:val="single" w:sz="4" w:space="0" w:color="auto"/>
              <w:bottom w:val="single" w:sz="4" w:space="0" w:color="auto"/>
              <w:right w:val="single" w:sz="4" w:space="0" w:color="auto"/>
            </w:tcBorders>
          </w:tcPr>
          <w:p w14:paraId="70FE618A"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lastRenderedPageBreak/>
              <w:t>Nxitja e transparencës sa i përket kërkesave të Agjencisë Rregullatore</w:t>
            </w:r>
          </w:p>
        </w:tc>
        <w:tc>
          <w:tcPr>
            <w:tcW w:w="1233" w:type="pct"/>
            <w:tcBorders>
              <w:top w:val="single" w:sz="4" w:space="0" w:color="auto"/>
              <w:left w:val="single" w:sz="4" w:space="0" w:color="auto"/>
              <w:bottom w:val="single" w:sz="4" w:space="0" w:color="auto"/>
              <w:right w:val="single" w:sz="4" w:space="0" w:color="auto"/>
            </w:tcBorders>
          </w:tcPr>
          <w:p w14:paraId="69F0F1A0"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 xml:space="preserve">Miratimi i </w:t>
            </w:r>
            <w:r w:rsidRPr="003B79F4">
              <w:rPr>
                <w:rFonts w:ascii="Garamond" w:hAnsi="Garamond"/>
                <w:bCs/>
                <w:spacing w:val="-4"/>
                <w:sz w:val="14"/>
                <w:szCs w:val="14"/>
                <w:lang w:val="sq-AL"/>
              </w:rPr>
              <w:t>projektligjit</w:t>
            </w:r>
            <w:r w:rsidRPr="003B79F4">
              <w:rPr>
                <w:rFonts w:ascii="Garamond" w:hAnsi="Garamond"/>
                <w:spacing w:val="-4"/>
                <w:sz w:val="14"/>
                <w:szCs w:val="14"/>
                <w:lang w:val="sq-AL"/>
              </w:rPr>
              <w:t xml:space="preserve"> “Për planifikimin dhe zhvillimin e territorit” </w:t>
            </w:r>
          </w:p>
        </w:tc>
        <w:tc>
          <w:tcPr>
            <w:tcW w:w="623" w:type="pct"/>
            <w:tcBorders>
              <w:top w:val="single" w:sz="4" w:space="0" w:color="auto"/>
              <w:left w:val="single" w:sz="4" w:space="0" w:color="auto"/>
              <w:bottom w:val="single" w:sz="4" w:space="0" w:color="auto"/>
              <w:right w:val="single" w:sz="4" w:space="0" w:color="auto"/>
            </w:tcBorders>
          </w:tcPr>
          <w:p w14:paraId="5B728920"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Shtator 2014</w:t>
            </w:r>
          </w:p>
        </w:tc>
        <w:tc>
          <w:tcPr>
            <w:tcW w:w="634" w:type="pct"/>
            <w:gridSpan w:val="2"/>
            <w:tcBorders>
              <w:top w:val="single" w:sz="4" w:space="0" w:color="auto"/>
              <w:left w:val="single" w:sz="4" w:space="0" w:color="auto"/>
              <w:bottom w:val="single" w:sz="4" w:space="0" w:color="auto"/>
              <w:right w:val="single" w:sz="4" w:space="0" w:color="auto"/>
            </w:tcBorders>
          </w:tcPr>
          <w:p w14:paraId="54037015"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MZHUT / AKPT</w:t>
            </w:r>
          </w:p>
        </w:tc>
        <w:tc>
          <w:tcPr>
            <w:tcW w:w="569" w:type="pct"/>
            <w:gridSpan w:val="2"/>
            <w:tcBorders>
              <w:top w:val="single" w:sz="4" w:space="0" w:color="auto"/>
              <w:left w:val="single" w:sz="4" w:space="0" w:color="auto"/>
              <w:bottom w:val="single" w:sz="4" w:space="0" w:color="auto"/>
              <w:right w:val="single" w:sz="4" w:space="0" w:color="auto"/>
            </w:tcBorders>
          </w:tcPr>
          <w:p w14:paraId="22EFBF34"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Rritja e transparencës për qytetarët dhe NJQV-të në lidhje me dokumentacionin e planifikimit dhe kontrollit të zhvillimit</w:t>
            </w:r>
          </w:p>
        </w:tc>
        <w:tc>
          <w:tcPr>
            <w:tcW w:w="384" w:type="pct"/>
            <w:gridSpan w:val="2"/>
            <w:tcBorders>
              <w:top w:val="single" w:sz="4" w:space="0" w:color="auto"/>
              <w:left w:val="single" w:sz="4" w:space="0" w:color="auto"/>
              <w:bottom w:val="single" w:sz="4" w:space="0" w:color="auto"/>
              <w:right w:val="single" w:sz="4" w:space="0" w:color="auto"/>
            </w:tcBorders>
          </w:tcPr>
          <w:p w14:paraId="6287051B"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DB 2016</w:t>
            </w:r>
          </w:p>
        </w:tc>
        <w:tc>
          <w:tcPr>
            <w:tcW w:w="935" w:type="pct"/>
            <w:tcBorders>
              <w:top w:val="single" w:sz="4" w:space="0" w:color="auto"/>
              <w:left w:val="single" w:sz="4" w:space="0" w:color="auto"/>
              <w:bottom w:val="single" w:sz="4" w:space="0" w:color="auto"/>
              <w:right w:val="single" w:sz="4" w:space="0" w:color="auto"/>
            </w:tcBorders>
          </w:tcPr>
          <w:p w14:paraId="70DBC721"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Agjencia Kombëtare e Planifikimit të Territorit në momentin që konstaton që ka mangësi në publikimin e deklarimeve mbi planet dhe zhvillimet në territor njofton menjëherë me shkresë zyrtare autoritetet përkatëse të planifikimit dhe vë në dijeni menjëherë autoritetet e inspektimit.</w:t>
            </w:r>
          </w:p>
        </w:tc>
      </w:tr>
      <w:tr w:rsidR="00B02CEC" w:rsidRPr="003B79F4" w14:paraId="311EEFA5" w14:textId="77777777" w:rsidTr="00680053">
        <w:trPr>
          <w:jc w:val="center"/>
        </w:trPr>
        <w:tc>
          <w:tcPr>
            <w:tcW w:w="620" w:type="pct"/>
            <w:tcBorders>
              <w:top w:val="single" w:sz="4" w:space="0" w:color="auto"/>
              <w:left w:val="single" w:sz="4" w:space="0" w:color="auto"/>
              <w:bottom w:val="single" w:sz="4" w:space="0" w:color="auto"/>
              <w:right w:val="single" w:sz="4" w:space="0" w:color="auto"/>
            </w:tcBorders>
            <w:hideMark/>
          </w:tcPr>
          <w:p w14:paraId="708C834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Bërja e planeve urbane të aksesueshme </w:t>
            </w:r>
            <w:r w:rsidRPr="003B79F4">
              <w:rPr>
                <w:rFonts w:ascii="Garamond" w:hAnsi="Garamond"/>
                <w:bCs/>
                <w:i/>
                <w:spacing w:val="-4"/>
                <w:sz w:val="14"/>
                <w:szCs w:val="14"/>
                <w:lang w:val="sq-AL"/>
              </w:rPr>
              <w:t>on -line</w:t>
            </w:r>
          </w:p>
        </w:tc>
        <w:tc>
          <w:tcPr>
            <w:tcW w:w="1233" w:type="pct"/>
            <w:tcBorders>
              <w:top w:val="single" w:sz="4" w:space="0" w:color="auto"/>
              <w:left w:val="single" w:sz="4" w:space="0" w:color="auto"/>
              <w:bottom w:val="single" w:sz="4" w:space="0" w:color="auto"/>
              <w:right w:val="single" w:sz="4" w:space="0" w:color="auto"/>
            </w:tcBorders>
          </w:tcPr>
          <w:p w14:paraId="5996293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Botimi i planeve kombëtare dhe vendore në portalin e AKPT-së</w:t>
            </w:r>
          </w:p>
          <w:p w14:paraId="70B71F54"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23" w:type="pct"/>
            <w:tcBorders>
              <w:top w:val="single" w:sz="4" w:space="0" w:color="auto"/>
              <w:left w:val="single" w:sz="4" w:space="0" w:color="auto"/>
              <w:bottom w:val="single" w:sz="4" w:space="0" w:color="auto"/>
              <w:right w:val="single" w:sz="4" w:space="0" w:color="auto"/>
            </w:tcBorders>
            <w:hideMark/>
          </w:tcPr>
          <w:p w14:paraId="3C39D440"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Janar 2015</w:t>
            </w:r>
          </w:p>
        </w:tc>
        <w:tc>
          <w:tcPr>
            <w:tcW w:w="634" w:type="pct"/>
            <w:gridSpan w:val="2"/>
            <w:tcBorders>
              <w:top w:val="single" w:sz="4" w:space="0" w:color="auto"/>
              <w:left w:val="single" w:sz="4" w:space="0" w:color="auto"/>
              <w:bottom w:val="single" w:sz="4" w:space="0" w:color="auto"/>
              <w:right w:val="single" w:sz="4" w:space="0" w:color="auto"/>
            </w:tcBorders>
            <w:hideMark/>
          </w:tcPr>
          <w:p w14:paraId="1190631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AKPT</w:t>
            </w:r>
          </w:p>
        </w:tc>
        <w:tc>
          <w:tcPr>
            <w:tcW w:w="569" w:type="pct"/>
            <w:gridSpan w:val="2"/>
            <w:tcBorders>
              <w:top w:val="single" w:sz="4" w:space="0" w:color="auto"/>
              <w:left w:val="single" w:sz="4" w:space="0" w:color="auto"/>
              <w:bottom w:val="single" w:sz="4" w:space="0" w:color="auto"/>
              <w:right w:val="single" w:sz="4" w:space="0" w:color="auto"/>
            </w:tcBorders>
            <w:hideMark/>
          </w:tcPr>
          <w:p w14:paraId="6B36E410"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Rritja e transparencës për qytetarët dhe zhvilluesit e territorit</w:t>
            </w:r>
          </w:p>
        </w:tc>
        <w:tc>
          <w:tcPr>
            <w:tcW w:w="384" w:type="pct"/>
            <w:gridSpan w:val="2"/>
            <w:tcBorders>
              <w:top w:val="single" w:sz="4" w:space="0" w:color="auto"/>
              <w:left w:val="single" w:sz="4" w:space="0" w:color="auto"/>
              <w:bottom w:val="single" w:sz="4" w:space="0" w:color="auto"/>
              <w:right w:val="single" w:sz="4" w:space="0" w:color="auto"/>
            </w:tcBorders>
            <w:hideMark/>
          </w:tcPr>
          <w:p w14:paraId="33D8312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5" w:type="pct"/>
            <w:tcBorders>
              <w:top w:val="single" w:sz="4" w:space="0" w:color="auto"/>
              <w:left w:val="single" w:sz="4" w:space="0" w:color="auto"/>
              <w:bottom w:val="single" w:sz="4" w:space="0" w:color="auto"/>
              <w:right w:val="single" w:sz="4" w:space="0" w:color="auto"/>
            </w:tcBorders>
            <w:hideMark/>
          </w:tcPr>
          <w:p w14:paraId="07E34C77"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Autoritetet vendore të planifikimit kanë detyrimin ligjor për botim në regjistër të instrumenteve të planifikimit.</w:t>
            </w:r>
          </w:p>
          <w:p w14:paraId="35F91EC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Krahas kësaj, AKPT do të botojë në portalin e saj të gjitha planet e miratuara për akses më të gjerë nga publiku.</w:t>
            </w:r>
          </w:p>
        </w:tc>
      </w:tr>
      <w:tr w:rsidR="00B02CEC" w:rsidRPr="003B79F4" w14:paraId="134AB098" w14:textId="77777777" w:rsidTr="00680053">
        <w:trPr>
          <w:jc w:val="center"/>
        </w:trPr>
        <w:tc>
          <w:tcPr>
            <w:tcW w:w="620" w:type="pct"/>
            <w:tcBorders>
              <w:top w:val="single" w:sz="4" w:space="0" w:color="auto"/>
              <w:left w:val="single" w:sz="4" w:space="0" w:color="auto"/>
              <w:bottom w:val="single" w:sz="4" w:space="0" w:color="auto"/>
              <w:right w:val="single" w:sz="4" w:space="0" w:color="auto"/>
            </w:tcBorders>
          </w:tcPr>
          <w:p w14:paraId="0ADC52A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Dhënia e mundësisë zhvilluesve për të bërë ndryshime në projektin fillestar gjatë procesit të ndërtimit</w:t>
            </w:r>
          </w:p>
        </w:tc>
        <w:tc>
          <w:tcPr>
            <w:tcW w:w="1233" w:type="pct"/>
            <w:tcBorders>
              <w:top w:val="single" w:sz="4" w:space="0" w:color="auto"/>
              <w:left w:val="single" w:sz="4" w:space="0" w:color="auto"/>
              <w:bottom w:val="single" w:sz="4" w:space="0" w:color="auto"/>
              <w:right w:val="single" w:sz="4" w:space="0" w:color="auto"/>
            </w:tcBorders>
            <w:hideMark/>
          </w:tcPr>
          <w:p w14:paraId="415A9B1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Miratimi i projektligjit “Për planifikimin dhe zhvillimin e territorit”</w:t>
            </w:r>
          </w:p>
        </w:tc>
        <w:tc>
          <w:tcPr>
            <w:tcW w:w="623" w:type="pct"/>
            <w:tcBorders>
              <w:top w:val="single" w:sz="4" w:space="0" w:color="auto"/>
              <w:left w:val="single" w:sz="4" w:space="0" w:color="auto"/>
              <w:bottom w:val="single" w:sz="4" w:space="0" w:color="auto"/>
              <w:right w:val="single" w:sz="4" w:space="0" w:color="auto"/>
            </w:tcBorders>
          </w:tcPr>
          <w:p w14:paraId="4BFDA35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Shtator 2014</w:t>
            </w:r>
          </w:p>
          <w:p w14:paraId="5C6F36F6"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34" w:type="pct"/>
            <w:gridSpan w:val="2"/>
            <w:tcBorders>
              <w:top w:val="single" w:sz="4" w:space="0" w:color="auto"/>
              <w:left w:val="single" w:sz="4" w:space="0" w:color="auto"/>
              <w:bottom w:val="single" w:sz="4" w:space="0" w:color="auto"/>
              <w:right w:val="single" w:sz="4" w:space="0" w:color="auto"/>
            </w:tcBorders>
            <w:hideMark/>
          </w:tcPr>
          <w:p w14:paraId="319C61B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MZHUT / AKPT</w:t>
            </w:r>
          </w:p>
        </w:tc>
        <w:tc>
          <w:tcPr>
            <w:tcW w:w="569" w:type="pct"/>
            <w:gridSpan w:val="2"/>
            <w:tcBorders>
              <w:top w:val="single" w:sz="4" w:space="0" w:color="auto"/>
              <w:left w:val="single" w:sz="4" w:space="0" w:color="auto"/>
              <w:bottom w:val="single" w:sz="4" w:space="0" w:color="auto"/>
              <w:right w:val="single" w:sz="4" w:space="0" w:color="auto"/>
            </w:tcBorders>
            <w:hideMark/>
          </w:tcPr>
          <w:p w14:paraId="575DAE5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Reduktimi i procedurave dhe i kohës për zbatimin e lejes së zhvillimit.</w:t>
            </w:r>
          </w:p>
        </w:tc>
        <w:tc>
          <w:tcPr>
            <w:tcW w:w="384" w:type="pct"/>
            <w:gridSpan w:val="2"/>
            <w:tcBorders>
              <w:top w:val="single" w:sz="4" w:space="0" w:color="auto"/>
              <w:left w:val="single" w:sz="4" w:space="0" w:color="auto"/>
              <w:bottom w:val="single" w:sz="4" w:space="0" w:color="auto"/>
              <w:right w:val="single" w:sz="4" w:space="0" w:color="auto"/>
            </w:tcBorders>
            <w:hideMark/>
          </w:tcPr>
          <w:p w14:paraId="3FF5A83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5" w:type="pct"/>
            <w:tcBorders>
              <w:top w:val="single" w:sz="4" w:space="0" w:color="auto"/>
              <w:left w:val="single" w:sz="4" w:space="0" w:color="auto"/>
              <w:bottom w:val="single" w:sz="4" w:space="0" w:color="auto"/>
              <w:right w:val="single" w:sz="4" w:space="0" w:color="auto"/>
            </w:tcBorders>
            <w:hideMark/>
          </w:tcPr>
          <w:p w14:paraId="4E439F7F"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Projektligji parashikon rishikimin e kushteve të lejes së zhvillimit në rast se gjatë kryerjes së punimeve hasen situata të paparashikuara ekonomike që e bëjnë të pamundur realizimin e projektit fillestar.</w:t>
            </w:r>
          </w:p>
        </w:tc>
      </w:tr>
      <w:tr w:rsidR="00B02CEC" w:rsidRPr="003B79F4" w14:paraId="3940B3B6" w14:textId="77777777" w:rsidTr="00680053">
        <w:trPr>
          <w:jc w:val="center"/>
        </w:trPr>
        <w:tc>
          <w:tcPr>
            <w:tcW w:w="620" w:type="pct"/>
            <w:tcBorders>
              <w:top w:val="single" w:sz="4" w:space="0" w:color="auto"/>
              <w:left w:val="single" w:sz="4" w:space="0" w:color="auto"/>
              <w:bottom w:val="single" w:sz="4" w:space="0" w:color="auto"/>
              <w:right w:val="single" w:sz="4" w:space="0" w:color="auto"/>
            </w:tcBorders>
            <w:hideMark/>
          </w:tcPr>
          <w:p w14:paraId="33656873"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Bërja e aplikimit për leje ndërtimi e aksesueshme </w:t>
            </w:r>
            <w:r w:rsidRPr="003B79F4">
              <w:rPr>
                <w:rFonts w:ascii="Garamond" w:hAnsi="Garamond"/>
                <w:bCs/>
                <w:i/>
                <w:spacing w:val="-4"/>
                <w:sz w:val="14"/>
                <w:szCs w:val="14"/>
                <w:lang w:val="sq-AL"/>
              </w:rPr>
              <w:t>on-line</w:t>
            </w:r>
            <w:r w:rsidRPr="003B79F4">
              <w:rPr>
                <w:rFonts w:ascii="Garamond" w:hAnsi="Garamond"/>
                <w:bCs/>
                <w:spacing w:val="-4"/>
                <w:sz w:val="14"/>
                <w:szCs w:val="14"/>
                <w:lang w:val="sq-AL"/>
              </w:rPr>
              <w:t xml:space="preserve"> në </w:t>
            </w:r>
            <w:r w:rsidRPr="003B79F4">
              <w:rPr>
                <w:rFonts w:ascii="Garamond" w:hAnsi="Garamond"/>
                <w:bCs/>
                <w:i/>
                <w:spacing w:val="-4"/>
                <w:sz w:val="14"/>
                <w:szCs w:val="14"/>
                <w:lang w:val="sq-AL"/>
              </w:rPr>
              <w:t>web</w:t>
            </w:r>
            <w:r w:rsidRPr="003B79F4">
              <w:rPr>
                <w:rFonts w:ascii="Garamond" w:hAnsi="Garamond"/>
                <w:bCs/>
                <w:spacing w:val="-4"/>
                <w:sz w:val="14"/>
                <w:szCs w:val="14"/>
                <w:lang w:val="sq-AL"/>
              </w:rPr>
              <w:t>-in e Bashkisë së Tiranës</w:t>
            </w:r>
          </w:p>
        </w:tc>
        <w:tc>
          <w:tcPr>
            <w:tcW w:w="1233" w:type="pct"/>
            <w:tcBorders>
              <w:top w:val="single" w:sz="4" w:space="0" w:color="auto"/>
              <w:left w:val="single" w:sz="4" w:space="0" w:color="auto"/>
              <w:bottom w:val="single" w:sz="4" w:space="0" w:color="auto"/>
              <w:right w:val="single" w:sz="4" w:space="0" w:color="auto"/>
            </w:tcBorders>
            <w:hideMark/>
          </w:tcPr>
          <w:p w14:paraId="5464C437"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Miratimi i projektligjit “Për planifikimin dhe zhvillimin e territorit”.</w:t>
            </w:r>
          </w:p>
        </w:tc>
        <w:tc>
          <w:tcPr>
            <w:tcW w:w="623" w:type="pct"/>
            <w:tcBorders>
              <w:top w:val="single" w:sz="4" w:space="0" w:color="auto"/>
              <w:left w:val="single" w:sz="4" w:space="0" w:color="auto"/>
              <w:bottom w:val="single" w:sz="4" w:space="0" w:color="auto"/>
              <w:right w:val="single" w:sz="4" w:space="0" w:color="auto"/>
            </w:tcBorders>
          </w:tcPr>
          <w:p w14:paraId="38C853E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Shtator 2014</w:t>
            </w:r>
          </w:p>
          <w:p w14:paraId="7847FAFE"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7C74CAF2"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279A9CAD"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71796EF0"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34" w:type="pct"/>
            <w:gridSpan w:val="2"/>
            <w:tcBorders>
              <w:top w:val="single" w:sz="4" w:space="0" w:color="auto"/>
              <w:left w:val="single" w:sz="4" w:space="0" w:color="auto"/>
              <w:bottom w:val="single" w:sz="4" w:space="0" w:color="auto"/>
              <w:right w:val="single" w:sz="4" w:space="0" w:color="auto"/>
            </w:tcBorders>
            <w:hideMark/>
          </w:tcPr>
          <w:p w14:paraId="5AA1E213"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MZHUT / AKPT /NJQV</w:t>
            </w:r>
          </w:p>
        </w:tc>
        <w:tc>
          <w:tcPr>
            <w:tcW w:w="569" w:type="pct"/>
            <w:gridSpan w:val="2"/>
            <w:tcBorders>
              <w:top w:val="single" w:sz="4" w:space="0" w:color="auto"/>
              <w:left w:val="single" w:sz="4" w:space="0" w:color="auto"/>
              <w:bottom w:val="single" w:sz="4" w:space="0" w:color="auto"/>
              <w:right w:val="single" w:sz="4" w:space="0" w:color="auto"/>
            </w:tcBorders>
            <w:hideMark/>
          </w:tcPr>
          <w:p w14:paraId="0F6ADA8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Nxit transparencën. </w:t>
            </w:r>
          </w:p>
        </w:tc>
        <w:tc>
          <w:tcPr>
            <w:tcW w:w="384" w:type="pct"/>
            <w:gridSpan w:val="2"/>
            <w:tcBorders>
              <w:top w:val="single" w:sz="4" w:space="0" w:color="auto"/>
              <w:left w:val="single" w:sz="4" w:space="0" w:color="auto"/>
              <w:bottom w:val="single" w:sz="4" w:space="0" w:color="auto"/>
              <w:right w:val="single" w:sz="4" w:space="0" w:color="auto"/>
            </w:tcBorders>
            <w:hideMark/>
          </w:tcPr>
          <w:p w14:paraId="114E4EE7"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5" w:type="pct"/>
            <w:tcBorders>
              <w:top w:val="single" w:sz="4" w:space="0" w:color="auto"/>
              <w:left w:val="single" w:sz="4" w:space="0" w:color="auto"/>
              <w:bottom w:val="single" w:sz="4" w:space="0" w:color="auto"/>
              <w:right w:val="single" w:sz="4" w:space="0" w:color="auto"/>
            </w:tcBorders>
          </w:tcPr>
          <w:p w14:paraId="0435AFF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Projektligji parashikon mundësinë e aplikimit </w:t>
            </w:r>
            <w:r w:rsidRPr="003B79F4">
              <w:rPr>
                <w:rFonts w:ascii="Garamond" w:hAnsi="Garamond"/>
                <w:bCs/>
                <w:i/>
                <w:spacing w:val="-4"/>
                <w:sz w:val="14"/>
                <w:szCs w:val="14"/>
                <w:lang w:val="sq-AL"/>
              </w:rPr>
              <w:t>on-line</w:t>
            </w:r>
            <w:r w:rsidRPr="003B79F4">
              <w:rPr>
                <w:rFonts w:ascii="Garamond" w:hAnsi="Garamond"/>
                <w:bCs/>
                <w:spacing w:val="-4"/>
                <w:sz w:val="14"/>
                <w:szCs w:val="14"/>
                <w:lang w:val="sq-AL"/>
              </w:rPr>
              <w:t xml:space="preserve"> dhe aksesueshmërinë e aplikimeve përmes Regjistrit të Planifikimit të Territorit për të gjitha bashkitë dhe komunat e vendit</w:t>
            </w:r>
          </w:p>
          <w:p w14:paraId="1AAB509F" w14:textId="77777777" w:rsidR="00B02CEC" w:rsidRPr="003B79F4" w:rsidRDefault="00B02CEC" w:rsidP="00680053">
            <w:pPr>
              <w:widowControl w:val="0"/>
              <w:spacing w:after="0" w:line="240" w:lineRule="auto"/>
              <w:rPr>
                <w:rFonts w:ascii="Garamond" w:hAnsi="Garamond"/>
                <w:bCs/>
                <w:color w:val="FF0000"/>
                <w:spacing w:val="-4"/>
                <w:sz w:val="14"/>
                <w:szCs w:val="14"/>
                <w:lang w:val="sq-AL"/>
              </w:rPr>
            </w:pPr>
            <w:r w:rsidRPr="003B79F4">
              <w:rPr>
                <w:rFonts w:ascii="Garamond" w:hAnsi="Garamond"/>
                <w:bCs/>
                <w:spacing w:val="-4"/>
                <w:sz w:val="14"/>
                <w:szCs w:val="14"/>
                <w:lang w:val="sq-AL"/>
              </w:rPr>
              <w:t>Realizimi konkret i rekomandimit  do të varet nga mundësitë financiare për krijimin e platformës së aplikimit.</w:t>
            </w:r>
          </w:p>
        </w:tc>
      </w:tr>
      <w:tr w:rsidR="00B02CEC" w:rsidRPr="003B79F4" w14:paraId="16EB6BDC" w14:textId="77777777" w:rsidTr="00680053">
        <w:trPr>
          <w:jc w:val="center"/>
        </w:trPr>
        <w:tc>
          <w:tcPr>
            <w:tcW w:w="620" w:type="pct"/>
            <w:tcBorders>
              <w:top w:val="single" w:sz="4" w:space="0" w:color="auto"/>
              <w:left w:val="single" w:sz="4" w:space="0" w:color="auto"/>
              <w:bottom w:val="single" w:sz="4" w:space="0" w:color="auto"/>
              <w:right w:val="single" w:sz="4" w:space="0" w:color="auto"/>
            </w:tcBorders>
          </w:tcPr>
          <w:p w14:paraId="023B1FB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Krijimi i një procesi të përshpejtuar inspektimi për disa lloje ndërtimesh.</w:t>
            </w:r>
          </w:p>
          <w:p w14:paraId="313B8339"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5325E4D8"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6FC919B8"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10EC8D3A"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tcBorders>
              <w:top w:val="single" w:sz="4" w:space="0" w:color="auto"/>
              <w:left w:val="single" w:sz="4" w:space="0" w:color="auto"/>
              <w:bottom w:val="single" w:sz="4" w:space="0" w:color="auto"/>
              <w:right w:val="single" w:sz="4" w:space="0" w:color="auto"/>
            </w:tcBorders>
            <w:hideMark/>
          </w:tcPr>
          <w:p w14:paraId="5DF29467"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Miratimi i projektligjit “Për planifikimin dhe zhvillimin e territorit”.</w:t>
            </w:r>
          </w:p>
        </w:tc>
        <w:tc>
          <w:tcPr>
            <w:tcW w:w="623" w:type="pct"/>
            <w:tcBorders>
              <w:top w:val="single" w:sz="4" w:space="0" w:color="auto"/>
              <w:left w:val="single" w:sz="4" w:space="0" w:color="auto"/>
              <w:bottom w:val="single" w:sz="4" w:space="0" w:color="auto"/>
              <w:right w:val="single" w:sz="4" w:space="0" w:color="auto"/>
            </w:tcBorders>
            <w:hideMark/>
          </w:tcPr>
          <w:p w14:paraId="3E34254F"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Shtator 2014</w:t>
            </w:r>
          </w:p>
        </w:tc>
        <w:tc>
          <w:tcPr>
            <w:tcW w:w="634" w:type="pct"/>
            <w:gridSpan w:val="2"/>
            <w:tcBorders>
              <w:top w:val="single" w:sz="4" w:space="0" w:color="auto"/>
              <w:left w:val="single" w:sz="4" w:space="0" w:color="auto"/>
              <w:bottom w:val="single" w:sz="4" w:space="0" w:color="auto"/>
              <w:right w:val="single" w:sz="4" w:space="0" w:color="auto"/>
            </w:tcBorders>
            <w:hideMark/>
          </w:tcPr>
          <w:p w14:paraId="7188252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MZHUT /AKPT</w:t>
            </w:r>
          </w:p>
        </w:tc>
        <w:tc>
          <w:tcPr>
            <w:tcW w:w="569" w:type="pct"/>
            <w:gridSpan w:val="2"/>
            <w:tcBorders>
              <w:top w:val="single" w:sz="4" w:space="0" w:color="auto"/>
              <w:left w:val="single" w:sz="4" w:space="0" w:color="auto"/>
              <w:bottom w:val="single" w:sz="4" w:space="0" w:color="auto"/>
              <w:right w:val="single" w:sz="4" w:space="0" w:color="auto"/>
            </w:tcBorders>
            <w:hideMark/>
          </w:tcPr>
          <w:p w14:paraId="0F05769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Reduktimi i kohës, lehtësimi i procedurave, nxitja e transparencës në fazën e inspektimit</w:t>
            </w:r>
          </w:p>
        </w:tc>
        <w:tc>
          <w:tcPr>
            <w:tcW w:w="384" w:type="pct"/>
            <w:gridSpan w:val="2"/>
            <w:tcBorders>
              <w:top w:val="single" w:sz="4" w:space="0" w:color="auto"/>
              <w:left w:val="single" w:sz="4" w:space="0" w:color="auto"/>
              <w:bottom w:val="single" w:sz="4" w:space="0" w:color="auto"/>
              <w:right w:val="single" w:sz="4" w:space="0" w:color="auto"/>
            </w:tcBorders>
          </w:tcPr>
          <w:p w14:paraId="5FA39F20"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5" w:type="pct"/>
            <w:tcBorders>
              <w:top w:val="single" w:sz="4" w:space="0" w:color="auto"/>
              <w:left w:val="single" w:sz="4" w:space="0" w:color="auto"/>
              <w:bottom w:val="single" w:sz="4" w:space="0" w:color="auto"/>
              <w:right w:val="single" w:sz="4" w:space="0" w:color="auto"/>
            </w:tcBorders>
          </w:tcPr>
          <w:p w14:paraId="231C7CC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Projektligji i propozuar nuk parashikon një procedurë të përshpejtuar për ndërtime me rrezikshmëri të ulët dhe, rrjedhimisht, as procese të ndryshme inspektimi në varësi të llojeve të ndërtimit, por parashikon miratimin në heshtje për lejen e përdorimit të objektit  në rast se nuk është marrë vendim brenda 15 ditëve nga afati përkatës dhe subjekti ka plotësuar pa shkelje të gjitha aktet e kontrollit. </w:t>
            </w:r>
          </w:p>
        </w:tc>
      </w:tr>
      <w:tr w:rsidR="00B02CEC" w:rsidRPr="003B79F4" w14:paraId="4B8E430C" w14:textId="77777777" w:rsidTr="00680053">
        <w:trPr>
          <w:trHeight w:val="651"/>
          <w:jc w:val="center"/>
        </w:trPr>
        <w:tc>
          <w:tcPr>
            <w:tcW w:w="620" w:type="pct"/>
            <w:tcBorders>
              <w:top w:val="single" w:sz="4" w:space="0" w:color="auto"/>
              <w:left w:val="single" w:sz="4" w:space="0" w:color="auto"/>
              <w:bottom w:val="single" w:sz="4" w:space="0" w:color="auto"/>
              <w:right w:val="single" w:sz="4" w:space="0" w:color="auto"/>
            </w:tcBorders>
          </w:tcPr>
          <w:p w14:paraId="609585A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Vlerësimi i mundësive për përdorimin e teknologjive të reja për të zgjeruar procesin e automatizimit</w:t>
            </w:r>
          </w:p>
        </w:tc>
        <w:tc>
          <w:tcPr>
            <w:tcW w:w="1233" w:type="pct"/>
            <w:tcBorders>
              <w:top w:val="single" w:sz="4" w:space="0" w:color="auto"/>
              <w:left w:val="single" w:sz="4" w:space="0" w:color="auto"/>
              <w:bottom w:val="single" w:sz="4" w:space="0" w:color="auto"/>
              <w:right w:val="single" w:sz="4" w:space="0" w:color="auto"/>
            </w:tcBorders>
            <w:hideMark/>
          </w:tcPr>
          <w:p w14:paraId="633624DF"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Miratimi i projektligjit “Për planifikimin dhe zhvillimin e territorit”.</w:t>
            </w:r>
          </w:p>
          <w:p w14:paraId="2F3175D9"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23" w:type="pct"/>
            <w:tcBorders>
              <w:top w:val="single" w:sz="4" w:space="0" w:color="auto"/>
              <w:left w:val="single" w:sz="4" w:space="0" w:color="auto"/>
              <w:bottom w:val="single" w:sz="4" w:space="0" w:color="auto"/>
              <w:right w:val="single" w:sz="4" w:space="0" w:color="auto"/>
            </w:tcBorders>
          </w:tcPr>
          <w:p w14:paraId="1782E2D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Shtator 2014</w:t>
            </w:r>
          </w:p>
          <w:p w14:paraId="134455BA"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3F998654"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21" w:type="pct"/>
            <w:tcBorders>
              <w:top w:val="single" w:sz="4" w:space="0" w:color="auto"/>
              <w:left w:val="single" w:sz="4" w:space="0" w:color="auto"/>
              <w:bottom w:val="single" w:sz="4" w:space="0" w:color="auto"/>
              <w:right w:val="single" w:sz="4" w:space="0" w:color="auto"/>
            </w:tcBorders>
            <w:hideMark/>
          </w:tcPr>
          <w:p w14:paraId="7FC3227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MZHUT / AKPT / NJQV</w:t>
            </w:r>
          </w:p>
        </w:tc>
        <w:tc>
          <w:tcPr>
            <w:tcW w:w="582" w:type="pct"/>
            <w:gridSpan w:val="3"/>
            <w:tcBorders>
              <w:top w:val="single" w:sz="4" w:space="0" w:color="auto"/>
              <w:left w:val="single" w:sz="4" w:space="0" w:color="auto"/>
              <w:bottom w:val="single" w:sz="4" w:space="0" w:color="auto"/>
              <w:right w:val="single" w:sz="4" w:space="0" w:color="auto"/>
            </w:tcBorders>
          </w:tcPr>
          <w:p w14:paraId="7C0E739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Thjeshtësimi procedurave të aplikimit për leje zhvillimi, reduktimi i kohës, rritja e transparencës</w:t>
            </w:r>
          </w:p>
        </w:tc>
        <w:tc>
          <w:tcPr>
            <w:tcW w:w="384" w:type="pct"/>
            <w:gridSpan w:val="2"/>
            <w:tcBorders>
              <w:top w:val="single" w:sz="4" w:space="0" w:color="auto"/>
              <w:left w:val="single" w:sz="4" w:space="0" w:color="auto"/>
              <w:bottom w:val="single" w:sz="4" w:space="0" w:color="auto"/>
              <w:right w:val="single" w:sz="4" w:space="0" w:color="auto"/>
            </w:tcBorders>
            <w:hideMark/>
          </w:tcPr>
          <w:p w14:paraId="5176516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5" w:type="pct"/>
            <w:tcBorders>
              <w:top w:val="single" w:sz="4" w:space="0" w:color="auto"/>
              <w:left w:val="single" w:sz="4" w:space="0" w:color="auto"/>
              <w:bottom w:val="single" w:sz="4" w:space="0" w:color="auto"/>
              <w:right w:val="single" w:sz="4" w:space="0" w:color="auto"/>
            </w:tcBorders>
            <w:hideMark/>
          </w:tcPr>
          <w:p w14:paraId="431D067A"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3B3500EB" w14:textId="77777777" w:rsidTr="00680053">
        <w:trPr>
          <w:jc w:val="center"/>
        </w:trPr>
        <w:tc>
          <w:tcPr>
            <w:tcW w:w="620" w:type="pct"/>
            <w:shd w:val="clear" w:color="auto" w:fill="FFFFFF" w:themeFill="background1"/>
          </w:tcPr>
          <w:p w14:paraId="2BAEFD33" w14:textId="77777777" w:rsidR="00B02CEC" w:rsidRPr="003B79F4" w:rsidRDefault="00B02CEC" w:rsidP="00680053">
            <w:pPr>
              <w:widowControl w:val="0"/>
              <w:spacing w:after="0" w:line="240" w:lineRule="auto"/>
              <w:rPr>
                <w:rFonts w:ascii="Garamond" w:hAnsi="Garamond"/>
                <w:b/>
                <w:spacing w:val="-4"/>
                <w:sz w:val="14"/>
                <w:szCs w:val="14"/>
                <w:lang w:val="sq-AL"/>
              </w:rPr>
            </w:pPr>
          </w:p>
        </w:tc>
        <w:tc>
          <w:tcPr>
            <w:tcW w:w="4380" w:type="pct"/>
            <w:gridSpan w:val="9"/>
            <w:shd w:val="clear" w:color="auto" w:fill="FFFFFF" w:themeFill="background1"/>
          </w:tcPr>
          <w:p w14:paraId="73345F32" w14:textId="77777777" w:rsidR="00B02CEC" w:rsidRPr="003B79F4" w:rsidRDefault="00B02CEC" w:rsidP="00680053">
            <w:pPr>
              <w:widowControl w:val="0"/>
              <w:spacing w:after="0" w:line="240" w:lineRule="auto"/>
              <w:jc w:val="center"/>
              <w:rPr>
                <w:rFonts w:ascii="Garamond" w:hAnsi="Garamond"/>
                <w:b/>
                <w:spacing w:val="-4"/>
                <w:sz w:val="14"/>
                <w:szCs w:val="14"/>
                <w:lang w:val="sq-AL"/>
              </w:rPr>
            </w:pPr>
            <w:r w:rsidRPr="003B79F4">
              <w:rPr>
                <w:rFonts w:ascii="Garamond" w:hAnsi="Garamond"/>
                <w:b/>
                <w:spacing w:val="-4"/>
                <w:sz w:val="14"/>
                <w:szCs w:val="14"/>
                <w:lang w:val="sq-AL"/>
              </w:rPr>
              <w:t>Marrja e energjisë</w:t>
            </w:r>
          </w:p>
        </w:tc>
      </w:tr>
      <w:tr w:rsidR="00B02CEC" w:rsidRPr="003B79F4" w14:paraId="78183AAD" w14:textId="77777777" w:rsidTr="00680053">
        <w:trPr>
          <w:jc w:val="center"/>
        </w:trPr>
        <w:tc>
          <w:tcPr>
            <w:tcW w:w="620" w:type="pct"/>
          </w:tcPr>
          <w:p w14:paraId="7B7105AB"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39F36A3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Pranim i propozimit për lidhjen e re në rrjetin e CEZ shpërndarje</w:t>
            </w:r>
          </w:p>
        </w:tc>
        <w:tc>
          <w:tcPr>
            <w:tcW w:w="623" w:type="pct"/>
            <w:shd w:val="clear" w:color="auto" w:fill="auto"/>
          </w:tcPr>
          <w:p w14:paraId="4A3E3B1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3-mujori 4/ 2014</w:t>
            </w:r>
          </w:p>
        </w:tc>
        <w:tc>
          <w:tcPr>
            <w:tcW w:w="642" w:type="pct"/>
            <w:gridSpan w:val="3"/>
            <w:shd w:val="clear" w:color="auto" w:fill="auto"/>
          </w:tcPr>
          <w:p w14:paraId="506E826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OPSHEE</w:t>
            </w:r>
            <w:r w:rsidRPr="003B79F4">
              <w:rPr>
                <w:rStyle w:val="FootnoteReference"/>
                <w:rFonts w:ascii="Garamond" w:hAnsi="Garamond"/>
                <w:bCs/>
                <w:spacing w:val="-4"/>
                <w:sz w:val="14"/>
                <w:szCs w:val="14"/>
                <w:lang w:val="sq-AL"/>
              </w:rPr>
              <w:footnoteReference w:id="1"/>
            </w:r>
            <w:r w:rsidRPr="003B79F4">
              <w:rPr>
                <w:rFonts w:ascii="Garamond" w:hAnsi="Garamond"/>
                <w:bCs/>
                <w:spacing w:val="-4"/>
                <w:sz w:val="14"/>
                <w:szCs w:val="14"/>
                <w:lang w:val="sq-AL"/>
              </w:rPr>
              <w:t>/ERE</w:t>
            </w:r>
          </w:p>
        </w:tc>
        <w:tc>
          <w:tcPr>
            <w:tcW w:w="567" w:type="pct"/>
            <w:gridSpan w:val="2"/>
            <w:shd w:val="clear" w:color="auto" w:fill="auto"/>
          </w:tcPr>
          <w:p w14:paraId="3A8E86F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Liberalizim dhe ndryshim tarifash</w:t>
            </w:r>
          </w:p>
        </w:tc>
        <w:tc>
          <w:tcPr>
            <w:tcW w:w="378" w:type="pct"/>
            <w:shd w:val="clear" w:color="auto" w:fill="auto"/>
          </w:tcPr>
          <w:p w14:paraId="08DC4C6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066BFEB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Masat e parashikuara në këtë indikator përfshihen në parashikimet e projektligjit “Për energjinë elektrike” iniciuar nga Ministria e Energjisë dhe Industrisë</w:t>
            </w:r>
          </w:p>
        </w:tc>
      </w:tr>
      <w:tr w:rsidR="00B02CEC" w:rsidRPr="003B79F4" w14:paraId="7942C7B1" w14:textId="77777777" w:rsidTr="00680053">
        <w:trPr>
          <w:jc w:val="center"/>
        </w:trPr>
        <w:tc>
          <w:tcPr>
            <w:tcW w:w="620" w:type="pct"/>
          </w:tcPr>
          <w:p w14:paraId="548FEA85"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3024CAE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Aplikim për lidhje të re</w:t>
            </w:r>
          </w:p>
        </w:tc>
        <w:tc>
          <w:tcPr>
            <w:tcW w:w="623" w:type="pct"/>
            <w:shd w:val="clear" w:color="auto" w:fill="auto"/>
          </w:tcPr>
          <w:p w14:paraId="0E88F0E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3-mujori </w:t>
            </w:r>
            <w:r>
              <w:rPr>
                <w:rFonts w:ascii="Garamond" w:hAnsi="Garamond"/>
                <w:bCs/>
                <w:spacing w:val="-4"/>
                <w:sz w:val="14"/>
                <w:szCs w:val="14"/>
                <w:lang w:val="sq-AL"/>
              </w:rPr>
              <w:t xml:space="preserve">i </w:t>
            </w:r>
            <w:r w:rsidRPr="003B79F4">
              <w:rPr>
                <w:rFonts w:ascii="Garamond" w:hAnsi="Garamond"/>
                <w:bCs/>
                <w:spacing w:val="-4"/>
                <w:sz w:val="14"/>
                <w:szCs w:val="14"/>
                <w:lang w:val="sq-AL"/>
              </w:rPr>
              <w:t>4-t/ 2014</w:t>
            </w:r>
          </w:p>
        </w:tc>
        <w:tc>
          <w:tcPr>
            <w:tcW w:w="642" w:type="pct"/>
            <w:gridSpan w:val="3"/>
            <w:shd w:val="clear" w:color="auto" w:fill="auto"/>
          </w:tcPr>
          <w:p w14:paraId="368EF130"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OPSHEE/ERE</w:t>
            </w:r>
          </w:p>
        </w:tc>
        <w:tc>
          <w:tcPr>
            <w:tcW w:w="567" w:type="pct"/>
            <w:gridSpan w:val="2"/>
            <w:shd w:val="clear" w:color="auto" w:fill="auto"/>
          </w:tcPr>
          <w:p w14:paraId="24C79069"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shd w:val="clear" w:color="auto" w:fill="auto"/>
          </w:tcPr>
          <w:p w14:paraId="16FBDB0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570F1919"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31C3909C" w14:textId="77777777" w:rsidTr="00680053">
        <w:trPr>
          <w:jc w:val="center"/>
        </w:trPr>
        <w:tc>
          <w:tcPr>
            <w:tcW w:w="620" w:type="pct"/>
          </w:tcPr>
          <w:p w14:paraId="11F3DBEC"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5348A1B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Dokumentet që duhen për lidhje të re sipas ERE</w:t>
            </w:r>
          </w:p>
        </w:tc>
        <w:tc>
          <w:tcPr>
            <w:tcW w:w="623" w:type="pct"/>
            <w:shd w:val="clear" w:color="auto" w:fill="auto"/>
          </w:tcPr>
          <w:p w14:paraId="247086B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3-mujori </w:t>
            </w:r>
            <w:r>
              <w:rPr>
                <w:rFonts w:ascii="Garamond" w:hAnsi="Garamond"/>
                <w:bCs/>
                <w:spacing w:val="-4"/>
                <w:sz w:val="14"/>
                <w:szCs w:val="14"/>
                <w:lang w:val="sq-AL"/>
              </w:rPr>
              <w:t xml:space="preserve">i </w:t>
            </w:r>
            <w:r w:rsidRPr="003B79F4">
              <w:rPr>
                <w:rFonts w:ascii="Garamond" w:hAnsi="Garamond"/>
                <w:bCs/>
                <w:spacing w:val="-4"/>
                <w:sz w:val="14"/>
                <w:szCs w:val="14"/>
                <w:lang w:val="sq-AL"/>
              </w:rPr>
              <w:t>4-t / 2014</w:t>
            </w:r>
          </w:p>
        </w:tc>
        <w:tc>
          <w:tcPr>
            <w:tcW w:w="642" w:type="pct"/>
            <w:gridSpan w:val="3"/>
            <w:shd w:val="clear" w:color="auto" w:fill="auto"/>
          </w:tcPr>
          <w:p w14:paraId="0BEC7B17"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ERE/MEI</w:t>
            </w:r>
          </w:p>
        </w:tc>
        <w:tc>
          <w:tcPr>
            <w:tcW w:w="567" w:type="pct"/>
            <w:gridSpan w:val="2"/>
            <w:shd w:val="clear" w:color="auto" w:fill="auto"/>
          </w:tcPr>
          <w:p w14:paraId="0A3AD0B7"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Lista e dokumenteve  për lidhje të re</w:t>
            </w:r>
          </w:p>
        </w:tc>
        <w:tc>
          <w:tcPr>
            <w:tcW w:w="378" w:type="pct"/>
            <w:shd w:val="clear" w:color="auto" w:fill="auto"/>
          </w:tcPr>
          <w:p w14:paraId="0D65A82B"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0FF12921"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10F9DCB0" w14:textId="77777777" w:rsidTr="00680053">
        <w:trPr>
          <w:jc w:val="center"/>
        </w:trPr>
        <w:tc>
          <w:tcPr>
            <w:tcW w:w="620" w:type="pct"/>
          </w:tcPr>
          <w:p w14:paraId="368F7E4C"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39ED0A5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Kontrate  furnizimi me energji elektrike për klientët jofamiljarë</w:t>
            </w:r>
          </w:p>
        </w:tc>
        <w:tc>
          <w:tcPr>
            <w:tcW w:w="623" w:type="pct"/>
            <w:shd w:val="clear" w:color="auto" w:fill="auto"/>
          </w:tcPr>
          <w:p w14:paraId="55B2988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3-mujori </w:t>
            </w:r>
            <w:r>
              <w:rPr>
                <w:rFonts w:ascii="Garamond" w:hAnsi="Garamond"/>
                <w:bCs/>
                <w:spacing w:val="-4"/>
                <w:sz w:val="14"/>
                <w:szCs w:val="14"/>
                <w:lang w:val="sq-AL"/>
              </w:rPr>
              <w:t xml:space="preserve">i </w:t>
            </w:r>
            <w:r w:rsidRPr="003B79F4">
              <w:rPr>
                <w:rFonts w:ascii="Garamond" w:hAnsi="Garamond"/>
                <w:bCs/>
                <w:spacing w:val="-4"/>
                <w:sz w:val="14"/>
                <w:szCs w:val="14"/>
                <w:lang w:val="sq-AL"/>
              </w:rPr>
              <w:t>2-të 2015</w:t>
            </w:r>
          </w:p>
        </w:tc>
        <w:tc>
          <w:tcPr>
            <w:tcW w:w="642" w:type="pct"/>
            <w:gridSpan w:val="3"/>
            <w:shd w:val="clear" w:color="auto" w:fill="auto"/>
          </w:tcPr>
          <w:p w14:paraId="3F93371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ERE/MEI/OPSHEE</w:t>
            </w:r>
          </w:p>
        </w:tc>
        <w:tc>
          <w:tcPr>
            <w:tcW w:w="567" w:type="pct"/>
            <w:gridSpan w:val="2"/>
            <w:shd w:val="clear" w:color="auto" w:fill="auto"/>
          </w:tcPr>
          <w:p w14:paraId="0DB5F78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Thjeshtimi i procedurave</w:t>
            </w:r>
          </w:p>
        </w:tc>
        <w:tc>
          <w:tcPr>
            <w:tcW w:w="378" w:type="pct"/>
            <w:shd w:val="clear" w:color="auto" w:fill="auto"/>
          </w:tcPr>
          <w:p w14:paraId="18E4CA8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1C3AA5DD"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095F1935" w14:textId="77777777" w:rsidTr="00680053">
        <w:trPr>
          <w:jc w:val="center"/>
        </w:trPr>
        <w:tc>
          <w:tcPr>
            <w:tcW w:w="620" w:type="pct"/>
          </w:tcPr>
          <w:p w14:paraId="5C9417C3"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38608D2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Dokumentacioni që nevojitet për kërkesat/ankesat e klientit</w:t>
            </w:r>
          </w:p>
        </w:tc>
        <w:tc>
          <w:tcPr>
            <w:tcW w:w="623" w:type="pct"/>
            <w:shd w:val="clear" w:color="auto" w:fill="auto"/>
          </w:tcPr>
          <w:p w14:paraId="6B13C790"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3-mujori </w:t>
            </w:r>
            <w:r>
              <w:rPr>
                <w:rFonts w:ascii="Garamond" w:hAnsi="Garamond"/>
                <w:bCs/>
                <w:spacing w:val="-4"/>
                <w:sz w:val="14"/>
                <w:szCs w:val="14"/>
                <w:lang w:val="sq-AL"/>
              </w:rPr>
              <w:t xml:space="preserve">i </w:t>
            </w:r>
            <w:r w:rsidRPr="003B79F4">
              <w:rPr>
                <w:rFonts w:ascii="Garamond" w:hAnsi="Garamond"/>
                <w:bCs/>
                <w:spacing w:val="-4"/>
                <w:sz w:val="14"/>
                <w:szCs w:val="14"/>
                <w:lang w:val="sq-AL"/>
              </w:rPr>
              <w:t>2-të 2015</w:t>
            </w:r>
          </w:p>
        </w:tc>
        <w:tc>
          <w:tcPr>
            <w:tcW w:w="642" w:type="pct"/>
            <w:gridSpan w:val="3"/>
            <w:shd w:val="clear" w:color="auto" w:fill="auto"/>
          </w:tcPr>
          <w:p w14:paraId="70DBDA9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ERE/MEI/OPSHEE</w:t>
            </w:r>
          </w:p>
        </w:tc>
        <w:tc>
          <w:tcPr>
            <w:tcW w:w="567" w:type="pct"/>
            <w:gridSpan w:val="2"/>
            <w:shd w:val="clear" w:color="auto" w:fill="auto"/>
          </w:tcPr>
          <w:p w14:paraId="3D5CE53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Thjeshtimi i procedurave</w:t>
            </w:r>
          </w:p>
        </w:tc>
        <w:tc>
          <w:tcPr>
            <w:tcW w:w="378" w:type="pct"/>
            <w:shd w:val="clear" w:color="auto" w:fill="auto"/>
          </w:tcPr>
          <w:p w14:paraId="2FD312A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4F80558E"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760D2583" w14:textId="77777777" w:rsidTr="00680053">
        <w:trPr>
          <w:jc w:val="center"/>
        </w:trPr>
        <w:tc>
          <w:tcPr>
            <w:tcW w:w="620" w:type="pct"/>
          </w:tcPr>
          <w:p w14:paraId="2056B9F5"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3A28AC3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Detyrimet kontraktuale të shitjes së energjisë</w:t>
            </w:r>
          </w:p>
        </w:tc>
        <w:tc>
          <w:tcPr>
            <w:tcW w:w="623" w:type="pct"/>
            <w:shd w:val="clear" w:color="auto" w:fill="auto"/>
          </w:tcPr>
          <w:p w14:paraId="4563AD5F"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3-mujori </w:t>
            </w:r>
            <w:r>
              <w:rPr>
                <w:rFonts w:ascii="Garamond" w:hAnsi="Garamond"/>
                <w:bCs/>
                <w:spacing w:val="-4"/>
                <w:sz w:val="14"/>
                <w:szCs w:val="14"/>
                <w:lang w:val="sq-AL"/>
              </w:rPr>
              <w:t xml:space="preserve">i </w:t>
            </w:r>
            <w:r w:rsidRPr="003B79F4">
              <w:rPr>
                <w:rFonts w:ascii="Garamond" w:hAnsi="Garamond"/>
                <w:bCs/>
                <w:spacing w:val="-4"/>
                <w:sz w:val="14"/>
                <w:szCs w:val="14"/>
                <w:lang w:val="sq-AL"/>
              </w:rPr>
              <w:t>2</w:t>
            </w:r>
            <w:r w:rsidRPr="003B79F4">
              <w:rPr>
                <w:rFonts w:ascii="Garamond" w:hAnsi="Garamond"/>
                <w:bCs/>
                <w:spacing w:val="-4"/>
                <w:sz w:val="14"/>
                <w:szCs w:val="14"/>
                <w:vertAlign w:val="superscript"/>
                <w:lang w:val="sq-AL"/>
              </w:rPr>
              <w:t>-</w:t>
            </w:r>
            <w:r w:rsidRPr="003B79F4">
              <w:rPr>
                <w:rFonts w:ascii="Garamond" w:hAnsi="Garamond"/>
                <w:bCs/>
                <w:spacing w:val="-4"/>
                <w:sz w:val="14"/>
                <w:szCs w:val="14"/>
                <w:lang w:val="sq-AL"/>
              </w:rPr>
              <w:t>të 2015</w:t>
            </w:r>
          </w:p>
        </w:tc>
        <w:tc>
          <w:tcPr>
            <w:tcW w:w="642" w:type="pct"/>
            <w:gridSpan w:val="3"/>
            <w:shd w:val="clear" w:color="auto" w:fill="auto"/>
          </w:tcPr>
          <w:p w14:paraId="1BFEE4D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ERE/MEI/OPSHEE</w:t>
            </w:r>
          </w:p>
        </w:tc>
        <w:tc>
          <w:tcPr>
            <w:tcW w:w="567" w:type="pct"/>
            <w:gridSpan w:val="2"/>
            <w:shd w:val="clear" w:color="auto" w:fill="auto"/>
          </w:tcPr>
          <w:p w14:paraId="1C9EB37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Thjeshtimi i procedurave</w:t>
            </w:r>
          </w:p>
        </w:tc>
        <w:tc>
          <w:tcPr>
            <w:tcW w:w="378" w:type="pct"/>
            <w:shd w:val="clear" w:color="auto" w:fill="auto"/>
          </w:tcPr>
          <w:p w14:paraId="0F5803D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3E985BF9"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12E2B5D0" w14:textId="77777777" w:rsidTr="00680053">
        <w:trPr>
          <w:jc w:val="center"/>
        </w:trPr>
        <w:tc>
          <w:tcPr>
            <w:tcW w:w="620" w:type="pct"/>
          </w:tcPr>
          <w:p w14:paraId="71650C6C"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4C9A728F"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Marrëveshje e lidhjes së re</w:t>
            </w:r>
          </w:p>
        </w:tc>
        <w:tc>
          <w:tcPr>
            <w:tcW w:w="623" w:type="pct"/>
            <w:shd w:val="clear" w:color="auto" w:fill="auto"/>
          </w:tcPr>
          <w:p w14:paraId="5C29C45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3-mujori </w:t>
            </w:r>
            <w:r>
              <w:rPr>
                <w:rFonts w:ascii="Garamond" w:hAnsi="Garamond"/>
                <w:bCs/>
                <w:spacing w:val="-4"/>
                <w:sz w:val="14"/>
                <w:szCs w:val="14"/>
                <w:lang w:val="sq-AL"/>
              </w:rPr>
              <w:t xml:space="preserve">i </w:t>
            </w:r>
            <w:r w:rsidRPr="003B79F4">
              <w:rPr>
                <w:rFonts w:ascii="Garamond" w:hAnsi="Garamond"/>
                <w:bCs/>
                <w:spacing w:val="-4"/>
                <w:sz w:val="14"/>
                <w:szCs w:val="14"/>
                <w:lang w:val="sq-AL"/>
              </w:rPr>
              <w:t>2-të 2015</w:t>
            </w:r>
          </w:p>
        </w:tc>
        <w:tc>
          <w:tcPr>
            <w:tcW w:w="642" w:type="pct"/>
            <w:gridSpan w:val="3"/>
            <w:shd w:val="clear" w:color="auto" w:fill="auto"/>
          </w:tcPr>
          <w:p w14:paraId="495F43FB"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ERE/MEI/OPSHEE</w:t>
            </w:r>
          </w:p>
        </w:tc>
        <w:tc>
          <w:tcPr>
            <w:tcW w:w="567" w:type="pct"/>
            <w:gridSpan w:val="2"/>
            <w:shd w:val="clear" w:color="auto" w:fill="auto"/>
          </w:tcPr>
          <w:p w14:paraId="66BFDB5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Thjeshtimi i procedurave</w:t>
            </w:r>
          </w:p>
        </w:tc>
        <w:tc>
          <w:tcPr>
            <w:tcW w:w="378" w:type="pct"/>
            <w:shd w:val="clear" w:color="auto" w:fill="auto"/>
          </w:tcPr>
          <w:p w14:paraId="694F36D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1EF75E20"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55715719" w14:textId="77777777" w:rsidTr="00680053">
        <w:trPr>
          <w:jc w:val="center"/>
        </w:trPr>
        <w:tc>
          <w:tcPr>
            <w:tcW w:w="620" w:type="pct"/>
          </w:tcPr>
          <w:p w14:paraId="1E65AB48"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3D689DE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Rregullorja për lidhjet e reja</w:t>
            </w:r>
          </w:p>
        </w:tc>
        <w:tc>
          <w:tcPr>
            <w:tcW w:w="623" w:type="pct"/>
            <w:shd w:val="clear" w:color="auto" w:fill="auto"/>
          </w:tcPr>
          <w:p w14:paraId="717EA25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3-mujori </w:t>
            </w:r>
            <w:r>
              <w:rPr>
                <w:rFonts w:ascii="Garamond" w:hAnsi="Garamond"/>
                <w:bCs/>
                <w:spacing w:val="-4"/>
                <w:sz w:val="14"/>
                <w:szCs w:val="14"/>
                <w:lang w:val="sq-AL"/>
              </w:rPr>
              <w:t xml:space="preserve">i </w:t>
            </w:r>
            <w:r w:rsidRPr="003B79F4">
              <w:rPr>
                <w:rFonts w:ascii="Garamond" w:hAnsi="Garamond"/>
                <w:bCs/>
                <w:spacing w:val="-4"/>
                <w:sz w:val="14"/>
                <w:szCs w:val="14"/>
                <w:lang w:val="sq-AL"/>
              </w:rPr>
              <w:t>2- të</w:t>
            </w:r>
            <w:r w:rsidRPr="003B79F4">
              <w:rPr>
                <w:rFonts w:ascii="Garamond" w:hAnsi="Garamond"/>
                <w:bCs/>
                <w:spacing w:val="-4"/>
                <w:sz w:val="14"/>
                <w:szCs w:val="14"/>
                <w:vertAlign w:val="superscript"/>
                <w:lang w:val="sq-AL"/>
              </w:rPr>
              <w:t xml:space="preserve"> </w:t>
            </w:r>
            <w:r w:rsidRPr="003B79F4">
              <w:rPr>
                <w:rFonts w:ascii="Garamond" w:hAnsi="Garamond"/>
                <w:bCs/>
                <w:spacing w:val="-4"/>
                <w:sz w:val="14"/>
                <w:szCs w:val="14"/>
                <w:lang w:val="sq-AL"/>
              </w:rPr>
              <w:t>2015</w:t>
            </w:r>
          </w:p>
        </w:tc>
        <w:tc>
          <w:tcPr>
            <w:tcW w:w="642" w:type="pct"/>
            <w:gridSpan w:val="3"/>
            <w:shd w:val="clear" w:color="auto" w:fill="auto"/>
          </w:tcPr>
          <w:p w14:paraId="22262A3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ERE/MEI/OPSHEE</w:t>
            </w:r>
          </w:p>
        </w:tc>
        <w:tc>
          <w:tcPr>
            <w:tcW w:w="567" w:type="pct"/>
            <w:gridSpan w:val="2"/>
            <w:shd w:val="clear" w:color="auto" w:fill="auto"/>
          </w:tcPr>
          <w:p w14:paraId="2D2E2E5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Thjeshtimi i procedurave</w:t>
            </w:r>
          </w:p>
        </w:tc>
        <w:tc>
          <w:tcPr>
            <w:tcW w:w="378" w:type="pct"/>
            <w:shd w:val="clear" w:color="auto" w:fill="auto"/>
          </w:tcPr>
          <w:p w14:paraId="5FB569F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4DAF342C"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5D0E8E7F" w14:textId="77777777" w:rsidTr="00680053">
        <w:trPr>
          <w:jc w:val="center"/>
        </w:trPr>
        <w:tc>
          <w:tcPr>
            <w:tcW w:w="620" w:type="pct"/>
          </w:tcPr>
          <w:p w14:paraId="78272F1F"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1247BEB0"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Kontrolli inxhinierik për sigurinë teknike të lidhjeve elektrike mbi 20kVA</w:t>
            </w:r>
          </w:p>
        </w:tc>
        <w:tc>
          <w:tcPr>
            <w:tcW w:w="623" w:type="pct"/>
            <w:shd w:val="clear" w:color="auto" w:fill="auto"/>
          </w:tcPr>
          <w:p w14:paraId="656B145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3-mujori</w:t>
            </w:r>
            <w:r>
              <w:rPr>
                <w:rFonts w:ascii="Garamond" w:hAnsi="Garamond"/>
                <w:bCs/>
                <w:spacing w:val="-4"/>
                <w:sz w:val="14"/>
                <w:szCs w:val="14"/>
                <w:lang w:val="sq-AL"/>
              </w:rPr>
              <w:t xml:space="preserve"> i</w:t>
            </w:r>
            <w:r w:rsidRPr="003B79F4">
              <w:rPr>
                <w:rFonts w:ascii="Garamond" w:hAnsi="Garamond"/>
                <w:bCs/>
                <w:spacing w:val="-4"/>
                <w:sz w:val="14"/>
                <w:szCs w:val="14"/>
                <w:lang w:val="sq-AL"/>
              </w:rPr>
              <w:t xml:space="preserve"> 2</w:t>
            </w:r>
            <w:r w:rsidRPr="003B79F4">
              <w:rPr>
                <w:rFonts w:ascii="Garamond" w:hAnsi="Garamond"/>
                <w:bCs/>
                <w:spacing w:val="-4"/>
                <w:sz w:val="14"/>
                <w:szCs w:val="14"/>
                <w:vertAlign w:val="superscript"/>
                <w:lang w:val="sq-AL"/>
              </w:rPr>
              <w:t>-</w:t>
            </w:r>
            <w:r w:rsidRPr="003B79F4">
              <w:rPr>
                <w:rFonts w:ascii="Garamond" w:hAnsi="Garamond"/>
                <w:bCs/>
                <w:spacing w:val="-4"/>
                <w:sz w:val="14"/>
                <w:szCs w:val="14"/>
                <w:lang w:val="sq-AL"/>
              </w:rPr>
              <w:t>të 2015</w:t>
            </w:r>
          </w:p>
        </w:tc>
        <w:tc>
          <w:tcPr>
            <w:tcW w:w="642" w:type="pct"/>
            <w:gridSpan w:val="3"/>
            <w:shd w:val="clear" w:color="auto" w:fill="auto"/>
          </w:tcPr>
          <w:p w14:paraId="57F751F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IQT/MEI</w:t>
            </w:r>
          </w:p>
        </w:tc>
        <w:tc>
          <w:tcPr>
            <w:tcW w:w="567" w:type="pct"/>
            <w:gridSpan w:val="2"/>
            <w:shd w:val="clear" w:color="auto" w:fill="auto"/>
          </w:tcPr>
          <w:p w14:paraId="4610A28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Thjeshtimi i procedurave</w:t>
            </w:r>
          </w:p>
        </w:tc>
        <w:tc>
          <w:tcPr>
            <w:tcW w:w="378" w:type="pct"/>
            <w:shd w:val="clear" w:color="auto" w:fill="auto"/>
          </w:tcPr>
          <w:p w14:paraId="07383CE3"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13847F26"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3CF2924B" w14:textId="77777777" w:rsidTr="00680053">
        <w:trPr>
          <w:jc w:val="center"/>
        </w:trPr>
        <w:tc>
          <w:tcPr>
            <w:tcW w:w="620" w:type="pct"/>
            <w:tcBorders>
              <w:bottom w:val="single" w:sz="4" w:space="0" w:color="auto"/>
            </w:tcBorders>
          </w:tcPr>
          <w:p w14:paraId="127D9919"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tcBorders>
              <w:bottom w:val="single" w:sz="4" w:space="0" w:color="auto"/>
            </w:tcBorders>
            <w:shd w:val="clear" w:color="auto" w:fill="auto"/>
          </w:tcPr>
          <w:p w14:paraId="77670A5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Për kushtet minimale të cilësisë së shërbimit</w:t>
            </w:r>
          </w:p>
        </w:tc>
        <w:tc>
          <w:tcPr>
            <w:tcW w:w="623" w:type="pct"/>
            <w:tcBorders>
              <w:bottom w:val="single" w:sz="4" w:space="0" w:color="auto"/>
            </w:tcBorders>
            <w:shd w:val="clear" w:color="auto" w:fill="auto"/>
          </w:tcPr>
          <w:p w14:paraId="470425D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3-mujori </w:t>
            </w:r>
            <w:r>
              <w:rPr>
                <w:rFonts w:ascii="Garamond" w:hAnsi="Garamond"/>
                <w:bCs/>
                <w:spacing w:val="-4"/>
                <w:sz w:val="14"/>
                <w:szCs w:val="14"/>
                <w:lang w:val="sq-AL"/>
              </w:rPr>
              <w:t xml:space="preserve">i </w:t>
            </w:r>
            <w:r w:rsidRPr="003B79F4">
              <w:rPr>
                <w:rFonts w:ascii="Garamond" w:hAnsi="Garamond"/>
                <w:bCs/>
                <w:spacing w:val="-4"/>
                <w:sz w:val="14"/>
                <w:szCs w:val="14"/>
                <w:lang w:val="sq-AL"/>
              </w:rPr>
              <w:t>2-të 2015</w:t>
            </w:r>
          </w:p>
        </w:tc>
        <w:tc>
          <w:tcPr>
            <w:tcW w:w="642" w:type="pct"/>
            <w:gridSpan w:val="3"/>
            <w:tcBorders>
              <w:bottom w:val="single" w:sz="4" w:space="0" w:color="auto"/>
            </w:tcBorders>
            <w:shd w:val="clear" w:color="auto" w:fill="auto"/>
          </w:tcPr>
          <w:p w14:paraId="052C5D2F"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ERE/IQT/MEI</w:t>
            </w:r>
          </w:p>
        </w:tc>
        <w:tc>
          <w:tcPr>
            <w:tcW w:w="567" w:type="pct"/>
            <w:gridSpan w:val="2"/>
            <w:tcBorders>
              <w:bottom w:val="single" w:sz="4" w:space="0" w:color="auto"/>
            </w:tcBorders>
            <w:shd w:val="clear" w:color="auto" w:fill="auto"/>
          </w:tcPr>
          <w:p w14:paraId="11FF90C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Thjeshtimi i procedurave</w:t>
            </w:r>
          </w:p>
        </w:tc>
        <w:tc>
          <w:tcPr>
            <w:tcW w:w="378" w:type="pct"/>
            <w:tcBorders>
              <w:bottom w:val="single" w:sz="4" w:space="0" w:color="auto"/>
            </w:tcBorders>
            <w:shd w:val="clear" w:color="auto" w:fill="auto"/>
          </w:tcPr>
          <w:p w14:paraId="14618DF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tcBorders>
              <w:bottom w:val="single" w:sz="4" w:space="0" w:color="auto"/>
            </w:tcBorders>
            <w:shd w:val="clear" w:color="auto" w:fill="auto"/>
          </w:tcPr>
          <w:p w14:paraId="7D90F421"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667303E7" w14:textId="77777777" w:rsidTr="00680053">
        <w:trPr>
          <w:jc w:val="center"/>
        </w:trPr>
        <w:tc>
          <w:tcPr>
            <w:tcW w:w="5000" w:type="pct"/>
            <w:gridSpan w:val="10"/>
            <w:shd w:val="clear" w:color="auto" w:fill="FFFFFF" w:themeFill="background1"/>
          </w:tcPr>
          <w:p w14:paraId="40E32E46" w14:textId="77777777" w:rsidR="00B02CEC" w:rsidRPr="003B79F4" w:rsidRDefault="00B02CEC" w:rsidP="00680053">
            <w:pPr>
              <w:widowControl w:val="0"/>
              <w:spacing w:after="0" w:line="240" w:lineRule="auto"/>
              <w:jc w:val="center"/>
              <w:rPr>
                <w:rFonts w:ascii="Garamond" w:hAnsi="Garamond"/>
                <w:b/>
                <w:spacing w:val="-4"/>
                <w:sz w:val="14"/>
                <w:szCs w:val="14"/>
                <w:lang w:val="sq-AL"/>
              </w:rPr>
            </w:pPr>
            <w:r w:rsidRPr="003B79F4">
              <w:rPr>
                <w:rFonts w:ascii="Garamond" w:hAnsi="Garamond"/>
                <w:b/>
                <w:spacing w:val="-4"/>
                <w:sz w:val="14"/>
                <w:szCs w:val="14"/>
                <w:lang w:val="sq-AL"/>
              </w:rPr>
              <w:t>Regjistrimi i pronësisë</w:t>
            </w:r>
          </w:p>
        </w:tc>
      </w:tr>
      <w:tr w:rsidR="00B02CEC" w:rsidRPr="003B79F4" w14:paraId="0239202B" w14:textId="77777777" w:rsidTr="00680053">
        <w:trPr>
          <w:jc w:val="center"/>
        </w:trPr>
        <w:tc>
          <w:tcPr>
            <w:tcW w:w="620" w:type="pct"/>
          </w:tcPr>
          <w:p w14:paraId="656991E7"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Nxitja e përdorimit të akteve/marrëveshjeve të standardizuara lidhur me shitjen apo transferimin e titujve të pronësisë</w:t>
            </w:r>
          </w:p>
        </w:tc>
        <w:tc>
          <w:tcPr>
            <w:tcW w:w="1233" w:type="pct"/>
            <w:shd w:val="clear" w:color="auto" w:fill="auto"/>
          </w:tcPr>
          <w:p w14:paraId="1E0F34B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Nënshkrimi i një memorandumi midis ZQRPP-së dhe Dhomës Kombëtare të Noterëve </w:t>
            </w:r>
          </w:p>
        </w:tc>
        <w:tc>
          <w:tcPr>
            <w:tcW w:w="623" w:type="pct"/>
            <w:shd w:val="clear" w:color="auto" w:fill="auto"/>
          </w:tcPr>
          <w:p w14:paraId="48663C9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3-mujori </w:t>
            </w:r>
            <w:r>
              <w:rPr>
                <w:rFonts w:ascii="Garamond" w:hAnsi="Garamond"/>
                <w:bCs/>
                <w:spacing w:val="-4"/>
                <w:sz w:val="14"/>
                <w:szCs w:val="14"/>
                <w:lang w:val="sq-AL"/>
              </w:rPr>
              <w:t xml:space="preserve">i </w:t>
            </w:r>
            <w:r w:rsidRPr="003B79F4">
              <w:rPr>
                <w:rFonts w:ascii="Garamond" w:hAnsi="Garamond"/>
                <w:bCs/>
                <w:spacing w:val="-4"/>
                <w:sz w:val="14"/>
                <w:szCs w:val="14"/>
                <w:lang w:val="sq-AL"/>
              </w:rPr>
              <w:t>3-të  2014</w:t>
            </w:r>
          </w:p>
        </w:tc>
        <w:tc>
          <w:tcPr>
            <w:tcW w:w="642" w:type="pct"/>
            <w:gridSpan w:val="3"/>
            <w:shd w:val="clear" w:color="auto" w:fill="auto"/>
          </w:tcPr>
          <w:p w14:paraId="152FBDE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MD, ZQRPP, DhKN</w:t>
            </w:r>
          </w:p>
        </w:tc>
        <w:tc>
          <w:tcPr>
            <w:tcW w:w="567" w:type="pct"/>
            <w:gridSpan w:val="2"/>
            <w:shd w:val="clear" w:color="auto" w:fill="auto"/>
          </w:tcPr>
          <w:p w14:paraId="63953E9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Përmirësimi i cilësisë së shërbimeve në ZQRPP dhe shërbimeve noteriale</w:t>
            </w:r>
          </w:p>
        </w:tc>
        <w:tc>
          <w:tcPr>
            <w:tcW w:w="378" w:type="pct"/>
            <w:shd w:val="clear" w:color="auto" w:fill="auto"/>
          </w:tcPr>
          <w:p w14:paraId="6F8E90A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4B511FA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Ky memorandum synon nxitjen, përdorimin dhe publikimin </w:t>
            </w:r>
            <w:r w:rsidRPr="003B79F4">
              <w:rPr>
                <w:rFonts w:ascii="Garamond" w:hAnsi="Garamond"/>
                <w:bCs/>
                <w:i/>
                <w:spacing w:val="-4"/>
                <w:sz w:val="14"/>
                <w:szCs w:val="14"/>
                <w:lang w:val="sq-AL"/>
              </w:rPr>
              <w:t xml:space="preserve">on-line </w:t>
            </w:r>
            <w:r w:rsidRPr="003B79F4">
              <w:rPr>
                <w:rFonts w:ascii="Garamond" w:hAnsi="Garamond"/>
                <w:bCs/>
                <w:spacing w:val="-4"/>
                <w:sz w:val="14"/>
                <w:szCs w:val="14"/>
                <w:lang w:val="sq-AL"/>
              </w:rPr>
              <w:t>të akteve/marrëveshjeve të standardizuara lidhur me shitjen apo transferimin e titujve të pronësisë</w:t>
            </w:r>
          </w:p>
        </w:tc>
      </w:tr>
      <w:tr w:rsidR="00B02CEC" w:rsidRPr="003B79F4" w14:paraId="01C5E3BE" w14:textId="77777777" w:rsidTr="00680053">
        <w:trPr>
          <w:jc w:val="center"/>
        </w:trPr>
        <w:tc>
          <w:tcPr>
            <w:tcW w:w="620" w:type="pct"/>
            <w:vMerge w:val="restart"/>
          </w:tcPr>
          <w:p w14:paraId="6493CFCF"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Reduktimi i kohës së regjistrimit të aktit publik në Zyrën e Regjistrimit të Pasurive të Paluajtshme</w:t>
            </w:r>
          </w:p>
        </w:tc>
        <w:tc>
          <w:tcPr>
            <w:tcW w:w="1233" w:type="pct"/>
            <w:shd w:val="clear" w:color="auto" w:fill="auto"/>
          </w:tcPr>
          <w:p w14:paraId="15982F4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Hartim i  një rregulloreje për organizimin dhe funksionimin e brendshëm të bazës së të dhënave shtetërore të pasurive të paluajtshme </w:t>
            </w:r>
          </w:p>
        </w:tc>
        <w:tc>
          <w:tcPr>
            <w:tcW w:w="623" w:type="pct"/>
            <w:shd w:val="clear" w:color="auto" w:fill="auto"/>
          </w:tcPr>
          <w:p w14:paraId="0A59FFE0"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3-mujori </w:t>
            </w:r>
            <w:r>
              <w:rPr>
                <w:rFonts w:ascii="Garamond" w:hAnsi="Garamond"/>
                <w:bCs/>
                <w:spacing w:val="-4"/>
                <w:sz w:val="14"/>
                <w:szCs w:val="14"/>
                <w:lang w:val="sq-AL"/>
              </w:rPr>
              <w:t xml:space="preserve">i </w:t>
            </w:r>
            <w:r w:rsidRPr="003B79F4">
              <w:rPr>
                <w:rFonts w:ascii="Garamond" w:hAnsi="Garamond"/>
                <w:bCs/>
                <w:spacing w:val="-4"/>
                <w:sz w:val="14"/>
                <w:szCs w:val="14"/>
                <w:lang w:val="sq-AL"/>
              </w:rPr>
              <w:t>3-të 2014</w:t>
            </w:r>
          </w:p>
        </w:tc>
        <w:tc>
          <w:tcPr>
            <w:tcW w:w="642" w:type="pct"/>
            <w:gridSpan w:val="3"/>
            <w:shd w:val="clear" w:color="auto" w:fill="auto"/>
          </w:tcPr>
          <w:p w14:paraId="39B9E26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ZQRPP, MD dhe MF</w:t>
            </w:r>
          </w:p>
        </w:tc>
        <w:tc>
          <w:tcPr>
            <w:tcW w:w="567" w:type="pct"/>
            <w:gridSpan w:val="2"/>
            <w:shd w:val="clear" w:color="auto" w:fill="auto"/>
          </w:tcPr>
          <w:p w14:paraId="2B2E914F"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Shkurtimi me 1 hap</w:t>
            </w:r>
          </w:p>
        </w:tc>
        <w:tc>
          <w:tcPr>
            <w:tcW w:w="378" w:type="pct"/>
            <w:shd w:val="clear" w:color="auto" w:fill="auto"/>
          </w:tcPr>
          <w:p w14:paraId="3489570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13DC340F"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0A2551EC" w14:textId="77777777" w:rsidTr="00680053">
        <w:trPr>
          <w:jc w:val="center"/>
        </w:trPr>
        <w:tc>
          <w:tcPr>
            <w:tcW w:w="620" w:type="pct"/>
            <w:vMerge/>
          </w:tcPr>
          <w:p w14:paraId="1FBE9DA8"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6EB30142"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23" w:type="pct"/>
            <w:shd w:val="clear" w:color="auto" w:fill="auto"/>
          </w:tcPr>
          <w:p w14:paraId="64443FE7"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42" w:type="pct"/>
            <w:gridSpan w:val="3"/>
            <w:shd w:val="clear" w:color="auto" w:fill="auto"/>
          </w:tcPr>
          <w:p w14:paraId="295475BC"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567" w:type="pct"/>
            <w:gridSpan w:val="2"/>
            <w:shd w:val="clear" w:color="auto" w:fill="auto"/>
          </w:tcPr>
          <w:p w14:paraId="28356798"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shd w:val="clear" w:color="auto" w:fill="auto"/>
          </w:tcPr>
          <w:p w14:paraId="23D3F1D6"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shd w:val="clear" w:color="auto" w:fill="auto"/>
          </w:tcPr>
          <w:p w14:paraId="14F15A63"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5F9C1CE5" w14:textId="77777777" w:rsidTr="00680053">
        <w:trPr>
          <w:trHeight w:val="192"/>
          <w:jc w:val="center"/>
        </w:trPr>
        <w:tc>
          <w:tcPr>
            <w:tcW w:w="620" w:type="pct"/>
            <w:vMerge/>
          </w:tcPr>
          <w:p w14:paraId="54C488ED"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12C5BCC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Trajnim personeli</w:t>
            </w:r>
          </w:p>
        </w:tc>
        <w:tc>
          <w:tcPr>
            <w:tcW w:w="623" w:type="pct"/>
            <w:shd w:val="clear" w:color="auto" w:fill="auto"/>
          </w:tcPr>
          <w:p w14:paraId="46E8A9A3"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2014</w:t>
            </w:r>
          </w:p>
        </w:tc>
        <w:tc>
          <w:tcPr>
            <w:tcW w:w="642" w:type="pct"/>
            <w:gridSpan w:val="3"/>
            <w:shd w:val="clear" w:color="auto" w:fill="auto"/>
          </w:tcPr>
          <w:p w14:paraId="66C0AFA6"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567" w:type="pct"/>
            <w:gridSpan w:val="2"/>
            <w:shd w:val="clear" w:color="auto" w:fill="auto"/>
          </w:tcPr>
          <w:p w14:paraId="091F608E"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shd w:val="clear" w:color="auto" w:fill="auto"/>
          </w:tcPr>
          <w:p w14:paraId="13C7D49F"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shd w:val="clear" w:color="auto" w:fill="auto"/>
          </w:tcPr>
          <w:p w14:paraId="7434919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Është ngritur grupi i punës në ZQRPP për zhvillimin e  trajnimeve</w:t>
            </w:r>
          </w:p>
          <w:p w14:paraId="1FC2C9D7"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0EC6118E"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43BCB9C1" w14:textId="77777777" w:rsidTr="00680053">
        <w:trPr>
          <w:jc w:val="center"/>
        </w:trPr>
        <w:tc>
          <w:tcPr>
            <w:tcW w:w="620" w:type="pct"/>
            <w:vMerge w:val="restart"/>
          </w:tcPr>
          <w:p w14:paraId="030D72C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lastRenderedPageBreak/>
              <w:t>Lidhjen e ZRPP me regjistrin e pronës dhe digjitalizimi i plotë i të dhënave përkatëse</w:t>
            </w:r>
          </w:p>
        </w:tc>
        <w:tc>
          <w:tcPr>
            <w:tcW w:w="1233" w:type="pct"/>
            <w:shd w:val="clear" w:color="auto" w:fill="auto"/>
          </w:tcPr>
          <w:p w14:paraId="35F82FB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Përfundimi i procesit të krijimit të regjistrit elektronik të pasurive të paluajtshme </w:t>
            </w:r>
          </w:p>
        </w:tc>
        <w:tc>
          <w:tcPr>
            <w:tcW w:w="623" w:type="pct"/>
            <w:shd w:val="clear" w:color="auto" w:fill="auto"/>
          </w:tcPr>
          <w:p w14:paraId="0D4BD5B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3-mujori i 4</w:t>
            </w:r>
            <w:r>
              <w:rPr>
                <w:rFonts w:ascii="Garamond" w:hAnsi="Garamond"/>
                <w:bCs/>
                <w:spacing w:val="-4"/>
                <w:sz w:val="14"/>
                <w:szCs w:val="14"/>
                <w:lang w:val="sq-AL"/>
              </w:rPr>
              <w:t>-t</w:t>
            </w:r>
            <w:r w:rsidRPr="003B79F4">
              <w:rPr>
                <w:rFonts w:ascii="Garamond" w:hAnsi="Garamond"/>
                <w:bCs/>
                <w:spacing w:val="-4"/>
                <w:sz w:val="14"/>
                <w:szCs w:val="14"/>
                <w:lang w:val="sq-AL"/>
              </w:rPr>
              <w:t xml:space="preserve"> 2015</w:t>
            </w:r>
          </w:p>
          <w:p w14:paraId="315230C9"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3926530E"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42" w:type="pct"/>
            <w:gridSpan w:val="3"/>
            <w:shd w:val="clear" w:color="auto" w:fill="auto"/>
          </w:tcPr>
          <w:p w14:paraId="0E4D173B"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ZQRPP</w:t>
            </w:r>
          </w:p>
          <w:p w14:paraId="3E80EF6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Kontraktorë dhe Donatorë</w:t>
            </w:r>
          </w:p>
        </w:tc>
        <w:tc>
          <w:tcPr>
            <w:tcW w:w="567" w:type="pct"/>
            <w:gridSpan w:val="2"/>
            <w:shd w:val="clear" w:color="auto" w:fill="auto"/>
          </w:tcPr>
          <w:p w14:paraId="736DFCE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Reduktim i kohës së  procesit të regjistrimit,  rritje e transparencës dhe garancisë së informacionit të ofruar nga ZRPP</w:t>
            </w:r>
          </w:p>
        </w:tc>
        <w:tc>
          <w:tcPr>
            <w:tcW w:w="378" w:type="pct"/>
            <w:shd w:val="clear" w:color="auto" w:fill="auto"/>
          </w:tcPr>
          <w:p w14:paraId="5D8B9DE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2017</w:t>
            </w:r>
          </w:p>
        </w:tc>
        <w:tc>
          <w:tcPr>
            <w:tcW w:w="938" w:type="pct"/>
            <w:shd w:val="clear" w:color="auto" w:fill="auto"/>
          </w:tcPr>
          <w:p w14:paraId="50368AE7"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ALBSRP është krijuar për 10 ZVRPP dhe  mbeten edhe 25 zyra të tjera</w:t>
            </w:r>
          </w:p>
          <w:p w14:paraId="577B98C8"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3BA11AD5"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2E8F1F9E"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14CBD124" w14:textId="77777777" w:rsidTr="00680053">
        <w:trPr>
          <w:jc w:val="center"/>
        </w:trPr>
        <w:tc>
          <w:tcPr>
            <w:tcW w:w="620" w:type="pct"/>
            <w:vMerge/>
          </w:tcPr>
          <w:p w14:paraId="3A2EF449"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365E5FD3" w14:textId="77777777" w:rsidR="00B02CEC" w:rsidRPr="003B79F4" w:rsidDel="00EA432F"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Regjistrimi fillestar sistematik</w:t>
            </w:r>
          </w:p>
        </w:tc>
        <w:tc>
          <w:tcPr>
            <w:tcW w:w="623" w:type="pct"/>
            <w:shd w:val="clear" w:color="auto" w:fill="auto"/>
          </w:tcPr>
          <w:p w14:paraId="5D8EEA2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3-mujori i 4</w:t>
            </w:r>
            <w:r>
              <w:rPr>
                <w:rFonts w:ascii="Garamond" w:hAnsi="Garamond"/>
                <w:bCs/>
                <w:spacing w:val="-4"/>
                <w:sz w:val="14"/>
                <w:szCs w:val="14"/>
                <w:lang w:val="sq-AL"/>
              </w:rPr>
              <w:t>-t</w:t>
            </w:r>
            <w:r w:rsidRPr="003B79F4">
              <w:rPr>
                <w:rFonts w:ascii="Garamond" w:hAnsi="Garamond"/>
                <w:bCs/>
                <w:spacing w:val="-4"/>
                <w:sz w:val="14"/>
                <w:szCs w:val="14"/>
                <w:lang w:val="sq-AL"/>
              </w:rPr>
              <w:t xml:space="preserve"> 2016</w:t>
            </w:r>
          </w:p>
        </w:tc>
        <w:tc>
          <w:tcPr>
            <w:tcW w:w="642" w:type="pct"/>
            <w:gridSpan w:val="3"/>
            <w:shd w:val="clear" w:color="auto" w:fill="auto"/>
          </w:tcPr>
          <w:p w14:paraId="4EBAE052"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567" w:type="pct"/>
            <w:gridSpan w:val="2"/>
            <w:shd w:val="clear" w:color="auto" w:fill="auto"/>
          </w:tcPr>
          <w:p w14:paraId="723C7C0F"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shd w:val="clear" w:color="auto" w:fill="auto"/>
          </w:tcPr>
          <w:p w14:paraId="1570363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2017</w:t>
            </w:r>
          </w:p>
        </w:tc>
        <w:tc>
          <w:tcPr>
            <w:tcW w:w="938" w:type="pct"/>
            <w:shd w:val="clear" w:color="auto" w:fill="auto"/>
          </w:tcPr>
          <w:p w14:paraId="0CDCFC68"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642DF3CA" w14:textId="77777777" w:rsidTr="00680053">
        <w:trPr>
          <w:jc w:val="center"/>
        </w:trPr>
        <w:tc>
          <w:tcPr>
            <w:tcW w:w="620" w:type="pct"/>
            <w:tcBorders>
              <w:bottom w:val="single" w:sz="4" w:space="0" w:color="auto"/>
            </w:tcBorders>
          </w:tcPr>
          <w:p w14:paraId="6A22FDC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Konsiderata për mundësitë e krijimit të  sistemit elektronik mbarëkombëtar të regjistrit të tokës me një qasje të informacionit të integruar</w:t>
            </w:r>
          </w:p>
        </w:tc>
        <w:tc>
          <w:tcPr>
            <w:tcW w:w="1233" w:type="pct"/>
            <w:tcBorders>
              <w:bottom w:val="single" w:sz="4" w:space="0" w:color="auto"/>
            </w:tcBorders>
            <w:shd w:val="clear" w:color="auto" w:fill="auto"/>
          </w:tcPr>
          <w:p w14:paraId="5B6DF7B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Përfundimi i digjitalizimit të të dhënave të regjistrit të tokës dhe përditësimi i tyre</w:t>
            </w:r>
          </w:p>
        </w:tc>
        <w:tc>
          <w:tcPr>
            <w:tcW w:w="623" w:type="pct"/>
            <w:tcBorders>
              <w:bottom w:val="single" w:sz="4" w:space="0" w:color="auto"/>
            </w:tcBorders>
            <w:shd w:val="clear" w:color="auto" w:fill="auto"/>
          </w:tcPr>
          <w:p w14:paraId="24C4BAB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2018 </w:t>
            </w:r>
          </w:p>
        </w:tc>
        <w:tc>
          <w:tcPr>
            <w:tcW w:w="642" w:type="pct"/>
            <w:gridSpan w:val="3"/>
            <w:tcBorders>
              <w:bottom w:val="single" w:sz="4" w:space="0" w:color="auto"/>
            </w:tcBorders>
            <w:shd w:val="clear" w:color="auto" w:fill="auto"/>
          </w:tcPr>
          <w:p w14:paraId="2A3CB24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ZQRPP </w:t>
            </w:r>
          </w:p>
        </w:tc>
        <w:tc>
          <w:tcPr>
            <w:tcW w:w="567" w:type="pct"/>
            <w:gridSpan w:val="2"/>
            <w:tcBorders>
              <w:bottom w:val="single" w:sz="4" w:space="0" w:color="auto"/>
            </w:tcBorders>
            <w:shd w:val="clear" w:color="auto" w:fill="auto"/>
          </w:tcPr>
          <w:p w14:paraId="75907B40"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tcBorders>
              <w:bottom w:val="single" w:sz="4" w:space="0" w:color="auto"/>
            </w:tcBorders>
            <w:shd w:val="clear" w:color="auto" w:fill="auto"/>
          </w:tcPr>
          <w:p w14:paraId="42D53332"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tcBorders>
              <w:bottom w:val="single" w:sz="4" w:space="0" w:color="auto"/>
            </w:tcBorders>
            <w:shd w:val="clear" w:color="auto" w:fill="auto"/>
          </w:tcPr>
          <w:p w14:paraId="0819E33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Është në proces</w:t>
            </w:r>
          </w:p>
        </w:tc>
      </w:tr>
      <w:tr w:rsidR="00B02CEC" w:rsidRPr="003B79F4" w14:paraId="476BE9F9" w14:textId="77777777" w:rsidTr="00680053">
        <w:trPr>
          <w:jc w:val="center"/>
        </w:trPr>
        <w:tc>
          <w:tcPr>
            <w:tcW w:w="5000" w:type="pct"/>
            <w:gridSpan w:val="10"/>
            <w:shd w:val="clear" w:color="auto" w:fill="FFFFFF" w:themeFill="background1"/>
          </w:tcPr>
          <w:p w14:paraId="51EE8B89" w14:textId="77777777" w:rsidR="00B02CEC" w:rsidRPr="003B79F4" w:rsidRDefault="00B02CEC" w:rsidP="00680053">
            <w:pPr>
              <w:widowControl w:val="0"/>
              <w:spacing w:after="0" w:line="240" w:lineRule="auto"/>
              <w:jc w:val="center"/>
              <w:rPr>
                <w:rFonts w:ascii="Garamond" w:hAnsi="Garamond"/>
                <w:b/>
                <w:spacing w:val="-4"/>
                <w:sz w:val="14"/>
                <w:szCs w:val="14"/>
                <w:lang w:val="sq-AL"/>
              </w:rPr>
            </w:pPr>
            <w:r w:rsidRPr="003B79F4">
              <w:rPr>
                <w:rFonts w:ascii="Garamond" w:hAnsi="Garamond"/>
                <w:b/>
                <w:spacing w:val="-4"/>
                <w:sz w:val="14"/>
                <w:szCs w:val="14"/>
                <w:lang w:val="sq-AL"/>
              </w:rPr>
              <w:t>Pagesa e taksave</w:t>
            </w:r>
          </w:p>
        </w:tc>
      </w:tr>
      <w:tr w:rsidR="00B02CEC" w:rsidRPr="003B79F4" w14:paraId="752E7845" w14:textId="77777777" w:rsidTr="00680053">
        <w:trPr>
          <w:jc w:val="center"/>
        </w:trPr>
        <w:tc>
          <w:tcPr>
            <w:tcW w:w="620" w:type="pct"/>
          </w:tcPr>
          <w:p w14:paraId="11FBE22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Reduktimi i numrit të deklarimeve për TVSH, tatim fitimin korporativ dhe kontributet e sigurimeve shoqërore</w:t>
            </w:r>
          </w:p>
        </w:tc>
        <w:tc>
          <w:tcPr>
            <w:tcW w:w="1233" w:type="pct"/>
            <w:shd w:val="clear" w:color="auto" w:fill="auto"/>
          </w:tcPr>
          <w:p w14:paraId="0720C7B2"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Reduktimi i pagesave të kësteve paraprake të tatim fitimit korporativ nga çdo muaj në çdo tre muaj</w:t>
            </w:r>
          </w:p>
        </w:tc>
        <w:tc>
          <w:tcPr>
            <w:tcW w:w="623" w:type="pct"/>
            <w:shd w:val="clear" w:color="auto" w:fill="auto"/>
          </w:tcPr>
          <w:p w14:paraId="0F99A7FF"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Realizuar</w:t>
            </w:r>
          </w:p>
        </w:tc>
        <w:tc>
          <w:tcPr>
            <w:tcW w:w="642" w:type="pct"/>
            <w:gridSpan w:val="3"/>
            <w:shd w:val="clear" w:color="auto" w:fill="auto"/>
          </w:tcPr>
          <w:p w14:paraId="14CE9B2F"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MF</w:t>
            </w:r>
          </w:p>
          <w:p w14:paraId="552420BB"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DPT</w:t>
            </w:r>
          </w:p>
        </w:tc>
        <w:tc>
          <w:tcPr>
            <w:tcW w:w="567" w:type="pct"/>
            <w:gridSpan w:val="2"/>
            <w:shd w:val="clear" w:color="auto" w:fill="auto"/>
          </w:tcPr>
          <w:p w14:paraId="66088AC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Reduktim i numrit të deklarimit dhe pagesave për këstet paraprake të tatim fitimit</w:t>
            </w:r>
          </w:p>
        </w:tc>
        <w:tc>
          <w:tcPr>
            <w:tcW w:w="378" w:type="pct"/>
            <w:shd w:val="clear" w:color="auto" w:fill="auto"/>
          </w:tcPr>
          <w:p w14:paraId="70C12D97"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2015</w:t>
            </w:r>
          </w:p>
        </w:tc>
        <w:tc>
          <w:tcPr>
            <w:tcW w:w="938" w:type="pct"/>
            <w:shd w:val="clear" w:color="auto" w:fill="auto"/>
          </w:tcPr>
          <w:p w14:paraId="3DFEDB43"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Nga monitorimi i përbashkët që është bërë koha e deklaruar në </w:t>
            </w:r>
            <w:r w:rsidRPr="003B79F4">
              <w:rPr>
                <w:rFonts w:ascii="Garamond" w:hAnsi="Garamond"/>
                <w:bCs/>
                <w:i/>
                <w:spacing w:val="-4"/>
                <w:sz w:val="14"/>
                <w:szCs w:val="14"/>
                <w:lang w:val="sq-AL"/>
              </w:rPr>
              <w:t>Doing Business</w:t>
            </w:r>
            <w:r w:rsidRPr="003B79F4">
              <w:rPr>
                <w:rFonts w:ascii="Garamond" w:hAnsi="Garamond"/>
                <w:bCs/>
                <w:spacing w:val="-4"/>
                <w:sz w:val="14"/>
                <w:szCs w:val="14"/>
                <w:lang w:val="sq-AL"/>
              </w:rPr>
              <w:t xml:space="preserve"> për plotësimin e deklaratave, nuk është i saktë dhe është i ekzagjeruar.</w:t>
            </w:r>
          </w:p>
        </w:tc>
      </w:tr>
      <w:tr w:rsidR="00B02CEC" w:rsidRPr="003B79F4" w14:paraId="5D448EEA" w14:textId="77777777" w:rsidTr="00680053">
        <w:trPr>
          <w:jc w:val="center"/>
        </w:trPr>
        <w:tc>
          <w:tcPr>
            <w:tcW w:w="620" w:type="pct"/>
          </w:tcPr>
          <w:p w14:paraId="12C8F497"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425C12B5"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Propozim për ndryshim në ligjin. nr. 9136 datë 11.9.2003 “Për mbledhjen e kontributeve të detyrueshme të sigurimeve shoqërore dhe shëndetësorë në Republikën e  Shqipërisë”,  i ndryshuar</w:t>
            </w:r>
          </w:p>
        </w:tc>
        <w:tc>
          <w:tcPr>
            <w:tcW w:w="623" w:type="pct"/>
            <w:shd w:val="clear" w:color="auto" w:fill="auto"/>
          </w:tcPr>
          <w:p w14:paraId="61467907"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E zbatuar pjesërisht/ 1.10.2014</w:t>
            </w:r>
          </w:p>
        </w:tc>
        <w:tc>
          <w:tcPr>
            <w:tcW w:w="642" w:type="pct"/>
            <w:gridSpan w:val="3"/>
            <w:shd w:val="clear" w:color="auto" w:fill="auto"/>
          </w:tcPr>
          <w:p w14:paraId="679DE220"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MF</w:t>
            </w:r>
          </w:p>
        </w:tc>
        <w:tc>
          <w:tcPr>
            <w:tcW w:w="567" w:type="pct"/>
            <w:gridSpan w:val="2"/>
            <w:shd w:val="clear" w:color="auto" w:fill="auto"/>
          </w:tcPr>
          <w:p w14:paraId="2EF8C4A3"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Reduktimi i tre formularëve te deklarimit të kontributeve të sigurimeve shoqërore, shëndetësorë dhe tatimit mbi të ardhurat personale në një të vetme. Listëpagesa do të shërbejë si deklaratë tatimore për të tre taksat.</w:t>
            </w:r>
          </w:p>
        </w:tc>
        <w:tc>
          <w:tcPr>
            <w:tcW w:w="378" w:type="pct"/>
            <w:shd w:val="clear" w:color="auto" w:fill="auto"/>
          </w:tcPr>
          <w:p w14:paraId="189C60FB"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424146C3"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Projektligji ë</w:t>
            </w:r>
            <w:r w:rsidRPr="003B79F4">
              <w:rPr>
                <w:rFonts w:ascii="Garamond" w:hAnsi="Garamond"/>
                <w:spacing w:val="-4"/>
                <w:sz w:val="14"/>
                <w:szCs w:val="14"/>
                <w:lang w:val="sq-AL"/>
              </w:rPr>
              <w:t xml:space="preserve">shtë miratuar në KM me VKM nr. 387, datë 18.06.2014 </w:t>
            </w:r>
            <w:r w:rsidRPr="003B79F4">
              <w:rPr>
                <w:rFonts w:ascii="Garamond" w:hAnsi="Garamond"/>
                <w:bCs/>
                <w:spacing w:val="-4"/>
                <w:sz w:val="14"/>
                <w:szCs w:val="14"/>
                <w:lang w:val="sq-AL"/>
              </w:rPr>
              <w:t>dhe pritet  miratimi i tij nga parlamenti. Zbatimi i ndryshimeve në sistemin informatik tatimor fillon më 1.10.2014.</w:t>
            </w:r>
          </w:p>
        </w:tc>
      </w:tr>
      <w:tr w:rsidR="00B02CEC" w:rsidRPr="003B79F4" w14:paraId="054D4B60" w14:textId="77777777" w:rsidTr="00680053">
        <w:trPr>
          <w:jc w:val="center"/>
        </w:trPr>
        <w:tc>
          <w:tcPr>
            <w:tcW w:w="620" w:type="pct"/>
          </w:tcPr>
          <w:p w14:paraId="2A2B8C50"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63B2A2B7"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Projektligji “Për disa ndryshime në ligjin nr. 9920, datë 19.5.2008 “Për procedurat tatimore në Republikën e Shqipërisë”, të ndryshuar””</w:t>
            </w:r>
          </w:p>
        </w:tc>
        <w:tc>
          <w:tcPr>
            <w:tcW w:w="623" w:type="pct"/>
            <w:shd w:val="clear" w:color="auto" w:fill="auto"/>
          </w:tcPr>
          <w:p w14:paraId="5719358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Pritet miratimi në Kuvend</w:t>
            </w:r>
          </w:p>
        </w:tc>
        <w:tc>
          <w:tcPr>
            <w:tcW w:w="642" w:type="pct"/>
            <w:gridSpan w:val="3"/>
            <w:shd w:val="clear" w:color="auto" w:fill="auto"/>
          </w:tcPr>
          <w:p w14:paraId="7D2736D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MF</w:t>
            </w:r>
          </w:p>
        </w:tc>
        <w:tc>
          <w:tcPr>
            <w:tcW w:w="567" w:type="pct"/>
            <w:gridSpan w:val="2"/>
            <w:shd w:val="clear" w:color="auto" w:fill="auto"/>
          </w:tcPr>
          <w:p w14:paraId="64708650"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shd w:val="clear" w:color="auto" w:fill="auto"/>
          </w:tcPr>
          <w:p w14:paraId="4BDD969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0EE6C51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Thjeshtimi i procedurave të komunikimit me tatimpaguesin si dhe ulja e kostove administrative për të.</w:t>
            </w:r>
          </w:p>
          <w:p w14:paraId="46230F7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Vendosja  komunikimit administratë –tatimpagues nëpërmjet mesazhit elektronik;</w:t>
            </w:r>
          </w:p>
          <w:p w14:paraId="4A143BF7"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Administrata tatimore lëshon letërkujtesë për tatimpaguesin për pagimin e detyrimeve</w:t>
            </w:r>
          </w:p>
        </w:tc>
      </w:tr>
      <w:tr w:rsidR="00B02CEC" w:rsidRPr="003B79F4" w14:paraId="3CA7E29F" w14:textId="77777777" w:rsidTr="00680053">
        <w:trPr>
          <w:jc w:val="center"/>
        </w:trPr>
        <w:tc>
          <w:tcPr>
            <w:tcW w:w="620" w:type="pct"/>
          </w:tcPr>
          <w:p w14:paraId="015150C9"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2794D742"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 xml:space="preserve">Projektligji “Për disa shtesa dhe ndryshime në  ligjin nr. 9975, datë 28.7.2008 “Për taksat kombëtare”, </w:t>
            </w:r>
            <w:r>
              <w:rPr>
                <w:rFonts w:ascii="Garamond" w:hAnsi="Garamond"/>
                <w:spacing w:val="-4"/>
                <w:sz w:val="14"/>
                <w:szCs w:val="14"/>
                <w:lang w:val="sq-AL"/>
              </w:rPr>
              <w:t>i</w:t>
            </w:r>
            <w:r w:rsidRPr="003B79F4">
              <w:rPr>
                <w:rFonts w:ascii="Garamond" w:hAnsi="Garamond"/>
                <w:spacing w:val="-4"/>
                <w:sz w:val="14"/>
                <w:szCs w:val="14"/>
                <w:lang w:val="sq-AL"/>
              </w:rPr>
              <w:t xml:space="preserve"> ndryshuar</w:t>
            </w:r>
          </w:p>
        </w:tc>
        <w:tc>
          <w:tcPr>
            <w:tcW w:w="623" w:type="pct"/>
            <w:shd w:val="clear" w:color="auto" w:fill="auto"/>
          </w:tcPr>
          <w:p w14:paraId="1412C73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Pritet miratimi në Kuvend</w:t>
            </w:r>
          </w:p>
        </w:tc>
        <w:tc>
          <w:tcPr>
            <w:tcW w:w="642" w:type="pct"/>
            <w:gridSpan w:val="3"/>
            <w:shd w:val="clear" w:color="auto" w:fill="auto"/>
          </w:tcPr>
          <w:p w14:paraId="2F71257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MF</w:t>
            </w:r>
          </w:p>
        </w:tc>
        <w:tc>
          <w:tcPr>
            <w:tcW w:w="567" w:type="pct"/>
            <w:gridSpan w:val="2"/>
            <w:shd w:val="clear" w:color="auto" w:fill="auto"/>
          </w:tcPr>
          <w:p w14:paraId="22B81DD1"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shd w:val="clear" w:color="auto" w:fill="auto"/>
          </w:tcPr>
          <w:p w14:paraId="0C5C9E4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DB2016</w:t>
            </w:r>
          </w:p>
        </w:tc>
        <w:tc>
          <w:tcPr>
            <w:tcW w:w="938" w:type="pct"/>
            <w:shd w:val="clear" w:color="auto" w:fill="auto"/>
          </w:tcPr>
          <w:p w14:paraId="582FCBB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Deklarimi i taksave kombëtare dhe tarifave në mënyrë elektronike duke unifikuar deklaratën dhe datën e deklarimit.</w:t>
            </w:r>
          </w:p>
        </w:tc>
      </w:tr>
      <w:tr w:rsidR="00B02CEC" w:rsidRPr="003B79F4" w14:paraId="71609EBC" w14:textId="77777777" w:rsidTr="00680053">
        <w:trPr>
          <w:jc w:val="center"/>
        </w:trPr>
        <w:tc>
          <w:tcPr>
            <w:tcW w:w="620" w:type="pct"/>
          </w:tcPr>
          <w:p w14:paraId="0FADBE8A"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17736045"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Projektligji “Për disa shtesa dhe ndryshime në  ligjin nr. 8438, datë 28.12.1998” Për tatimin mbi të ardhurat” i ndryshuar</w:t>
            </w:r>
          </w:p>
        </w:tc>
        <w:tc>
          <w:tcPr>
            <w:tcW w:w="623" w:type="pct"/>
            <w:shd w:val="clear" w:color="auto" w:fill="auto"/>
          </w:tcPr>
          <w:p w14:paraId="4040EA0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Pritet miratimi në Kuvend</w:t>
            </w:r>
          </w:p>
        </w:tc>
        <w:tc>
          <w:tcPr>
            <w:tcW w:w="642" w:type="pct"/>
            <w:gridSpan w:val="3"/>
            <w:shd w:val="clear" w:color="auto" w:fill="auto"/>
          </w:tcPr>
          <w:p w14:paraId="155E8913"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MF</w:t>
            </w:r>
          </w:p>
        </w:tc>
        <w:tc>
          <w:tcPr>
            <w:tcW w:w="567" w:type="pct"/>
            <w:gridSpan w:val="2"/>
            <w:shd w:val="clear" w:color="auto" w:fill="auto"/>
          </w:tcPr>
          <w:p w14:paraId="66BD6DC6"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shd w:val="clear" w:color="auto" w:fill="auto"/>
          </w:tcPr>
          <w:p w14:paraId="0C2936E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DB2016</w:t>
            </w:r>
          </w:p>
        </w:tc>
        <w:tc>
          <w:tcPr>
            <w:tcW w:w="938" w:type="pct"/>
            <w:shd w:val="clear" w:color="auto" w:fill="auto"/>
          </w:tcPr>
          <w:p w14:paraId="242BD39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Ndryshon mënyra e llogaritjes së kësteve të tatimfitimit, duke u bazuar në fitimin e nj viti më parë e jo në atë të dy viteve më parë;</w:t>
            </w:r>
          </w:p>
          <w:p w14:paraId="4061575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Lëshohet një njoftim i vetëm vlerësimi për pagesën e kësteve të tatimfitimit e jo dy njoftim vlerësime</w:t>
            </w:r>
          </w:p>
        </w:tc>
      </w:tr>
      <w:tr w:rsidR="00B02CEC" w:rsidRPr="003B79F4" w14:paraId="3BA91FF4" w14:textId="77777777" w:rsidTr="00680053">
        <w:trPr>
          <w:jc w:val="center"/>
        </w:trPr>
        <w:tc>
          <w:tcPr>
            <w:tcW w:w="620" w:type="pct"/>
          </w:tcPr>
          <w:p w14:paraId="22B6955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Fuqizimi i funksionalitetit të sistemit të </w:t>
            </w:r>
            <w:r w:rsidRPr="003B79F4">
              <w:rPr>
                <w:rFonts w:ascii="Garamond" w:hAnsi="Garamond"/>
                <w:bCs/>
                <w:i/>
                <w:spacing w:val="-4"/>
                <w:sz w:val="14"/>
                <w:szCs w:val="14"/>
                <w:lang w:val="sq-AL"/>
              </w:rPr>
              <w:t>e-payment</w:t>
            </w:r>
            <w:r w:rsidRPr="003B79F4">
              <w:rPr>
                <w:rFonts w:ascii="Garamond" w:hAnsi="Garamond"/>
                <w:bCs/>
                <w:spacing w:val="-4"/>
                <w:sz w:val="14"/>
                <w:szCs w:val="14"/>
                <w:lang w:val="sq-AL"/>
              </w:rPr>
              <w:t xml:space="preserve"> dhe komunikimi midis QKR dhe DPT</w:t>
            </w:r>
          </w:p>
        </w:tc>
        <w:tc>
          <w:tcPr>
            <w:tcW w:w="1233" w:type="pct"/>
            <w:shd w:val="clear" w:color="auto" w:fill="auto"/>
          </w:tcPr>
          <w:p w14:paraId="518C4555"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Propozim për shkurtim të numrit të llogarive të pagimit të tatimeve nga 1182 në 17 llogari. Përditësim të marrëveshjes ekzistuese të QKR me DPT gati në rang kombëtar.</w:t>
            </w:r>
          </w:p>
        </w:tc>
        <w:tc>
          <w:tcPr>
            <w:tcW w:w="623" w:type="pct"/>
            <w:shd w:val="clear" w:color="auto" w:fill="auto"/>
          </w:tcPr>
          <w:p w14:paraId="0D4CAB1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E zbatuar pjesërisht/ 1.10.2014</w:t>
            </w:r>
          </w:p>
        </w:tc>
        <w:tc>
          <w:tcPr>
            <w:tcW w:w="642" w:type="pct"/>
            <w:gridSpan w:val="3"/>
            <w:shd w:val="clear" w:color="auto" w:fill="auto"/>
          </w:tcPr>
          <w:p w14:paraId="514C69B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MF</w:t>
            </w:r>
          </w:p>
          <w:p w14:paraId="7B7FB16B"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DPT</w:t>
            </w:r>
          </w:p>
          <w:p w14:paraId="6CC65B5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Shoqata e Bankave të Shqipërisë</w:t>
            </w:r>
          </w:p>
          <w:p w14:paraId="10AA1F9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MZHETS,</w:t>
            </w:r>
          </w:p>
          <w:p w14:paraId="698AFD1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QKR,</w:t>
            </w:r>
          </w:p>
          <w:p w14:paraId="141BF9E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DPT</w:t>
            </w:r>
          </w:p>
        </w:tc>
        <w:tc>
          <w:tcPr>
            <w:tcW w:w="567" w:type="pct"/>
            <w:gridSpan w:val="2"/>
            <w:shd w:val="clear" w:color="auto" w:fill="auto"/>
          </w:tcPr>
          <w:p w14:paraId="104FD723"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Shkurtim i kohës së pagesës së detyrimeve tatimore;</w:t>
            </w:r>
          </w:p>
          <w:p w14:paraId="61FD0B9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Eliminimi i vështirësive të vërejtura gjatë këtyre viteve në përditësimin e të dhënave të tatimpaguesve</w:t>
            </w:r>
          </w:p>
        </w:tc>
        <w:tc>
          <w:tcPr>
            <w:tcW w:w="378" w:type="pct"/>
            <w:shd w:val="clear" w:color="auto" w:fill="auto"/>
          </w:tcPr>
          <w:p w14:paraId="43B38530"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590965A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Jemi në komunikim me të dy aktorët për implementimin nëpërmjet sistemit të ri informatik të një mënyre pagese më eficente për tatimpaguesit. </w:t>
            </w:r>
          </w:p>
          <w:p w14:paraId="588D314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Kjo marrëveshje do të implementohet menjëherë në sistemin e ri informatik tatimor që do të shkojë live me datë 1.10.2014</w:t>
            </w:r>
          </w:p>
        </w:tc>
      </w:tr>
      <w:tr w:rsidR="00B02CEC" w:rsidRPr="003B79F4" w14:paraId="734BFEB9" w14:textId="77777777" w:rsidTr="00680053">
        <w:trPr>
          <w:jc w:val="center"/>
        </w:trPr>
        <w:tc>
          <w:tcPr>
            <w:tcW w:w="620" w:type="pct"/>
            <w:tcBorders>
              <w:bottom w:val="single" w:sz="4" w:space="0" w:color="auto"/>
            </w:tcBorders>
          </w:tcPr>
          <w:p w14:paraId="623BAA55"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tcBorders>
              <w:bottom w:val="single" w:sz="4" w:space="0" w:color="auto"/>
            </w:tcBorders>
            <w:shd w:val="clear" w:color="auto" w:fill="auto"/>
          </w:tcPr>
          <w:p w14:paraId="26025ECA"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 xml:space="preserve">Takime informuese dhe kualifikuese me biznesin për </w:t>
            </w:r>
            <w:r w:rsidRPr="003B79F4">
              <w:rPr>
                <w:rFonts w:ascii="Garamond" w:hAnsi="Garamond"/>
                <w:i/>
                <w:spacing w:val="-4"/>
                <w:sz w:val="14"/>
                <w:szCs w:val="14"/>
                <w:lang w:val="sq-AL"/>
              </w:rPr>
              <w:t>e-payment</w:t>
            </w:r>
          </w:p>
        </w:tc>
        <w:tc>
          <w:tcPr>
            <w:tcW w:w="623" w:type="pct"/>
            <w:tcBorders>
              <w:bottom w:val="single" w:sz="4" w:space="0" w:color="auto"/>
            </w:tcBorders>
            <w:shd w:val="clear" w:color="auto" w:fill="auto"/>
          </w:tcPr>
          <w:p w14:paraId="43FB320A" w14:textId="77777777" w:rsidR="00B02CEC" w:rsidRPr="003B79F4" w:rsidRDefault="00B02CEC" w:rsidP="00680053">
            <w:pPr>
              <w:widowControl w:val="0"/>
              <w:spacing w:after="0" w:line="240" w:lineRule="auto"/>
              <w:rPr>
                <w:rFonts w:ascii="Garamond" w:hAnsi="Garamond"/>
                <w:bCs/>
                <w:spacing w:val="-4"/>
                <w:sz w:val="14"/>
                <w:szCs w:val="14"/>
                <w:lang w:val="sq-AL"/>
              </w:rPr>
            </w:pPr>
            <w:r>
              <w:rPr>
                <w:rFonts w:ascii="Garamond" w:hAnsi="Garamond"/>
                <w:bCs/>
                <w:spacing w:val="-4"/>
                <w:sz w:val="14"/>
                <w:szCs w:val="14"/>
                <w:lang w:val="sq-AL"/>
              </w:rPr>
              <w:t xml:space="preserve">Tremujori i 4-t </w:t>
            </w:r>
            <w:r w:rsidRPr="003B79F4">
              <w:rPr>
                <w:rFonts w:ascii="Garamond" w:hAnsi="Garamond"/>
                <w:bCs/>
                <w:spacing w:val="-4"/>
                <w:sz w:val="14"/>
                <w:szCs w:val="14"/>
                <w:lang w:val="sq-AL"/>
              </w:rPr>
              <w:t>2014</w:t>
            </w:r>
          </w:p>
        </w:tc>
        <w:tc>
          <w:tcPr>
            <w:tcW w:w="642" w:type="pct"/>
            <w:gridSpan w:val="3"/>
            <w:tcBorders>
              <w:bottom w:val="single" w:sz="4" w:space="0" w:color="auto"/>
            </w:tcBorders>
            <w:shd w:val="clear" w:color="auto" w:fill="auto"/>
          </w:tcPr>
          <w:p w14:paraId="16BB8E7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MF/DPT</w:t>
            </w:r>
          </w:p>
        </w:tc>
        <w:tc>
          <w:tcPr>
            <w:tcW w:w="567" w:type="pct"/>
            <w:gridSpan w:val="2"/>
            <w:tcBorders>
              <w:bottom w:val="single" w:sz="4" w:space="0" w:color="auto"/>
            </w:tcBorders>
            <w:shd w:val="clear" w:color="auto" w:fill="auto"/>
          </w:tcPr>
          <w:p w14:paraId="3456179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Rritja e informacionit tek biznesi për sistemin e ri</w:t>
            </w:r>
          </w:p>
        </w:tc>
        <w:tc>
          <w:tcPr>
            <w:tcW w:w="378" w:type="pct"/>
            <w:tcBorders>
              <w:bottom w:val="single" w:sz="4" w:space="0" w:color="auto"/>
            </w:tcBorders>
            <w:shd w:val="clear" w:color="auto" w:fill="auto"/>
          </w:tcPr>
          <w:p w14:paraId="65D4E9CE"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tcBorders>
              <w:bottom w:val="single" w:sz="4" w:space="0" w:color="auto"/>
            </w:tcBorders>
            <w:shd w:val="clear" w:color="auto" w:fill="auto"/>
          </w:tcPr>
          <w:p w14:paraId="341A62C5"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25BC85D8" w14:textId="77777777" w:rsidTr="00680053">
        <w:trPr>
          <w:jc w:val="center"/>
        </w:trPr>
        <w:tc>
          <w:tcPr>
            <w:tcW w:w="5000" w:type="pct"/>
            <w:gridSpan w:val="10"/>
            <w:shd w:val="clear" w:color="auto" w:fill="FFFFFF" w:themeFill="background1"/>
          </w:tcPr>
          <w:p w14:paraId="4577F345" w14:textId="77777777" w:rsidR="00B02CEC" w:rsidRPr="003B79F4" w:rsidRDefault="00B02CEC" w:rsidP="00680053">
            <w:pPr>
              <w:widowControl w:val="0"/>
              <w:spacing w:after="0" w:line="240" w:lineRule="auto"/>
              <w:jc w:val="center"/>
              <w:rPr>
                <w:rFonts w:ascii="Garamond" w:hAnsi="Garamond"/>
                <w:b/>
                <w:spacing w:val="-4"/>
                <w:sz w:val="14"/>
                <w:szCs w:val="14"/>
                <w:lang w:val="sq-AL"/>
              </w:rPr>
            </w:pPr>
            <w:r>
              <w:rPr>
                <w:rFonts w:ascii="Garamond" w:hAnsi="Garamond"/>
                <w:b/>
                <w:spacing w:val="-4"/>
                <w:sz w:val="14"/>
                <w:szCs w:val="14"/>
                <w:lang w:val="sq-AL"/>
              </w:rPr>
              <w:t>Tregtia përme</w:t>
            </w:r>
            <w:r w:rsidRPr="003B79F4">
              <w:rPr>
                <w:rFonts w:ascii="Garamond" w:hAnsi="Garamond"/>
                <w:b/>
                <w:spacing w:val="-4"/>
                <w:sz w:val="14"/>
                <w:szCs w:val="14"/>
                <w:lang w:val="sq-AL"/>
              </w:rPr>
              <w:t>s kufijve</w:t>
            </w:r>
          </w:p>
        </w:tc>
      </w:tr>
      <w:tr w:rsidR="00B02CEC" w:rsidRPr="003B79F4" w14:paraId="08229EC0" w14:textId="77777777" w:rsidTr="00680053">
        <w:trPr>
          <w:trHeight w:val="1656"/>
          <w:jc w:val="center"/>
        </w:trPr>
        <w:tc>
          <w:tcPr>
            <w:tcW w:w="620" w:type="pct"/>
            <w:vMerge w:val="restart"/>
            <w:tcBorders>
              <w:bottom w:val="single" w:sz="4" w:space="0" w:color="auto"/>
            </w:tcBorders>
          </w:tcPr>
          <w:p w14:paraId="4C6778E6" w14:textId="77777777" w:rsidR="00B02CEC" w:rsidRPr="003B79F4" w:rsidRDefault="00B02CEC" w:rsidP="00680053">
            <w:pPr>
              <w:widowControl w:val="0"/>
              <w:spacing w:after="0" w:line="240" w:lineRule="auto"/>
              <w:jc w:val="center"/>
              <w:rPr>
                <w:rFonts w:ascii="Garamond" w:hAnsi="Garamond"/>
                <w:bCs/>
                <w:spacing w:val="-4"/>
                <w:sz w:val="14"/>
                <w:szCs w:val="14"/>
                <w:lang w:val="sq-AL"/>
              </w:rPr>
            </w:pPr>
            <w:r w:rsidRPr="003B79F4">
              <w:rPr>
                <w:rFonts w:ascii="Garamond" w:hAnsi="Garamond"/>
                <w:bCs/>
                <w:spacing w:val="-4"/>
                <w:sz w:val="14"/>
                <w:szCs w:val="14"/>
                <w:lang w:val="sq-AL"/>
              </w:rPr>
              <w:t>Vlerësimi i mundësive për krijimin e sportelit të vetëm në doganë</w:t>
            </w:r>
          </w:p>
        </w:tc>
        <w:tc>
          <w:tcPr>
            <w:tcW w:w="1233" w:type="pct"/>
            <w:tcBorders>
              <w:bottom w:val="single" w:sz="4" w:space="0" w:color="auto"/>
            </w:tcBorders>
            <w:shd w:val="clear" w:color="auto" w:fill="auto"/>
          </w:tcPr>
          <w:p w14:paraId="3895E9B2"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 xml:space="preserve">Krijimi i një Task Force me përfaqësues të të gjitha institucioneve të përfshira në procesin e zhdoganimeve (import/eksport) </w:t>
            </w:r>
          </w:p>
        </w:tc>
        <w:tc>
          <w:tcPr>
            <w:tcW w:w="623" w:type="pct"/>
            <w:vMerge w:val="restart"/>
            <w:tcBorders>
              <w:bottom w:val="single" w:sz="4" w:space="0" w:color="auto"/>
            </w:tcBorders>
            <w:shd w:val="clear" w:color="auto" w:fill="auto"/>
          </w:tcPr>
          <w:p w14:paraId="6A3318D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3 vjet</w:t>
            </w:r>
          </w:p>
        </w:tc>
        <w:tc>
          <w:tcPr>
            <w:tcW w:w="642" w:type="pct"/>
            <w:gridSpan w:val="3"/>
            <w:vMerge w:val="restart"/>
            <w:tcBorders>
              <w:bottom w:val="single" w:sz="4" w:space="0" w:color="auto"/>
            </w:tcBorders>
            <w:shd w:val="clear" w:color="auto" w:fill="auto"/>
          </w:tcPr>
          <w:p w14:paraId="454D05B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MF/DPD, MZHETS dhe të gjitha agjencitë që veprojnë në pikat e kalimit të kufirit</w:t>
            </w:r>
          </w:p>
        </w:tc>
        <w:tc>
          <w:tcPr>
            <w:tcW w:w="567" w:type="pct"/>
            <w:gridSpan w:val="2"/>
            <w:vMerge w:val="restart"/>
            <w:tcBorders>
              <w:bottom w:val="single" w:sz="4" w:space="0" w:color="auto"/>
            </w:tcBorders>
            <w:shd w:val="clear" w:color="auto" w:fill="auto"/>
          </w:tcPr>
          <w:p w14:paraId="36E1F36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Përfitimet për biznesin:</w:t>
            </w:r>
          </w:p>
          <w:p w14:paraId="1542DAA2" w14:textId="77777777" w:rsidR="00B02CEC" w:rsidRPr="003B79F4" w:rsidRDefault="00B02CEC" w:rsidP="00B02CEC">
            <w:pPr>
              <w:widowControl w:val="0"/>
              <w:numPr>
                <w:ilvl w:val="0"/>
                <w:numId w:val="1"/>
              </w:numPr>
              <w:spacing w:after="0" w:line="240" w:lineRule="auto"/>
              <w:ind w:left="133" w:firstLine="0"/>
              <w:rPr>
                <w:rFonts w:ascii="Garamond" w:hAnsi="Garamond"/>
                <w:bCs/>
                <w:spacing w:val="-4"/>
                <w:sz w:val="14"/>
                <w:szCs w:val="14"/>
                <w:lang w:val="sq-AL"/>
              </w:rPr>
            </w:pPr>
            <w:r w:rsidRPr="003B79F4">
              <w:rPr>
                <w:rFonts w:ascii="Garamond" w:hAnsi="Garamond"/>
                <w:bCs/>
                <w:spacing w:val="-4"/>
                <w:sz w:val="14"/>
                <w:szCs w:val="14"/>
                <w:lang w:val="sq-AL"/>
              </w:rPr>
              <w:t xml:space="preserve">Shkurtimi i kohës për praktikat administrative; </w:t>
            </w:r>
          </w:p>
          <w:p w14:paraId="40CA3F22" w14:textId="77777777" w:rsidR="00B02CEC" w:rsidRPr="003B79F4" w:rsidRDefault="00B02CEC" w:rsidP="00B02CEC">
            <w:pPr>
              <w:widowControl w:val="0"/>
              <w:numPr>
                <w:ilvl w:val="0"/>
                <w:numId w:val="1"/>
              </w:numPr>
              <w:spacing w:after="0" w:line="240" w:lineRule="auto"/>
              <w:ind w:left="133" w:firstLine="0"/>
              <w:rPr>
                <w:rFonts w:ascii="Garamond" w:hAnsi="Garamond"/>
                <w:bCs/>
                <w:spacing w:val="-4"/>
                <w:sz w:val="14"/>
                <w:szCs w:val="14"/>
                <w:lang w:val="sq-AL"/>
              </w:rPr>
            </w:pPr>
            <w:r w:rsidRPr="003B79F4">
              <w:rPr>
                <w:rFonts w:ascii="Garamond" w:hAnsi="Garamond"/>
                <w:bCs/>
                <w:spacing w:val="-4"/>
                <w:sz w:val="14"/>
                <w:szCs w:val="14"/>
                <w:lang w:val="sq-AL"/>
              </w:rPr>
              <w:t xml:space="preserve">Marrja e informacionit në kohë reale mbi procedurat dhe aktet administrative; </w:t>
            </w:r>
          </w:p>
          <w:p w14:paraId="29E4E3BA" w14:textId="77777777" w:rsidR="00B02CEC" w:rsidRPr="003B79F4" w:rsidRDefault="00B02CEC" w:rsidP="00B02CEC">
            <w:pPr>
              <w:widowControl w:val="0"/>
              <w:numPr>
                <w:ilvl w:val="0"/>
                <w:numId w:val="1"/>
              </w:numPr>
              <w:spacing w:after="0" w:line="240" w:lineRule="auto"/>
              <w:ind w:left="133" w:firstLine="0"/>
              <w:rPr>
                <w:rFonts w:ascii="Garamond" w:hAnsi="Garamond"/>
                <w:bCs/>
                <w:spacing w:val="-4"/>
                <w:sz w:val="14"/>
                <w:szCs w:val="14"/>
                <w:lang w:val="sq-AL"/>
              </w:rPr>
            </w:pPr>
            <w:r w:rsidRPr="003B79F4">
              <w:rPr>
                <w:rFonts w:ascii="Garamond" w:hAnsi="Garamond"/>
                <w:bCs/>
                <w:spacing w:val="-4"/>
                <w:sz w:val="14"/>
                <w:szCs w:val="14"/>
                <w:lang w:val="sq-AL"/>
              </w:rPr>
              <w:t xml:space="preserve">Ulja e kostos së aplikimit; </w:t>
            </w:r>
          </w:p>
          <w:p w14:paraId="4D013162" w14:textId="77777777" w:rsidR="00B02CEC" w:rsidRPr="003B79F4" w:rsidRDefault="00B02CEC" w:rsidP="00B02CEC">
            <w:pPr>
              <w:widowControl w:val="0"/>
              <w:numPr>
                <w:ilvl w:val="0"/>
                <w:numId w:val="1"/>
              </w:numPr>
              <w:spacing w:after="0" w:line="240" w:lineRule="auto"/>
              <w:ind w:left="133" w:firstLine="0"/>
              <w:rPr>
                <w:rFonts w:ascii="Garamond" w:hAnsi="Garamond"/>
                <w:bCs/>
                <w:spacing w:val="-4"/>
                <w:sz w:val="14"/>
                <w:szCs w:val="14"/>
                <w:lang w:val="sq-AL"/>
              </w:rPr>
            </w:pPr>
            <w:r w:rsidRPr="003B79F4">
              <w:rPr>
                <w:rFonts w:ascii="Garamond" w:hAnsi="Garamond"/>
                <w:bCs/>
                <w:spacing w:val="-4"/>
                <w:sz w:val="14"/>
                <w:szCs w:val="14"/>
                <w:lang w:val="sq-AL"/>
              </w:rPr>
              <w:t xml:space="preserve">Rritja e nivelit të transparencës dhe zbatueshmërisë </w:t>
            </w:r>
            <w:r w:rsidRPr="003B79F4">
              <w:rPr>
                <w:rFonts w:ascii="Garamond" w:hAnsi="Garamond"/>
                <w:bCs/>
                <w:spacing w:val="-4"/>
                <w:sz w:val="14"/>
                <w:szCs w:val="14"/>
                <w:lang w:val="sq-AL"/>
              </w:rPr>
              <w:lastRenderedPageBreak/>
              <w:t xml:space="preserve">ligjore; </w:t>
            </w:r>
          </w:p>
          <w:p w14:paraId="41D05C23" w14:textId="77777777" w:rsidR="00B02CEC" w:rsidRPr="003B79F4" w:rsidRDefault="00B02CEC" w:rsidP="00B02CEC">
            <w:pPr>
              <w:widowControl w:val="0"/>
              <w:numPr>
                <w:ilvl w:val="0"/>
                <w:numId w:val="1"/>
              </w:numPr>
              <w:spacing w:after="0" w:line="240" w:lineRule="auto"/>
              <w:ind w:left="133" w:firstLine="0"/>
              <w:rPr>
                <w:rFonts w:ascii="Garamond" w:hAnsi="Garamond"/>
                <w:bCs/>
                <w:spacing w:val="-4"/>
                <w:sz w:val="14"/>
                <w:szCs w:val="14"/>
                <w:lang w:val="sq-AL"/>
              </w:rPr>
            </w:pPr>
            <w:r w:rsidRPr="003B79F4">
              <w:rPr>
                <w:rFonts w:ascii="Garamond" w:hAnsi="Garamond"/>
                <w:bCs/>
                <w:spacing w:val="-4"/>
                <w:sz w:val="14"/>
                <w:szCs w:val="14"/>
                <w:lang w:val="sq-AL"/>
              </w:rPr>
              <w:t xml:space="preserve">Ulja e nivelit të korrupsionit; </w:t>
            </w:r>
          </w:p>
          <w:p w14:paraId="716B74E4" w14:textId="77777777" w:rsidR="00B02CEC" w:rsidRPr="003B79F4" w:rsidRDefault="00B02CEC" w:rsidP="00B02CEC">
            <w:pPr>
              <w:widowControl w:val="0"/>
              <w:numPr>
                <w:ilvl w:val="0"/>
                <w:numId w:val="1"/>
              </w:numPr>
              <w:spacing w:after="0" w:line="240" w:lineRule="auto"/>
              <w:ind w:left="133" w:firstLine="0"/>
              <w:rPr>
                <w:rFonts w:ascii="Garamond" w:hAnsi="Garamond"/>
                <w:bCs/>
                <w:spacing w:val="-4"/>
                <w:sz w:val="14"/>
                <w:szCs w:val="14"/>
                <w:lang w:val="sq-AL"/>
              </w:rPr>
            </w:pPr>
            <w:r w:rsidRPr="003B79F4">
              <w:rPr>
                <w:rFonts w:ascii="Garamond" w:hAnsi="Garamond"/>
                <w:bCs/>
                <w:spacing w:val="-4"/>
                <w:sz w:val="14"/>
                <w:szCs w:val="14"/>
                <w:lang w:val="sq-AL"/>
              </w:rPr>
              <w:t xml:space="preserve">Rritja e bashkëpunimit ndërinstitucional, </w:t>
            </w:r>
          </w:p>
          <w:p w14:paraId="42704849" w14:textId="77777777" w:rsidR="00B02CEC" w:rsidRPr="003B79F4" w:rsidRDefault="00B02CEC" w:rsidP="00B02CEC">
            <w:pPr>
              <w:widowControl w:val="0"/>
              <w:numPr>
                <w:ilvl w:val="0"/>
                <w:numId w:val="1"/>
              </w:numPr>
              <w:spacing w:after="0" w:line="240" w:lineRule="auto"/>
              <w:ind w:left="133" w:firstLine="0"/>
              <w:rPr>
                <w:rFonts w:ascii="Garamond" w:hAnsi="Garamond"/>
                <w:bCs/>
                <w:spacing w:val="-4"/>
                <w:sz w:val="14"/>
                <w:szCs w:val="14"/>
                <w:lang w:val="sq-AL"/>
              </w:rPr>
            </w:pPr>
            <w:r w:rsidRPr="003B79F4">
              <w:rPr>
                <w:rFonts w:ascii="Garamond" w:hAnsi="Garamond"/>
                <w:bCs/>
                <w:spacing w:val="-4"/>
                <w:sz w:val="14"/>
                <w:szCs w:val="14"/>
                <w:lang w:val="sq-AL"/>
              </w:rPr>
              <w:t>Lehtësimi i shkëmbimit të të dhënave në nivel ndërkombëtar duke rritur kështu nivelin e sigurisë</w:t>
            </w:r>
          </w:p>
          <w:p w14:paraId="6892034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etj.</w:t>
            </w:r>
          </w:p>
          <w:p w14:paraId="449527DE"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vMerge w:val="restart"/>
            <w:tcBorders>
              <w:bottom w:val="single" w:sz="4" w:space="0" w:color="auto"/>
            </w:tcBorders>
            <w:shd w:val="clear" w:color="auto" w:fill="auto"/>
          </w:tcPr>
          <w:p w14:paraId="29273E66"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vMerge w:val="restart"/>
            <w:tcBorders>
              <w:bottom w:val="single" w:sz="4" w:space="0" w:color="auto"/>
            </w:tcBorders>
            <w:shd w:val="clear" w:color="auto" w:fill="auto"/>
          </w:tcPr>
          <w:p w14:paraId="6191A538"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Kërkesat për dokumente nga administrata doganore</w:t>
            </w:r>
          </w:p>
          <w:p w14:paraId="2B7C5134" w14:textId="77777777" w:rsidR="00B02CEC" w:rsidRPr="003B79F4" w:rsidRDefault="00B02CEC" w:rsidP="00680053">
            <w:pPr>
              <w:widowControl w:val="0"/>
              <w:spacing w:after="0" w:line="240" w:lineRule="auto"/>
              <w:rPr>
                <w:rFonts w:ascii="Garamond" w:hAnsi="Garamond"/>
                <w:spacing w:val="-4"/>
                <w:sz w:val="14"/>
                <w:szCs w:val="14"/>
                <w:lang w:val="sq-AL"/>
              </w:rPr>
            </w:pPr>
          </w:p>
          <w:p w14:paraId="5B43F508"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Për importimin e mallrave:</w:t>
            </w:r>
          </w:p>
          <w:p w14:paraId="591C1623"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-Deklaratë doganore;</w:t>
            </w:r>
          </w:p>
          <w:p w14:paraId="258A1B93"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-Fatura;</w:t>
            </w:r>
          </w:p>
          <w:p w14:paraId="3E50AE98"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-Dokument transporti;</w:t>
            </w:r>
          </w:p>
          <w:p w14:paraId="3846CF0B"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 Listë paketimi.</w:t>
            </w:r>
          </w:p>
          <w:p w14:paraId="0F8199F6"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Për eksportimin e mallrave:</w:t>
            </w:r>
          </w:p>
          <w:p w14:paraId="79FC3859"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-Deklaratë doganore;</w:t>
            </w:r>
          </w:p>
          <w:p w14:paraId="5C0AA132"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-Fatura;</w:t>
            </w:r>
          </w:p>
          <w:p w14:paraId="1ED6E68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spacing w:val="-4"/>
                <w:sz w:val="14"/>
                <w:szCs w:val="14"/>
                <w:lang w:val="sq-AL"/>
              </w:rPr>
              <w:t>-Dokument transporti;</w:t>
            </w:r>
            <w:r w:rsidRPr="003B79F4">
              <w:rPr>
                <w:rFonts w:ascii="Garamond" w:hAnsi="Garamond"/>
                <w:bCs/>
                <w:spacing w:val="-4"/>
                <w:sz w:val="14"/>
                <w:szCs w:val="14"/>
                <w:lang w:val="sq-AL"/>
              </w:rPr>
              <w:t xml:space="preserve"> </w:t>
            </w:r>
          </w:p>
          <w:p w14:paraId="3556FAC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Vështirësitë për realizimin:</w:t>
            </w:r>
          </w:p>
          <w:p w14:paraId="64DF521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-Rezistenca ndaj ndryshimit;</w:t>
            </w:r>
          </w:p>
          <w:p w14:paraId="665C7C1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-Njohuritë informatike;</w:t>
            </w:r>
          </w:p>
          <w:p w14:paraId="051077D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-Perceptimi si punë e tepërt;</w:t>
            </w:r>
          </w:p>
          <w:p w14:paraId="63D30B0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w:t>
            </w:r>
            <w:r w:rsidRPr="00A16CB5">
              <w:rPr>
                <w:rFonts w:ascii="Garamond" w:hAnsi="Garamond"/>
                <w:bCs/>
                <w:i/>
                <w:spacing w:val="-4"/>
                <w:sz w:val="14"/>
                <w:szCs w:val="14"/>
                <w:lang w:val="sq-AL"/>
              </w:rPr>
              <w:t>Technology-Hardware, software</w:t>
            </w:r>
            <w:r w:rsidRPr="003B79F4">
              <w:rPr>
                <w:rFonts w:ascii="Garamond" w:hAnsi="Garamond"/>
                <w:bCs/>
                <w:spacing w:val="-4"/>
                <w:sz w:val="14"/>
                <w:szCs w:val="14"/>
                <w:lang w:val="sq-AL"/>
              </w:rPr>
              <w:t xml:space="preserve">. </w:t>
            </w:r>
          </w:p>
          <w:p w14:paraId="325B497D" w14:textId="77777777" w:rsidR="00B02CEC" w:rsidRPr="003B79F4" w:rsidRDefault="00B02CEC" w:rsidP="00680053">
            <w:pPr>
              <w:widowControl w:val="0"/>
              <w:spacing w:after="0" w:line="240" w:lineRule="auto"/>
              <w:rPr>
                <w:rFonts w:ascii="Garamond" w:hAnsi="Garamond"/>
                <w:bCs/>
                <w:spacing w:val="-4"/>
                <w:sz w:val="14"/>
                <w:szCs w:val="14"/>
                <w:lang w:val="sq-AL"/>
              </w:rPr>
            </w:pPr>
          </w:p>
          <w:p w14:paraId="731F057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Kostoja 500.000 euro</w:t>
            </w:r>
          </w:p>
        </w:tc>
      </w:tr>
      <w:tr w:rsidR="00B02CEC" w:rsidRPr="003B79F4" w14:paraId="71806A87" w14:textId="77777777" w:rsidTr="00680053">
        <w:trPr>
          <w:jc w:val="center"/>
        </w:trPr>
        <w:tc>
          <w:tcPr>
            <w:tcW w:w="620" w:type="pct"/>
            <w:vMerge/>
          </w:tcPr>
          <w:p w14:paraId="3330D57C" w14:textId="77777777" w:rsidR="00B02CEC" w:rsidRPr="003B79F4" w:rsidRDefault="00B02CEC" w:rsidP="00680053">
            <w:pPr>
              <w:widowControl w:val="0"/>
              <w:spacing w:after="0" w:line="240" w:lineRule="auto"/>
              <w:jc w:val="center"/>
              <w:rPr>
                <w:rFonts w:ascii="Garamond" w:hAnsi="Garamond"/>
                <w:bCs/>
                <w:spacing w:val="-4"/>
                <w:sz w:val="14"/>
                <w:szCs w:val="14"/>
                <w:lang w:val="sq-AL"/>
              </w:rPr>
            </w:pPr>
          </w:p>
        </w:tc>
        <w:tc>
          <w:tcPr>
            <w:tcW w:w="1233" w:type="pct"/>
            <w:shd w:val="clear" w:color="auto" w:fill="auto"/>
          </w:tcPr>
          <w:p w14:paraId="737AD68D"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Krijimi i një Task Force të brendshme qendrore për çdo institucion</w:t>
            </w:r>
          </w:p>
        </w:tc>
        <w:tc>
          <w:tcPr>
            <w:tcW w:w="623" w:type="pct"/>
            <w:vMerge/>
            <w:shd w:val="clear" w:color="auto" w:fill="auto"/>
          </w:tcPr>
          <w:p w14:paraId="4A85DDA0"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42" w:type="pct"/>
            <w:gridSpan w:val="3"/>
            <w:vMerge/>
            <w:shd w:val="clear" w:color="auto" w:fill="auto"/>
          </w:tcPr>
          <w:p w14:paraId="0C942D74"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567" w:type="pct"/>
            <w:gridSpan w:val="2"/>
            <w:vMerge/>
            <w:shd w:val="clear" w:color="auto" w:fill="auto"/>
          </w:tcPr>
          <w:p w14:paraId="2BA064F4"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vMerge/>
            <w:shd w:val="clear" w:color="auto" w:fill="auto"/>
          </w:tcPr>
          <w:p w14:paraId="434DA5C1"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vMerge/>
            <w:shd w:val="clear" w:color="auto" w:fill="auto"/>
          </w:tcPr>
          <w:p w14:paraId="14DCB109"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3755F092" w14:textId="77777777" w:rsidTr="00680053">
        <w:trPr>
          <w:jc w:val="center"/>
        </w:trPr>
        <w:tc>
          <w:tcPr>
            <w:tcW w:w="620" w:type="pct"/>
            <w:vMerge/>
          </w:tcPr>
          <w:p w14:paraId="6683A916" w14:textId="77777777" w:rsidR="00B02CEC" w:rsidRPr="003B79F4" w:rsidRDefault="00B02CEC" w:rsidP="00680053">
            <w:pPr>
              <w:widowControl w:val="0"/>
              <w:spacing w:after="0" w:line="240" w:lineRule="auto"/>
              <w:jc w:val="center"/>
              <w:rPr>
                <w:rFonts w:ascii="Garamond" w:hAnsi="Garamond"/>
                <w:bCs/>
                <w:spacing w:val="-4"/>
                <w:sz w:val="14"/>
                <w:szCs w:val="14"/>
                <w:lang w:val="sq-AL"/>
              </w:rPr>
            </w:pPr>
          </w:p>
        </w:tc>
        <w:tc>
          <w:tcPr>
            <w:tcW w:w="1233" w:type="pct"/>
            <w:shd w:val="clear" w:color="auto" w:fill="auto"/>
          </w:tcPr>
          <w:p w14:paraId="63FAAE7F"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Krijimi i një tavoline pune për çdo institucion në të cilën të analizohen informacionet që përmbajnë licencat/certifikatat/lejet/autorizimet, modalitetet procedurale për tu ndjekur në shkëmbimin e të dhënave, ekzaminim e problematikave të ndryshme</w:t>
            </w:r>
          </w:p>
        </w:tc>
        <w:tc>
          <w:tcPr>
            <w:tcW w:w="623" w:type="pct"/>
            <w:vMerge/>
            <w:shd w:val="clear" w:color="auto" w:fill="auto"/>
          </w:tcPr>
          <w:p w14:paraId="2305217E"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42" w:type="pct"/>
            <w:gridSpan w:val="3"/>
            <w:vMerge/>
            <w:shd w:val="clear" w:color="auto" w:fill="auto"/>
          </w:tcPr>
          <w:p w14:paraId="16E2B312"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567" w:type="pct"/>
            <w:gridSpan w:val="2"/>
            <w:vMerge/>
            <w:shd w:val="clear" w:color="auto" w:fill="auto"/>
          </w:tcPr>
          <w:p w14:paraId="11FC7A48"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vMerge/>
            <w:shd w:val="clear" w:color="auto" w:fill="auto"/>
          </w:tcPr>
          <w:p w14:paraId="1DEBCD3D"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vMerge/>
            <w:shd w:val="clear" w:color="auto" w:fill="auto"/>
          </w:tcPr>
          <w:p w14:paraId="7A2D4FA9"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7D4D7768" w14:textId="77777777" w:rsidTr="00680053">
        <w:trPr>
          <w:jc w:val="center"/>
        </w:trPr>
        <w:tc>
          <w:tcPr>
            <w:tcW w:w="620" w:type="pct"/>
            <w:vMerge/>
          </w:tcPr>
          <w:p w14:paraId="76FAD359" w14:textId="77777777" w:rsidR="00B02CEC" w:rsidRPr="003B79F4" w:rsidRDefault="00B02CEC" w:rsidP="00680053">
            <w:pPr>
              <w:widowControl w:val="0"/>
              <w:spacing w:after="0" w:line="240" w:lineRule="auto"/>
              <w:jc w:val="center"/>
              <w:rPr>
                <w:rFonts w:ascii="Garamond" w:hAnsi="Garamond"/>
                <w:bCs/>
                <w:spacing w:val="-4"/>
                <w:sz w:val="14"/>
                <w:szCs w:val="14"/>
                <w:lang w:val="sq-AL"/>
              </w:rPr>
            </w:pPr>
          </w:p>
        </w:tc>
        <w:tc>
          <w:tcPr>
            <w:tcW w:w="1233" w:type="pct"/>
            <w:shd w:val="clear" w:color="auto" w:fill="auto"/>
          </w:tcPr>
          <w:p w14:paraId="0F8AF406"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 xml:space="preserve">Përcaktimi i kategorive merceologjike </w:t>
            </w:r>
          </w:p>
          <w:p w14:paraId="60C032DD"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 xml:space="preserve">Kodifikimet e </w:t>
            </w:r>
            <w:r w:rsidRPr="003B79F4">
              <w:rPr>
                <w:rFonts w:ascii="Garamond" w:hAnsi="Garamond"/>
                <w:spacing w:val="-4"/>
                <w:sz w:val="14"/>
                <w:szCs w:val="14"/>
                <w:lang w:val="sq-AL"/>
              </w:rPr>
              <w:lastRenderedPageBreak/>
              <w:t>licencave/certifikatave/lejeve/autorizimeve</w:t>
            </w:r>
          </w:p>
        </w:tc>
        <w:tc>
          <w:tcPr>
            <w:tcW w:w="623" w:type="pct"/>
            <w:vMerge/>
            <w:shd w:val="clear" w:color="auto" w:fill="auto"/>
          </w:tcPr>
          <w:p w14:paraId="486C3A53"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42" w:type="pct"/>
            <w:gridSpan w:val="3"/>
            <w:vMerge/>
            <w:shd w:val="clear" w:color="auto" w:fill="auto"/>
          </w:tcPr>
          <w:p w14:paraId="7B066D85"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567" w:type="pct"/>
            <w:gridSpan w:val="2"/>
            <w:vMerge/>
            <w:shd w:val="clear" w:color="auto" w:fill="auto"/>
          </w:tcPr>
          <w:p w14:paraId="40A492AF"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vMerge/>
            <w:shd w:val="clear" w:color="auto" w:fill="auto"/>
          </w:tcPr>
          <w:p w14:paraId="049C17B9"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vMerge/>
            <w:shd w:val="clear" w:color="auto" w:fill="auto"/>
          </w:tcPr>
          <w:p w14:paraId="7346C701"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506CF9EC" w14:textId="77777777" w:rsidTr="00680053">
        <w:trPr>
          <w:jc w:val="center"/>
        </w:trPr>
        <w:tc>
          <w:tcPr>
            <w:tcW w:w="620" w:type="pct"/>
            <w:vMerge/>
          </w:tcPr>
          <w:p w14:paraId="1FEACF56" w14:textId="77777777" w:rsidR="00B02CEC" w:rsidRPr="003B79F4" w:rsidRDefault="00B02CEC" w:rsidP="00680053">
            <w:pPr>
              <w:widowControl w:val="0"/>
              <w:spacing w:after="0" w:line="240" w:lineRule="auto"/>
              <w:jc w:val="center"/>
              <w:rPr>
                <w:rFonts w:ascii="Garamond" w:hAnsi="Garamond"/>
                <w:bCs/>
                <w:spacing w:val="-4"/>
                <w:sz w:val="14"/>
                <w:szCs w:val="14"/>
                <w:lang w:val="sq-AL"/>
              </w:rPr>
            </w:pPr>
          </w:p>
        </w:tc>
        <w:tc>
          <w:tcPr>
            <w:tcW w:w="1233" w:type="pct"/>
            <w:shd w:val="clear" w:color="auto" w:fill="auto"/>
          </w:tcPr>
          <w:p w14:paraId="0E20E824"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Identifikimi i njësuar i licencave/certifikatave/lejeve/autorizimeve</w:t>
            </w:r>
          </w:p>
        </w:tc>
        <w:tc>
          <w:tcPr>
            <w:tcW w:w="623" w:type="pct"/>
            <w:vMerge/>
            <w:shd w:val="clear" w:color="auto" w:fill="auto"/>
          </w:tcPr>
          <w:p w14:paraId="1F767503"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42" w:type="pct"/>
            <w:gridSpan w:val="3"/>
            <w:vMerge/>
            <w:shd w:val="clear" w:color="auto" w:fill="auto"/>
          </w:tcPr>
          <w:p w14:paraId="1E73B5F4"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567" w:type="pct"/>
            <w:gridSpan w:val="2"/>
            <w:vMerge/>
            <w:shd w:val="clear" w:color="auto" w:fill="auto"/>
          </w:tcPr>
          <w:p w14:paraId="58181E84"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vMerge/>
            <w:shd w:val="clear" w:color="auto" w:fill="auto"/>
          </w:tcPr>
          <w:p w14:paraId="305795BB"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vMerge/>
            <w:shd w:val="clear" w:color="auto" w:fill="auto"/>
          </w:tcPr>
          <w:p w14:paraId="2B17F05D"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43EF29DB" w14:textId="77777777" w:rsidTr="00680053">
        <w:trPr>
          <w:jc w:val="center"/>
        </w:trPr>
        <w:tc>
          <w:tcPr>
            <w:tcW w:w="620" w:type="pct"/>
            <w:vMerge/>
          </w:tcPr>
          <w:p w14:paraId="7FBCC047" w14:textId="77777777" w:rsidR="00B02CEC" w:rsidRPr="003B79F4" w:rsidRDefault="00B02CEC" w:rsidP="00680053">
            <w:pPr>
              <w:widowControl w:val="0"/>
              <w:spacing w:after="0" w:line="240" w:lineRule="auto"/>
              <w:jc w:val="center"/>
              <w:rPr>
                <w:rFonts w:ascii="Garamond" w:hAnsi="Garamond"/>
                <w:bCs/>
                <w:spacing w:val="-4"/>
                <w:sz w:val="14"/>
                <w:szCs w:val="14"/>
                <w:lang w:val="sq-AL"/>
              </w:rPr>
            </w:pPr>
          </w:p>
        </w:tc>
        <w:tc>
          <w:tcPr>
            <w:tcW w:w="1233" w:type="pct"/>
            <w:shd w:val="clear" w:color="auto" w:fill="auto"/>
          </w:tcPr>
          <w:p w14:paraId="07295311"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Projektimin IT të një platforme</w:t>
            </w:r>
            <w:r w:rsidRPr="00A16CB5">
              <w:rPr>
                <w:rFonts w:ascii="Garamond" w:hAnsi="Garamond"/>
                <w:i/>
                <w:spacing w:val="-4"/>
                <w:sz w:val="14"/>
                <w:szCs w:val="14"/>
                <w:lang w:val="sq-AL"/>
              </w:rPr>
              <w:t xml:space="preserve"> web</w:t>
            </w:r>
            <w:r w:rsidRPr="003B79F4">
              <w:rPr>
                <w:rFonts w:ascii="Garamond" w:hAnsi="Garamond"/>
                <w:spacing w:val="-4"/>
                <w:sz w:val="14"/>
                <w:szCs w:val="14"/>
                <w:lang w:val="sq-AL"/>
              </w:rPr>
              <w:t>, të ndarë sipas enteve të përfshira, ku të bëhet kërkesa dhe të verifikohet statusi i praktikës, i aksesuesh</w:t>
            </w:r>
            <w:r w:rsidRPr="003B79F4">
              <w:rPr>
                <w:rFonts w:ascii="Garamond" w:hAnsi="Garamond"/>
                <w:bCs/>
                <w:spacing w:val="-4"/>
                <w:sz w:val="14"/>
                <w:szCs w:val="14"/>
                <w:lang w:val="sq-AL"/>
              </w:rPr>
              <w:t>ë</w:t>
            </w:r>
            <w:r w:rsidRPr="003B79F4">
              <w:rPr>
                <w:rFonts w:ascii="Garamond" w:hAnsi="Garamond"/>
                <w:spacing w:val="-4"/>
                <w:sz w:val="14"/>
                <w:szCs w:val="14"/>
                <w:lang w:val="sq-AL"/>
              </w:rPr>
              <w:t xml:space="preserve">m edhe nga operatorët ekonomikë. </w:t>
            </w:r>
          </w:p>
          <w:p w14:paraId="57645C9C"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Implikimi i operatorëve ekonomikë si në nivel qendror ashtu edhe lokal</w:t>
            </w:r>
          </w:p>
        </w:tc>
        <w:tc>
          <w:tcPr>
            <w:tcW w:w="623" w:type="pct"/>
            <w:vMerge/>
            <w:shd w:val="clear" w:color="auto" w:fill="auto"/>
          </w:tcPr>
          <w:p w14:paraId="4041B7AB"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42" w:type="pct"/>
            <w:gridSpan w:val="3"/>
            <w:vMerge/>
            <w:shd w:val="clear" w:color="auto" w:fill="auto"/>
          </w:tcPr>
          <w:p w14:paraId="343003A6"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567" w:type="pct"/>
            <w:gridSpan w:val="2"/>
            <w:vMerge/>
            <w:shd w:val="clear" w:color="auto" w:fill="auto"/>
          </w:tcPr>
          <w:p w14:paraId="3108B9B1"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vMerge/>
            <w:shd w:val="clear" w:color="auto" w:fill="auto"/>
          </w:tcPr>
          <w:p w14:paraId="36C89298"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vMerge/>
            <w:shd w:val="clear" w:color="auto" w:fill="auto"/>
          </w:tcPr>
          <w:p w14:paraId="47AC9C26"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4F07D065" w14:textId="77777777" w:rsidTr="00680053">
        <w:trPr>
          <w:jc w:val="center"/>
        </w:trPr>
        <w:tc>
          <w:tcPr>
            <w:tcW w:w="620" w:type="pct"/>
            <w:vMerge/>
          </w:tcPr>
          <w:p w14:paraId="49259E69" w14:textId="77777777" w:rsidR="00B02CEC" w:rsidRPr="003B79F4" w:rsidRDefault="00B02CEC" w:rsidP="00680053">
            <w:pPr>
              <w:widowControl w:val="0"/>
              <w:spacing w:after="0" w:line="240" w:lineRule="auto"/>
              <w:jc w:val="center"/>
              <w:rPr>
                <w:rFonts w:ascii="Garamond" w:hAnsi="Garamond"/>
                <w:bCs/>
                <w:spacing w:val="-4"/>
                <w:sz w:val="14"/>
                <w:szCs w:val="14"/>
                <w:lang w:val="sq-AL"/>
              </w:rPr>
            </w:pPr>
          </w:p>
        </w:tc>
        <w:tc>
          <w:tcPr>
            <w:tcW w:w="1233" w:type="pct"/>
            <w:shd w:val="clear" w:color="auto" w:fill="auto"/>
          </w:tcPr>
          <w:p w14:paraId="433AF28B"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Caktimi i një apo dy zyrave pilot për testim, të preferueshme ato me pak volum pune</w:t>
            </w:r>
          </w:p>
        </w:tc>
        <w:tc>
          <w:tcPr>
            <w:tcW w:w="623" w:type="pct"/>
            <w:vMerge/>
            <w:shd w:val="clear" w:color="auto" w:fill="auto"/>
          </w:tcPr>
          <w:p w14:paraId="47779483"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42" w:type="pct"/>
            <w:gridSpan w:val="3"/>
            <w:vMerge/>
            <w:shd w:val="clear" w:color="auto" w:fill="auto"/>
          </w:tcPr>
          <w:p w14:paraId="51895382"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567" w:type="pct"/>
            <w:gridSpan w:val="2"/>
            <w:vMerge/>
            <w:shd w:val="clear" w:color="auto" w:fill="auto"/>
          </w:tcPr>
          <w:p w14:paraId="1C558DFA"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vMerge/>
            <w:shd w:val="clear" w:color="auto" w:fill="auto"/>
          </w:tcPr>
          <w:p w14:paraId="19346AF1"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vMerge/>
            <w:shd w:val="clear" w:color="auto" w:fill="auto"/>
          </w:tcPr>
          <w:p w14:paraId="0AF75F18"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1D5CE29E" w14:textId="77777777" w:rsidTr="00680053">
        <w:trPr>
          <w:jc w:val="center"/>
        </w:trPr>
        <w:tc>
          <w:tcPr>
            <w:tcW w:w="620" w:type="pct"/>
            <w:vMerge/>
            <w:tcBorders>
              <w:bottom w:val="single" w:sz="4" w:space="0" w:color="auto"/>
            </w:tcBorders>
          </w:tcPr>
          <w:p w14:paraId="79D280C3" w14:textId="77777777" w:rsidR="00B02CEC" w:rsidRPr="003B79F4" w:rsidRDefault="00B02CEC" w:rsidP="00680053">
            <w:pPr>
              <w:widowControl w:val="0"/>
              <w:spacing w:after="0" w:line="240" w:lineRule="auto"/>
              <w:jc w:val="center"/>
              <w:rPr>
                <w:rFonts w:ascii="Garamond" w:hAnsi="Garamond"/>
                <w:bCs/>
                <w:spacing w:val="-4"/>
                <w:sz w:val="14"/>
                <w:szCs w:val="14"/>
                <w:lang w:val="sq-AL"/>
              </w:rPr>
            </w:pPr>
          </w:p>
        </w:tc>
        <w:tc>
          <w:tcPr>
            <w:tcW w:w="1233" w:type="pct"/>
            <w:tcBorders>
              <w:bottom w:val="single" w:sz="4" w:space="0" w:color="auto"/>
            </w:tcBorders>
            <w:shd w:val="clear" w:color="auto" w:fill="auto"/>
          </w:tcPr>
          <w:p w14:paraId="1BA2C363"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Testimi për disa muaj i procedurave me qëllim edhe të korrektimeve. Parashikimin e një pike kontakti në nivel lokal për asistencë</w:t>
            </w:r>
          </w:p>
        </w:tc>
        <w:tc>
          <w:tcPr>
            <w:tcW w:w="623" w:type="pct"/>
            <w:vMerge/>
            <w:tcBorders>
              <w:bottom w:val="single" w:sz="4" w:space="0" w:color="auto"/>
            </w:tcBorders>
            <w:shd w:val="clear" w:color="auto" w:fill="auto"/>
          </w:tcPr>
          <w:p w14:paraId="4E2E5AE5"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42" w:type="pct"/>
            <w:gridSpan w:val="3"/>
            <w:vMerge/>
            <w:tcBorders>
              <w:bottom w:val="single" w:sz="4" w:space="0" w:color="auto"/>
            </w:tcBorders>
            <w:shd w:val="clear" w:color="auto" w:fill="auto"/>
          </w:tcPr>
          <w:p w14:paraId="6361EA4A"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567" w:type="pct"/>
            <w:gridSpan w:val="2"/>
            <w:vMerge/>
            <w:tcBorders>
              <w:bottom w:val="single" w:sz="4" w:space="0" w:color="auto"/>
            </w:tcBorders>
            <w:shd w:val="clear" w:color="auto" w:fill="auto"/>
          </w:tcPr>
          <w:p w14:paraId="3E6616B0"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vMerge/>
            <w:tcBorders>
              <w:bottom w:val="single" w:sz="4" w:space="0" w:color="auto"/>
            </w:tcBorders>
            <w:shd w:val="clear" w:color="auto" w:fill="auto"/>
          </w:tcPr>
          <w:p w14:paraId="6D8136CD"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vMerge/>
            <w:tcBorders>
              <w:bottom w:val="single" w:sz="4" w:space="0" w:color="auto"/>
            </w:tcBorders>
            <w:shd w:val="clear" w:color="auto" w:fill="auto"/>
          </w:tcPr>
          <w:p w14:paraId="112040A6"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20BF6342" w14:textId="77777777" w:rsidTr="00680053">
        <w:trPr>
          <w:jc w:val="center"/>
        </w:trPr>
        <w:tc>
          <w:tcPr>
            <w:tcW w:w="5000" w:type="pct"/>
            <w:gridSpan w:val="10"/>
            <w:shd w:val="clear" w:color="auto" w:fill="FFFFFF" w:themeFill="background1"/>
          </w:tcPr>
          <w:p w14:paraId="0F6E97BA" w14:textId="77777777" w:rsidR="00B02CEC" w:rsidRPr="003B79F4" w:rsidRDefault="00B02CEC" w:rsidP="00680053">
            <w:pPr>
              <w:widowControl w:val="0"/>
              <w:spacing w:after="0" w:line="240" w:lineRule="auto"/>
              <w:jc w:val="center"/>
              <w:rPr>
                <w:rFonts w:ascii="Garamond" w:hAnsi="Garamond"/>
                <w:b/>
                <w:spacing w:val="-4"/>
                <w:sz w:val="14"/>
                <w:szCs w:val="14"/>
                <w:lang w:val="sq-AL"/>
              </w:rPr>
            </w:pPr>
            <w:r w:rsidRPr="003B79F4">
              <w:rPr>
                <w:rFonts w:ascii="Garamond" w:hAnsi="Garamond"/>
                <w:b/>
                <w:spacing w:val="-4"/>
                <w:sz w:val="14"/>
                <w:szCs w:val="14"/>
                <w:lang w:val="sq-AL"/>
              </w:rPr>
              <w:t>Zbatimi i kontratave</w:t>
            </w:r>
          </w:p>
        </w:tc>
      </w:tr>
      <w:tr w:rsidR="00B02CEC" w:rsidRPr="003B79F4" w14:paraId="1F700373" w14:textId="77777777" w:rsidTr="00680053">
        <w:trPr>
          <w:jc w:val="center"/>
        </w:trPr>
        <w:tc>
          <w:tcPr>
            <w:tcW w:w="620" w:type="pct"/>
            <w:vMerge w:val="restart"/>
          </w:tcPr>
          <w:p w14:paraId="694FA6A7"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spacing w:val="-4"/>
                <w:sz w:val="14"/>
                <w:szCs w:val="14"/>
                <w:lang w:val="sq-AL"/>
              </w:rPr>
              <w:t>Rrëfyes për proceset gjyqësore për të identifikuar burimet e vonesës; me fokus të veçantë zbatimin  e vendimeve gjyqësore</w:t>
            </w:r>
          </w:p>
        </w:tc>
        <w:tc>
          <w:tcPr>
            <w:tcW w:w="1233" w:type="pct"/>
            <w:shd w:val="clear" w:color="auto" w:fill="auto"/>
          </w:tcPr>
          <w:p w14:paraId="2FB9400B"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 xml:space="preserve">Ushtrimi i inspektimeve në gjykata me objekt evidentimin e rasteve të zvarritjeve gjyqësore (çështje civile – ekzekutim i kontratave)  </w:t>
            </w:r>
          </w:p>
        </w:tc>
        <w:tc>
          <w:tcPr>
            <w:tcW w:w="623" w:type="pct"/>
            <w:shd w:val="clear" w:color="auto" w:fill="auto"/>
          </w:tcPr>
          <w:p w14:paraId="70DAA4A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2014 - 2015</w:t>
            </w:r>
          </w:p>
        </w:tc>
        <w:tc>
          <w:tcPr>
            <w:tcW w:w="642" w:type="pct"/>
            <w:gridSpan w:val="3"/>
            <w:shd w:val="clear" w:color="auto" w:fill="auto"/>
          </w:tcPr>
          <w:p w14:paraId="0EEAD55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Ministria e Drejtësisë në bashkëpunim me</w:t>
            </w:r>
          </w:p>
          <w:p w14:paraId="620803A9"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Këshillin e Lartë të Drejtësisë</w:t>
            </w:r>
          </w:p>
        </w:tc>
        <w:tc>
          <w:tcPr>
            <w:tcW w:w="567" w:type="pct"/>
            <w:gridSpan w:val="2"/>
            <w:shd w:val="clear" w:color="auto" w:fill="auto"/>
          </w:tcPr>
          <w:p w14:paraId="6881510B"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Marrja e masave disiplinore ndaj gjyqtarëve për zvarritje të pajustifikuar të gjykimit</w:t>
            </w:r>
          </w:p>
        </w:tc>
        <w:tc>
          <w:tcPr>
            <w:tcW w:w="378" w:type="pct"/>
            <w:shd w:val="clear" w:color="auto" w:fill="auto"/>
          </w:tcPr>
          <w:p w14:paraId="440F0D5B"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shd w:val="clear" w:color="auto" w:fill="auto"/>
          </w:tcPr>
          <w:p w14:paraId="1080274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Ministria e Drejtësisë dhe Këshilli i Lartë i Drejtësisë kanë nënshkruar një memorandum bashkëpunimi në mbështetje të të cilit do të bëhet shkëmbimi i informacionit lidhur me këto raste.</w:t>
            </w:r>
          </w:p>
        </w:tc>
      </w:tr>
      <w:tr w:rsidR="00B02CEC" w:rsidRPr="003B79F4" w14:paraId="511C55DD" w14:textId="77777777" w:rsidTr="00680053">
        <w:trPr>
          <w:jc w:val="center"/>
        </w:trPr>
        <w:tc>
          <w:tcPr>
            <w:tcW w:w="620" w:type="pct"/>
            <w:vMerge/>
          </w:tcPr>
          <w:p w14:paraId="274103C8"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043AE18F"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Ushtrimi i inspektimeve pranë përmbaruesve gjyqësorë shtetërorë dhe privatë për të evidentuar rastet e vonesave në ekzekutimin e vendimeve gjyqësore</w:t>
            </w:r>
          </w:p>
        </w:tc>
        <w:tc>
          <w:tcPr>
            <w:tcW w:w="623" w:type="pct"/>
            <w:shd w:val="clear" w:color="auto" w:fill="auto"/>
          </w:tcPr>
          <w:p w14:paraId="61EBCC8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2014 - 2015</w:t>
            </w:r>
          </w:p>
        </w:tc>
        <w:tc>
          <w:tcPr>
            <w:tcW w:w="642" w:type="pct"/>
            <w:gridSpan w:val="3"/>
            <w:shd w:val="clear" w:color="auto" w:fill="auto"/>
          </w:tcPr>
          <w:p w14:paraId="2E11CC2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Ministria e Drejtësisë në bashkëpunim me</w:t>
            </w:r>
          </w:p>
          <w:p w14:paraId="7BD2CD9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Këshillin e Lartë të Drejtësisë</w:t>
            </w:r>
          </w:p>
        </w:tc>
        <w:tc>
          <w:tcPr>
            <w:tcW w:w="567" w:type="pct"/>
            <w:gridSpan w:val="2"/>
            <w:shd w:val="clear" w:color="auto" w:fill="auto"/>
          </w:tcPr>
          <w:p w14:paraId="6125DB4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Marrja e masave disiplinore ndaj gjyqtarëve për zvarritje të pajustifikuar të gjykimit</w:t>
            </w:r>
          </w:p>
        </w:tc>
        <w:tc>
          <w:tcPr>
            <w:tcW w:w="378" w:type="pct"/>
            <w:shd w:val="clear" w:color="auto" w:fill="auto"/>
          </w:tcPr>
          <w:p w14:paraId="0459AF93"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shd w:val="clear" w:color="auto" w:fill="auto"/>
          </w:tcPr>
          <w:p w14:paraId="7FB1552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Ministria e Drejtësisë dhe Këshilli i Lartë i Drejtësisë kanë nënshkruar një memorandum bashkëpunimi në mbështetje të të cilit do të bëhet shkëmbimi i informacionit lidhur me këto raste.</w:t>
            </w:r>
          </w:p>
        </w:tc>
      </w:tr>
      <w:tr w:rsidR="00B02CEC" w:rsidRPr="003B79F4" w14:paraId="09B21A95" w14:textId="77777777" w:rsidTr="00680053">
        <w:trPr>
          <w:jc w:val="center"/>
        </w:trPr>
        <w:tc>
          <w:tcPr>
            <w:tcW w:w="620" w:type="pct"/>
            <w:vMerge/>
          </w:tcPr>
          <w:p w14:paraId="4716EF01"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55DBCC88"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Ushtrimi i inspektimeve pranë përmbaruesve gjyqësorë shtetërorë dhe privatë për të evidentuar rastet e vonesave në ekzekutimin e vendimeve gjyqësore</w:t>
            </w:r>
          </w:p>
        </w:tc>
        <w:tc>
          <w:tcPr>
            <w:tcW w:w="623" w:type="pct"/>
            <w:shd w:val="clear" w:color="auto" w:fill="auto"/>
          </w:tcPr>
          <w:p w14:paraId="6C426F1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2014 – 2015</w:t>
            </w:r>
          </w:p>
        </w:tc>
        <w:tc>
          <w:tcPr>
            <w:tcW w:w="642" w:type="pct"/>
            <w:gridSpan w:val="3"/>
            <w:shd w:val="clear" w:color="auto" w:fill="auto"/>
          </w:tcPr>
          <w:p w14:paraId="4BABF46F"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Ministria e Drejtësisë</w:t>
            </w:r>
          </w:p>
        </w:tc>
        <w:tc>
          <w:tcPr>
            <w:tcW w:w="567" w:type="pct"/>
            <w:gridSpan w:val="2"/>
            <w:shd w:val="clear" w:color="auto" w:fill="auto"/>
          </w:tcPr>
          <w:p w14:paraId="1ECD199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Marrja e masave disiplinore ndaj përmbaruesve gjyqësorë privatë që rezultojnë me shkelje</w:t>
            </w:r>
          </w:p>
        </w:tc>
        <w:tc>
          <w:tcPr>
            <w:tcW w:w="378" w:type="pct"/>
            <w:shd w:val="clear" w:color="auto" w:fill="auto"/>
          </w:tcPr>
          <w:p w14:paraId="3D5AC850"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shd w:val="clear" w:color="auto" w:fill="auto"/>
          </w:tcPr>
          <w:p w14:paraId="5EC3697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Ministria e Drejtësisë do të bashkëpunojë me Drejtorinë e Përgjithshme të Përmbarimit dhe me Dhomën Kombëtare të Përmbaruesve Privatë për evidentimin e rasteve konkrete.</w:t>
            </w:r>
          </w:p>
        </w:tc>
      </w:tr>
      <w:tr w:rsidR="00B02CEC" w:rsidRPr="003B79F4" w14:paraId="078B0381" w14:textId="77777777" w:rsidTr="00680053">
        <w:trPr>
          <w:jc w:val="center"/>
        </w:trPr>
        <w:tc>
          <w:tcPr>
            <w:tcW w:w="620" w:type="pct"/>
          </w:tcPr>
          <w:p w14:paraId="10B26E8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Përshpejtimi i zbatimit të vendimeve gjyqësore</w:t>
            </w:r>
          </w:p>
        </w:tc>
        <w:tc>
          <w:tcPr>
            <w:tcW w:w="1233" w:type="pct"/>
            <w:shd w:val="clear" w:color="auto" w:fill="auto"/>
          </w:tcPr>
          <w:p w14:paraId="2846941F"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Ndryshime në Kodin e Procedurës Civile, për shkurtimin e procedurave gjyqësore</w:t>
            </w:r>
          </w:p>
        </w:tc>
        <w:tc>
          <w:tcPr>
            <w:tcW w:w="623" w:type="pct"/>
            <w:shd w:val="clear" w:color="auto" w:fill="auto"/>
          </w:tcPr>
          <w:p w14:paraId="36AD3EC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4-mujorin e tretë 2014</w:t>
            </w:r>
          </w:p>
        </w:tc>
        <w:tc>
          <w:tcPr>
            <w:tcW w:w="642" w:type="pct"/>
            <w:gridSpan w:val="3"/>
            <w:shd w:val="clear" w:color="auto" w:fill="auto"/>
          </w:tcPr>
          <w:p w14:paraId="2F4D559F"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Ministria e Drejtësisë</w:t>
            </w:r>
          </w:p>
        </w:tc>
        <w:tc>
          <w:tcPr>
            <w:tcW w:w="567" w:type="pct"/>
            <w:gridSpan w:val="2"/>
            <w:shd w:val="clear" w:color="auto" w:fill="auto"/>
          </w:tcPr>
          <w:p w14:paraId="44DA70A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Hartimi i ndryshimeve pritet të sjellë shkurtimin e afatit për zbatimin e vendimeve</w:t>
            </w:r>
          </w:p>
        </w:tc>
        <w:tc>
          <w:tcPr>
            <w:tcW w:w="378" w:type="pct"/>
            <w:shd w:val="clear" w:color="auto" w:fill="auto"/>
          </w:tcPr>
          <w:p w14:paraId="0B1FAF5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5996C185" w14:textId="77777777" w:rsidR="00B02CEC" w:rsidRPr="003B79F4" w:rsidRDefault="00B02CEC" w:rsidP="00680053">
            <w:pPr>
              <w:widowControl w:val="0"/>
              <w:spacing w:after="0" w:line="240" w:lineRule="auto"/>
              <w:rPr>
                <w:rFonts w:ascii="Garamond" w:hAnsi="Garamond"/>
                <w:bCs/>
                <w:spacing w:val="-4"/>
                <w:sz w:val="14"/>
                <w:szCs w:val="14"/>
                <w:lang w:val="sq-AL"/>
              </w:rPr>
            </w:pPr>
            <w:r>
              <w:rPr>
                <w:rFonts w:ascii="Garamond" w:hAnsi="Garamond"/>
                <w:bCs/>
                <w:spacing w:val="-4"/>
                <w:sz w:val="14"/>
                <w:szCs w:val="14"/>
                <w:lang w:val="sq-AL"/>
              </w:rPr>
              <w:t>Në fazën e hartimit</w:t>
            </w:r>
            <w:r w:rsidRPr="003B79F4">
              <w:rPr>
                <w:rFonts w:ascii="Garamond" w:hAnsi="Garamond"/>
                <w:bCs/>
                <w:spacing w:val="-4"/>
                <w:sz w:val="14"/>
                <w:szCs w:val="14"/>
                <w:lang w:val="sq-AL"/>
              </w:rPr>
              <w:t xml:space="preserve"> mund  të shqyrtohet mundësia e përfshirjes së çështjes së përshpejtimin të zbatimit të vendimeve gjyqësore.</w:t>
            </w:r>
          </w:p>
        </w:tc>
      </w:tr>
      <w:tr w:rsidR="00B02CEC" w:rsidRPr="003B79F4" w14:paraId="743B330A" w14:textId="77777777" w:rsidTr="00680053">
        <w:trPr>
          <w:jc w:val="center"/>
        </w:trPr>
        <w:tc>
          <w:tcPr>
            <w:tcW w:w="620" w:type="pct"/>
          </w:tcPr>
          <w:p w14:paraId="7B122CD3"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Mbledhja e të dhënave statistikore mbi veprimtarinë e gjykatave</w:t>
            </w:r>
          </w:p>
        </w:tc>
        <w:tc>
          <w:tcPr>
            <w:tcW w:w="1233" w:type="pct"/>
            <w:shd w:val="clear" w:color="auto" w:fill="auto"/>
          </w:tcPr>
          <w:p w14:paraId="034E8701"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Përcjellje periodike e të dhënave statistikore nga gjykatat mbi ngarkesën dhe afatet e gjykimit të çështjeve</w:t>
            </w:r>
          </w:p>
        </w:tc>
        <w:tc>
          <w:tcPr>
            <w:tcW w:w="623" w:type="pct"/>
            <w:shd w:val="clear" w:color="auto" w:fill="auto"/>
          </w:tcPr>
          <w:p w14:paraId="769DD7A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2014 – 2015</w:t>
            </w:r>
          </w:p>
        </w:tc>
        <w:tc>
          <w:tcPr>
            <w:tcW w:w="642" w:type="pct"/>
            <w:gridSpan w:val="3"/>
            <w:shd w:val="clear" w:color="auto" w:fill="auto"/>
          </w:tcPr>
          <w:p w14:paraId="2066F48B"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Ministria e Drejtësisë &amp; gjykatat</w:t>
            </w:r>
          </w:p>
        </w:tc>
        <w:tc>
          <w:tcPr>
            <w:tcW w:w="567" w:type="pct"/>
            <w:gridSpan w:val="2"/>
            <w:shd w:val="clear" w:color="auto" w:fill="auto"/>
          </w:tcPr>
          <w:p w14:paraId="28C03F0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Hartimi i politikave sektoriale për përmirësimin e veprimtarisë së gjykatave</w:t>
            </w:r>
          </w:p>
        </w:tc>
        <w:tc>
          <w:tcPr>
            <w:tcW w:w="378" w:type="pct"/>
            <w:shd w:val="clear" w:color="auto" w:fill="auto"/>
          </w:tcPr>
          <w:p w14:paraId="723DE047"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shd w:val="clear" w:color="auto" w:fill="auto"/>
          </w:tcPr>
          <w:p w14:paraId="4AD1F89B"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Gjykatat përcjellin pranë Ministrisë së Drejtësisë çdo 3 muaj të dhëna statistikore mbi performancën e tyre</w:t>
            </w:r>
          </w:p>
        </w:tc>
      </w:tr>
      <w:tr w:rsidR="00B02CEC" w:rsidRPr="003B79F4" w14:paraId="1F43AE09" w14:textId="77777777" w:rsidTr="00680053">
        <w:trPr>
          <w:jc w:val="center"/>
        </w:trPr>
        <w:tc>
          <w:tcPr>
            <w:tcW w:w="620" w:type="pct"/>
            <w:vMerge w:val="restart"/>
          </w:tcPr>
          <w:p w14:paraId="1E21F39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Përmirësimi i sistemit të menaxhimit elektronik</w:t>
            </w:r>
          </w:p>
        </w:tc>
        <w:tc>
          <w:tcPr>
            <w:tcW w:w="1233" w:type="pct"/>
            <w:shd w:val="clear" w:color="auto" w:fill="auto"/>
          </w:tcPr>
          <w:p w14:paraId="178A52CE"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Ndjekja e implementimit të sistemit ICMIS nga të gjitha gjykata duke përfshirë edhe instalimin e këtij sistemi në gjykatat administrative</w:t>
            </w:r>
          </w:p>
        </w:tc>
        <w:tc>
          <w:tcPr>
            <w:tcW w:w="623" w:type="pct"/>
            <w:shd w:val="clear" w:color="auto" w:fill="auto"/>
          </w:tcPr>
          <w:p w14:paraId="30975ABD"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2014</w:t>
            </w:r>
          </w:p>
        </w:tc>
        <w:tc>
          <w:tcPr>
            <w:tcW w:w="642" w:type="pct"/>
            <w:gridSpan w:val="3"/>
            <w:shd w:val="clear" w:color="auto" w:fill="auto"/>
          </w:tcPr>
          <w:p w14:paraId="3980DD73"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Ministria e Drejtësisë &amp; gjykatat</w:t>
            </w:r>
          </w:p>
        </w:tc>
        <w:tc>
          <w:tcPr>
            <w:tcW w:w="567" w:type="pct"/>
            <w:gridSpan w:val="2"/>
            <w:shd w:val="clear" w:color="auto" w:fill="auto"/>
          </w:tcPr>
          <w:p w14:paraId="1FBC67F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Digjitalizimi i plotë i procesit gjyqësor</w:t>
            </w:r>
          </w:p>
        </w:tc>
        <w:tc>
          <w:tcPr>
            <w:tcW w:w="378" w:type="pct"/>
            <w:shd w:val="clear" w:color="auto" w:fill="auto"/>
          </w:tcPr>
          <w:p w14:paraId="19EDF4E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2015</w:t>
            </w:r>
          </w:p>
        </w:tc>
        <w:tc>
          <w:tcPr>
            <w:tcW w:w="938" w:type="pct"/>
            <w:shd w:val="clear" w:color="auto" w:fill="auto"/>
          </w:tcPr>
          <w:p w14:paraId="58D93143"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53BE9533" w14:textId="77777777" w:rsidTr="00680053">
        <w:trPr>
          <w:jc w:val="center"/>
        </w:trPr>
        <w:tc>
          <w:tcPr>
            <w:tcW w:w="620" w:type="pct"/>
            <w:vMerge/>
          </w:tcPr>
          <w:p w14:paraId="027848D2"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5B8E4095"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Zgjerimi i sistemit të menaxhimit të çështjeve ICMIS në të gjitha gjykatat, kontrolli mbi funksionimin e caktimit të mekanizmit të hedhjes së shortit.</w:t>
            </w:r>
          </w:p>
        </w:tc>
        <w:tc>
          <w:tcPr>
            <w:tcW w:w="623" w:type="pct"/>
            <w:shd w:val="clear" w:color="auto" w:fill="auto"/>
          </w:tcPr>
          <w:p w14:paraId="7B5078FB"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2014-2015</w:t>
            </w:r>
          </w:p>
        </w:tc>
        <w:tc>
          <w:tcPr>
            <w:tcW w:w="642" w:type="pct"/>
            <w:gridSpan w:val="3"/>
            <w:shd w:val="clear" w:color="auto" w:fill="auto"/>
          </w:tcPr>
          <w:p w14:paraId="593E38C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Ministria e Drejtësisë &amp; gjykatat</w:t>
            </w:r>
          </w:p>
        </w:tc>
        <w:tc>
          <w:tcPr>
            <w:tcW w:w="567" w:type="pct"/>
            <w:gridSpan w:val="2"/>
            <w:shd w:val="clear" w:color="auto" w:fill="auto"/>
          </w:tcPr>
          <w:p w14:paraId="431442D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Digjitalizimi i plotë i procesit gjyqësor</w:t>
            </w:r>
          </w:p>
        </w:tc>
        <w:tc>
          <w:tcPr>
            <w:tcW w:w="378" w:type="pct"/>
            <w:shd w:val="clear" w:color="auto" w:fill="auto"/>
          </w:tcPr>
          <w:p w14:paraId="7B542BAE"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shd w:val="clear" w:color="auto" w:fill="auto"/>
          </w:tcPr>
          <w:p w14:paraId="671CB7A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Sistemi ICMIS ka të integruar modulin e shortit elektronik i cili bën një shpërndarje rastësore dhe në sasi të barabartë midis gjyqtarëve të një seksioni gjykate. Raportet që nxjerr sistemi për shpërndarjen e çështjeve, mund të vlerësohen në kohë reale nga strukturat e Ministrisë së Drejtësisë që merren me organizimin dhe administrimin e sistemit gjyqësor, në lidhje me transparencën, paanshmërinë, dhe volumet e shpërndarjes së çështjeve.</w:t>
            </w:r>
          </w:p>
        </w:tc>
      </w:tr>
      <w:tr w:rsidR="00B02CEC" w:rsidRPr="003B79F4" w14:paraId="0B953184" w14:textId="77777777" w:rsidTr="00680053">
        <w:trPr>
          <w:jc w:val="center"/>
        </w:trPr>
        <w:tc>
          <w:tcPr>
            <w:tcW w:w="620" w:type="pct"/>
            <w:vMerge/>
          </w:tcPr>
          <w:p w14:paraId="516EB851"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1FA1DFC2"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Trajnime shtesë sidomos për Gjyqtarët në mënyrë që të zbatohet sistemi ICMIS plotësisht;</w:t>
            </w:r>
          </w:p>
        </w:tc>
        <w:tc>
          <w:tcPr>
            <w:tcW w:w="623" w:type="pct"/>
            <w:shd w:val="clear" w:color="auto" w:fill="auto"/>
          </w:tcPr>
          <w:p w14:paraId="2011D14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2014-2015</w:t>
            </w:r>
          </w:p>
        </w:tc>
        <w:tc>
          <w:tcPr>
            <w:tcW w:w="642" w:type="pct"/>
            <w:gridSpan w:val="3"/>
            <w:shd w:val="clear" w:color="auto" w:fill="auto"/>
          </w:tcPr>
          <w:p w14:paraId="66961BF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Ministria e Drejtësisë &amp; gjykatat</w:t>
            </w:r>
          </w:p>
        </w:tc>
        <w:tc>
          <w:tcPr>
            <w:tcW w:w="567" w:type="pct"/>
            <w:gridSpan w:val="2"/>
            <w:shd w:val="clear" w:color="auto" w:fill="auto"/>
          </w:tcPr>
          <w:p w14:paraId="27BB625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Përmirësimi i aftësive tek gjyqtarët apo personeli administrativ në përdorimin e sistemit ICMIS</w:t>
            </w:r>
          </w:p>
        </w:tc>
        <w:tc>
          <w:tcPr>
            <w:tcW w:w="378" w:type="pct"/>
            <w:shd w:val="clear" w:color="auto" w:fill="auto"/>
          </w:tcPr>
          <w:p w14:paraId="5AB78EDF"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shd w:val="clear" w:color="auto" w:fill="auto"/>
          </w:tcPr>
          <w:p w14:paraId="4EF0EBDC"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64D533F2" w14:textId="77777777" w:rsidTr="00680053">
        <w:trPr>
          <w:jc w:val="center"/>
        </w:trPr>
        <w:tc>
          <w:tcPr>
            <w:tcW w:w="620" w:type="pct"/>
            <w:vMerge/>
          </w:tcPr>
          <w:p w14:paraId="75993937"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1234EFE4"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Investime në drejtim të infrastrukturës elektronike për gjykatat administrative në funksion të sistemit ICMIS</w:t>
            </w:r>
          </w:p>
        </w:tc>
        <w:tc>
          <w:tcPr>
            <w:tcW w:w="623" w:type="pct"/>
            <w:shd w:val="clear" w:color="auto" w:fill="auto"/>
          </w:tcPr>
          <w:p w14:paraId="13E3A98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2014-2015</w:t>
            </w:r>
          </w:p>
        </w:tc>
        <w:tc>
          <w:tcPr>
            <w:tcW w:w="642" w:type="pct"/>
            <w:gridSpan w:val="3"/>
            <w:shd w:val="clear" w:color="auto" w:fill="auto"/>
          </w:tcPr>
          <w:p w14:paraId="1FEADC7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Ministria e Drejtësisë &amp; gjykatat &amp;ZABGJ</w:t>
            </w:r>
          </w:p>
        </w:tc>
        <w:tc>
          <w:tcPr>
            <w:tcW w:w="567" w:type="pct"/>
            <w:gridSpan w:val="2"/>
            <w:shd w:val="clear" w:color="auto" w:fill="auto"/>
          </w:tcPr>
          <w:p w14:paraId="1018547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Digjitalizimi i plotë i procesit gjyqësor në Gjykatën Administrative përmirëson në lidhje me transparencën, paanshmërinë dhe volumet e shpërndarjes së çështjeve.</w:t>
            </w:r>
          </w:p>
        </w:tc>
        <w:tc>
          <w:tcPr>
            <w:tcW w:w="378" w:type="pct"/>
            <w:shd w:val="clear" w:color="auto" w:fill="auto"/>
          </w:tcPr>
          <w:p w14:paraId="106E0D0A"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shd w:val="clear" w:color="auto" w:fill="auto"/>
          </w:tcPr>
          <w:p w14:paraId="68F6F300" w14:textId="77777777" w:rsidR="00B02CEC" w:rsidRPr="003B79F4" w:rsidRDefault="00B02CEC" w:rsidP="00680053">
            <w:pPr>
              <w:widowControl w:val="0"/>
              <w:spacing w:after="0" w:line="240" w:lineRule="auto"/>
              <w:rPr>
                <w:rFonts w:ascii="Garamond" w:hAnsi="Garamond"/>
                <w:bCs/>
                <w:spacing w:val="-4"/>
                <w:sz w:val="14"/>
                <w:szCs w:val="14"/>
                <w:lang w:val="sq-AL"/>
              </w:rPr>
            </w:pPr>
          </w:p>
        </w:tc>
      </w:tr>
      <w:tr w:rsidR="00B02CEC" w:rsidRPr="003B79F4" w14:paraId="525823FA" w14:textId="77777777" w:rsidTr="00680053">
        <w:trPr>
          <w:jc w:val="center"/>
        </w:trPr>
        <w:tc>
          <w:tcPr>
            <w:tcW w:w="620" w:type="pct"/>
            <w:tcBorders>
              <w:bottom w:val="single" w:sz="4" w:space="0" w:color="auto"/>
            </w:tcBorders>
          </w:tcPr>
          <w:p w14:paraId="6236A8C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Ofrimi i trajnimit të vazhdueshëm për gjyqtarët dhe personelin e gjykatave.</w:t>
            </w:r>
          </w:p>
        </w:tc>
        <w:tc>
          <w:tcPr>
            <w:tcW w:w="1233" w:type="pct"/>
            <w:tcBorders>
              <w:bottom w:val="single" w:sz="4" w:space="0" w:color="auto"/>
            </w:tcBorders>
            <w:shd w:val="clear" w:color="auto" w:fill="auto"/>
          </w:tcPr>
          <w:p w14:paraId="65F68ACD"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 xml:space="preserve">Përfshirja në kurrikulat e Shkollës së Magjistraturës </w:t>
            </w:r>
            <w:r w:rsidRPr="003B79F4">
              <w:rPr>
                <w:rFonts w:ascii="Garamond" w:hAnsi="Garamond"/>
                <w:bCs/>
                <w:spacing w:val="-4"/>
                <w:sz w:val="14"/>
                <w:szCs w:val="14"/>
                <w:lang w:val="sq-AL"/>
              </w:rPr>
              <w:t>të</w:t>
            </w:r>
            <w:r w:rsidRPr="003B79F4">
              <w:rPr>
                <w:rFonts w:ascii="Garamond" w:hAnsi="Garamond"/>
                <w:spacing w:val="-4"/>
                <w:sz w:val="14"/>
                <w:szCs w:val="14"/>
                <w:lang w:val="sq-AL"/>
              </w:rPr>
              <w:t xml:space="preserve"> programeve </w:t>
            </w:r>
            <w:r w:rsidRPr="003B79F4">
              <w:rPr>
                <w:rFonts w:ascii="Garamond" w:hAnsi="Garamond"/>
                <w:bCs/>
                <w:spacing w:val="-4"/>
                <w:sz w:val="14"/>
                <w:szCs w:val="14"/>
                <w:lang w:val="sq-AL"/>
              </w:rPr>
              <w:t>të</w:t>
            </w:r>
            <w:r w:rsidRPr="003B79F4">
              <w:rPr>
                <w:rFonts w:ascii="Garamond" w:hAnsi="Garamond"/>
                <w:spacing w:val="-4"/>
                <w:sz w:val="14"/>
                <w:szCs w:val="14"/>
                <w:lang w:val="sq-AL"/>
              </w:rPr>
              <w:t xml:space="preserve"> trajnimit</w:t>
            </w:r>
          </w:p>
        </w:tc>
        <w:tc>
          <w:tcPr>
            <w:tcW w:w="623" w:type="pct"/>
            <w:tcBorders>
              <w:bottom w:val="single" w:sz="4" w:space="0" w:color="auto"/>
            </w:tcBorders>
            <w:shd w:val="clear" w:color="auto" w:fill="auto"/>
          </w:tcPr>
          <w:p w14:paraId="3E37BB8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2014 2015</w:t>
            </w:r>
          </w:p>
        </w:tc>
        <w:tc>
          <w:tcPr>
            <w:tcW w:w="642" w:type="pct"/>
            <w:gridSpan w:val="3"/>
            <w:tcBorders>
              <w:bottom w:val="single" w:sz="4" w:space="0" w:color="auto"/>
            </w:tcBorders>
            <w:shd w:val="clear" w:color="auto" w:fill="auto"/>
          </w:tcPr>
          <w:p w14:paraId="7B21265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Shkolla e Magjistraturës</w:t>
            </w:r>
          </w:p>
        </w:tc>
        <w:tc>
          <w:tcPr>
            <w:tcW w:w="567" w:type="pct"/>
            <w:gridSpan w:val="2"/>
            <w:tcBorders>
              <w:bottom w:val="single" w:sz="4" w:space="0" w:color="auto"/>
            </w:tcBorders>
            <w:shd w:val="clear" w:color="auto" w:fill="auto"/>
          </w:tcPr>
          <w:p w14:paraId="41C7E531"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Rritja e kapaciteteve profesionale të stafit të gjykatave</w:t>
            </w:r>
          </w:p>
        </w:tc>
        <w:tc>
          <w:tcPr>
            <w:tcW w:w="378" w:type="pct"/>
            <w:tcBorders>
              <w:bottom w:val="single" w:sz="4" w:space="0" w:color="auto"/>
            </w:tcBorders>
            <w:shd w:val="clear" w:color="auto" w:fill="auto"/>
          </w:tcPr>
          <w:p w14:paraId="2CB054B4"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tcBorders>
              <w:bottom w:val="single" w:sz="4" w:space="0" w:color="auto"/>
            </w:tcBorders>
            <w:shd w:val="clear" w:color="auto" w:fill="auto"/>
          </w:tcPr>
          <w:p w14:paraId="03AE574F"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Shkolla e Magjistraturës organizon aktivitete trajnuese vazhduese për stafin e gjykatave.</w:t>
            </w:r>
          </w:p>
        </w:tc>
      </w:tr>
      <w:tr w:rsidR="00B02CEC" w:rsidRPr="003B79F4" w14:paraId="49A857F4" w14:textId="77777777" w:rsidTr="00680053">
        <w:trPr>
          <w:jc w:val="center"/>
        </w:trPr>
        <w:tc>
          <w:tcPr>
            <w:tcW w:w="5000" w:type="pct"/>
            <w:gridSpan w:val="10"/>
            <w:shd w:val="clear" w:color="auto" w:fill="FFFFFF" w:themeFill="background1"/>
          </w:tcPr>
          <w:p w14:paraId="1A690317" w14:textId="77777777" w:rsidR="00B02CEC" w:rsidRPr="003B79F4" w:rsidRDefault="00B02CEC" w:rsidP="00680053">
            <w:pPr>
              <w:widowControl w:val="0"/>
              <w:spacing w:after="0" w:line="240" w:lineRule="auto"/>
              <w:jc w:val="center"/>
              <w:rPr>
                <w:rFonts w:ascii="Garamond" w:hAnsi="Garamond"/>
                <w:b/>
                <w:spacing w:val="-4"/>
                <w:sz w:val="14"/>
                <w:szCs w:val="14"/>
                <w:lang w:val="sq-AL"/>
              </w:rPr>
            </w:pPr>
            <w:r w:rsidRPr="003B79F4">
              <w:rPr>
                <w:rFonts w:ascii="Garamond" w:hAnsi="Garamond"/>
                <w:b/>
                <w:spacing w:val="-4"/>
                <w:sz w:val="14"/>
                <w:szCs w:val="14"/>
                <w:lang w:val="sq-AL"/>
              </w:rPr>
              <w:t>Zgjidhja e paaftësisë paguese</w:t>
            </w:r>
          </w:p>
        </w:tc>
      </w:tr>
      <w:tr w:rsidR="00B02CEC" w:rsidRPr="003B79F4" w14:paraId="4B22F638" w14:textId="77777777" w:rsidTr="00680053">
        <w:trPr>
          <w:jc w:val="center"/>
        </w:trPr>
        <w:tc>
          <w:tcPr>
            <w:tcW w:w="620" w:type="pct"/>
          </w:tcPr>
          <w:p w14:paraId="5A431A3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Zhvillimi dhe rregullimi i procedurave të ristrukturimit të borxhit, forcimi i rolit të Agjencisë dhe rritja e kualifikimeve për administratorët e </w:t>
            </w:r>
            <w:r w:rsidRPr="003B79F4">
              <w:rPr>
                <w:rFonts w:ascii="Garamond" w:hAnsi="Garamond"/>
                <w:bCs/>
                <w:spacing w:val="-4"/>
                <w:sz w:val="14"/>
                <w:szCs w:val="14"/>
                <w:lang w:val="sq-AL"/>
              </w:rPr>
              <w:lastRenderedPageBreak/>
              <w:t>falimentimit.</w:t>
            </w:r>
          </w:p>
        </w:tc>
        <w:tc>
          <w:tcPr>
            <w:tcW w:w="1233" w:type="pct"/>
            <w:shd w:val="clear" w:color="auto" w:fill="auto"/>
          </w:tcPr>
          <w:p w14:paraId="5B524D88"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lastRenderedPageBreak/>
              <w:t>Projektligji i ri “Për falimentimin” dhe aktet e tjera në zbatim te tij</w:t>
            </w:r>
          </w:p>
        </w:tc>
        <w:tc>
          <w:tcPr>
            <w:tcW w:w="623" w:type="pct"/>
            <w:shd w:val="clear" w:color="auto" w:fill="auto"/>
          </w:tcPr>
          <w:p w14:paraId="7F753D28"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spacing w:val="-4"/>
                <w:sz w:val="14"/>
                <w:szCs w:val="14"/>
                <w:lang w:val="sq-AL"/>
              </w:rPr>
              <w:t>Tetor-nëntor 2014</w:t>
            </w:r>
          </w:p>
        </w:tc>
        <w:tc>
          <w:tcPr>
            <w:tcW w:w="642" w:type="pct"/>
            <w:gridSpan w:val="3"/>
            <w:shd w:val="clear" w:color="auto" w:fill="auto"/>
          </w:tcPr>
          <w:p w14:paraId="4FB8372B"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MD &amp; AMF</w:t>
            </w:r>
          </w:p>
        </w:tc>
        <w:tc>
          <w:tcPr>
            <w:tcW w:w="567" w:type="pct"/>
            <w:gridSpan w:val="2"/>
            <w:shd w:val="clear" w:color="auto" w:fill="auto"/>
          </w:tcPr>
          <w:p w14:paraId="69294E66"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-Shkurtimi i kohëzgjatjes së procedurave nëpërmjet afateve të reja ligjore</w:t>
            </w:r>
          </w:p>
          <w:p w14:paraId="70B1A0D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-Rritje e shumës së detyrimit që do të përfitojnë </w:t>
            </w:r>
            <w:r w:rsidRPr="003B79F4">
              <w:rPr>
                <w:rFonts w:ascii="Garamond" w:hAnsi="Garamond"/>
                <w:bCs/>
                <w:spacing w:val="-4"/>
                <w:sz w:val="14"/>
                <w:szCs w:val="14"/>
                <w:lang w:val="sq-AL"/>
              </w:rPr>
              <w:lastRenderedPageBreak/>
              <w:t>kreditorët</w:t>
            </w:r>
          </w:p>
          <w:p w14:paraId="6973D5EE"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-Kosto me të ulta për shpenzimet e procedurës</w:t>
            </w:r>
          </w:p>
        </w:tc>
        <w:tc>
          <w:tcPr>
            <w:tcW w:w="378" w:type="pct"/>
            <w:shd w:val="clear" w:color="auto" w:fill="auto"/>
          </w:tcPr>
          <w:p w14:paraId="1BE3017A"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lastRenderedPageBreak/>
              <w:t>DB 2016</w:t>
            </w:r>
          </w:p>
        </w:tc>
        <w:tc>
          <w:tcPr>
            <w:tcW w:w="938" w:type="pct"/>
            <w:shd w:val="clear" w:color="auto" w:fill="auto"/>
          </w:tcPr>
          <w:p w14:paraId="6EBC5C04"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Drafti do të jetë gati për miratim në shtator 2014</w:t>
            </w:r>
          </w:p>
        </w:tc>
      </w:tr>
      <w:tr w:rsidR="00B02CEC" w:rsidRPr="003B79F4" w14:paraId="1A542DB8" w14:textId="77777777" w:rsidTr="00680053">
        <w:trPr>
          <w:jc w:val="center"/>
        </w:trPr>
        <w:tc>
          <w:tcPr>
            <w:tcW w:w="620" w:type="pct"/>
          </w:tcPr>
          <w:p w14:paraId="174CAA6C"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7332B02C"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Manualet për procedurat e likuidimit, riorganizimit, ristrukturimit të borxhit për individët</w:t>
            </w:r>
          </w:p>
        </w:tc>
        <w:tc>
          <w:tcPr>
            <w:tcW w:w="623" w:type="pct"/>
            <w:shd w:val="clear" w:color="auto" w:fill="auto"/>
          </w:tcPr>
          <w:p w14:paraId="7A9D7800"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Tetor-nëntor 2014</w:t>
            </w:r>
          </w:p>
          <w:p w14:paraId="0611871F"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642" w:type="pct"/>
            <w:gridSpan w:val="3"/>
            <w:shd w:val="clear" w:color="auto" w:fill="auto"/>
          </w:tcPr>
          <w:p w14:paraId="6979721F"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MD &amp; AMF</w:t>
            </w:r>
          </w:p>
        </w:tc>
        <w:tc>
          <w:tcPr>
            <w:tcW w:w="567" w:type="pct"/>
            <w:gridSpan w:val="2"/>
            <w:shd w:val="clear" w:color="auto" w:fill="auto"/>
          </w:tcPr>
          <w:p w14:paraId="731C0280"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378" w:type="pct"/>
            <w:shd w:val="clear" w:color="auto" w:fill="auto"/>
          </w:tcPr>
          <w:p w14:paraId="1498D047"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DB 2016</w:t>
            </w:r>
          </w:p>
        </w:tc>
        <w:tc>
          <w:tcPr>
            <w:tcW w:w="938" w:type="pct"/>
            <w:shd w:val="clear" w:color="auto" w:fill="auto"/>
          </w:tcPr>
          <w:p w14:paraId="457AFD4C"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Manualet do të jenë gati në dhjetor 2014</w:t>
            </w:r>
          </w:p>
        </w:tc>
      </w:tr>
      <w:tr w:rsidR="00B02CEC" w:rsidRPr="003B79F4" w14:paraId="03960D24" w14:textId="77777777" w:rsidTr="00680053">
        <w:trPr>
          <w:jc w:val="center"/>
        </w:trPr>
        <w:tc>
          <w:tcPr>
            <w:tcW w:w="620" w:type="pct"/>
          </w:tcPr>
          <w:p w14:paraId="2A6AAEE8"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59C4C38F"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Organizimi i trajnimeve</w:t>
            </w:r>
          </w:p>
        </w:tc>
        <w:tc>
          <w:tcPr>
            <w:tcW w:w="623" w:type="pct"/>
            <w:shd w:val="clear" w:color="auto" w:fill="auto"/>
          </w:tcPr>
          <w:p w14:paraId="6C8F3783"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Vazhdimisht </w:t>
            </w:r>
          </w:p>
        </w:tc>
        <w:tc>
          <w:tcPr>
            <w:tcW w:w="642" w:type="pct"/>
            <w:gridSpan w:val="3"/>
            <w:shd w:val="clear" w:color="auto" w:fill="auto"/>
          </w:tcPr>
          <w:p w14:paraId="4D519260"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AMF</w:t>
            </w:r>
          </w:p>
        </w:tc>
        <w:tc>
          <w:tcPr>
            <w:tcW w:w="567" w:type="pct"/>
            <w:gridSpan w:val="2"/>
            <w:shd w:val="clear" w:color="auto" w:fill="auto"/>
          </w:tcPr>
          <w:p w14:paraId="4D695B6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Trajnimi dhe ndërgjegjësimi i palëve në proces.</w:t>
            </w:r>
          </w:p>
        </w:tc>
        <w:tc>
          <w:tcPr>
            <w:tcW w:w="378" w:type="pct"/>
            <w:shd w:val="clear" w:color="auto" w:fill="auto"/>
          </w:tcPr>
          <w:p w14:paraId="5DE40875"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shd w:val="clear" w:color="auto" w:fill="auto"/>
          </w:tcPr>
          <w:p w14:paraId="10255762"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Do të zhvillohen trajnime gjatë 2014 dhe viteve në vazhdim për administratorët e falimentimit, gjyqtarët dhe palët e tjera të interesuara.</w:t>
            </w:r>
          </w:p>
        </w:tc>
      </w:tr>
      <w:tr w:rsidR="00B02CEC" w:rsidRPr="003B79F4" w14:paraId="2648939C" w14:textId="77777777" w:rsidTr="00680053">
        <w:trPr>
          <w:jc w:val="center"/>
        </w:trPr>
        <w:tc>
          <w:tcPr>
            <w:tcW w:w="620" w:type="pct"/>
          </w:tcPr>
          <w:p w14:paraId="2E82DCF2"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1233" w:type="pct"/>
            <w:shd w:val="clear" w:color="auto" w:fill="auto"/>
          </w:tcPr>
          <w:p w14:paraId="6D62F299" w14:textId="77777777" w:rsidR="00B02CEC" w:rsidRPr="003B79F4" w:rsidRDefault="00B02CEC" w:rsidP="00680053">
            <w:pPr>
              <w:widowControl w:val="0"/>
              <w:spacing w:after="0" w:line="240" w:lineRule="auto"/>
              <w:rPr>
                <w:rFonts w:ascii="Garamond" w:hAnsi="Garamond"/>
                <w:spacing w:val="-4"/>
                <w:sz w:val="14"/>
                <w:szCs w:val="14"/>
                <w:lang w:val="sq-AL"/>
              </w:rPr>
            </w:pPr>
            <w:r w:rsidRPr="003B79F4">
              <w:rPr>
                <w:rFonts w:ascii="Garamond" w:hAnsi="Garamond"/>
                <w:spacing w:val="-4"/>
                <w:sz w:val="14"/>
                <w:szCs w:val="14"/>
                <w:lang w:val="sq-AL"/>
              </w:rPr>
              <w:t>Organizmi i seminareve, tryezave të rrumbullakëta, konferencave</w:t>
            </w:r>
          </w:p>
        </w:tc>
        <w:tc>
          <w:tcPr>
            <w:tcW w:w="623" w:type="pct"/>
            <w:shd w:val="clear" w:color="auto" w:fill="auto"/>
          </w:tcPr>
          <w:p w14:paraId="0801CAC0"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 xml:space="preserve">Vazhdimisht </w:t>
            </w:r>
          </w:p>
        </w:tc>
        <w:tc>
          <w:tcPr>
            <w:tcW w:w="642" w:type="pct"/>
            <w:gridSpan w:val="3"/>
            <w:shd w:val="clear" w:color="auto" w:fill="auto"/>
          </w:tcPr>
          <w:p w14:paraId="47CBE24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AMF</w:t>
            </w:r>
          </w:p>
        </w:tc>
        <w:tc>
          <w:tcPr>
            <w:tcW w:w="567" w:type="pct"/>
            <w:gridSpan w:val="2"/>
            <w:shd w:val="clear" w:color="auto" w:fill="auto"/>
          </w:tcPr>
          <w:p w14:paraId="73B44595" w14:textId="77777777" w:rsidR="00B02CEC" w:rsidRPr="003B79F4" w:rsidRDefault="00B02CEC" w:rsidP="00680053">
            <w:pPr>
              <w:widowControl w:val="0"/>
              <w:spacing w:after="0" w:line="240" w:lineRule="auto"/>
              <w:rPr>
                <w:rFonts w:ascii="Garamond" w:hAnsi="Garamond"/>
                <w:bCs/>
                <w:spacing w:val="-4"/>
                <w:sz w:val="14"/>
                <w:szCs w:val="14"/>
                <w:lang w:val="sq-AL"/>
              </w:rPr>
            </w:pPr>
            <w:r w:rsidRPr="003B79F4">
              <w:rPr>
                <w:rFonts w:ascii="Garamond" w:hAnsi="Garamond"/>
                <w:bCs/>
                <w:spacing w:val="-4"/>
                <w:sz w:val="14"/>
                <w:szCs w:val="14"/>
                <w:lang w:val="sq-AL"/>
              </w:rPr>
              <w:t>Ndërgjegjësimi i grupeve të interesit</w:t>
            </w:r>
          </w:p>
        </w:tc>
        <w:tc>
          <w:tcPr>
            <w:tcW w:w="378" w:type="pct"/>
            <w:shd w:val="clear" w:color="auto" w:fill="auto"/>
          </w:tcPr>
          <w:p w14:paraId="65DE6122" w14:textId="77777777" w:rsidR="00B02CEC" w:rsidRPr="003B79F4" w:rsidRDefault="00B02CEC" w:rsidP="00680053">
            <w:pPr>
              <w:widowControl w:val="0"/>
              <w:spacing w:after="0" w:line="240" w:lineRule="auto"/>
              <w:rPr>
                <w:rFonts w:ascii="Garamond" w:hAnsi="Garamond"/>
                <w:bCs/>
                <w:spacing w:val="-4"/>
                <w:sz w:val="14"/>
                <w:szCs w:val="14"/>
                <w:lang w:val="sq-AL"/>
              </w:rPr>
            </w:pPr>
          </w:p>
        </w:tc>
        <w:tc>
          <w:tcPr>
            <w:tcW w:w="938" w:type="pct"/>
            <w:shd w:val="clear" w:color="auto" w:fill="auto"/>
          </w:tcPr>
          <w:p w14:paraId="1F4146DF" w14:textId="77777777" w:rsidR="00B02CEC" w:rsidRPr="003B79F4" w:rsidRDefault="00B02CEC" w:rsidP="00680053">
            <w:pPr>
              <w:widowControl w:val="0"/>
              <w:spacing w:after="0" w:line="240" w:lineRule="auto"/>
              <w:rPr>
                <w:rFonts w:ascii="Garamond" w:hAnsi="Garamond"/>
                <w:bCs/>
                <w:spacing w:val="-4"/>
                <w:sz w:val="14"/>
                <w:szCs w:val="14"/>
                <w:lang w:val="sq-AL"/>
              </w:rPr>
            </w:pPr>
          </w:p>
        </w:tc>
      </w:tr>
    </w:tbl>
    <w:p w14:paraId="49537CCC" w14:textId="77777777" w:rsidR="00B02CEC" w:rsidRPr="003B79F4" w:rsidRDefault="00B02CEC" w:rsidP="00D66DBE">
      <w:pPr>
        <w:pStyle w:val="Akti"/>
        <w:keepNext w:val="0"/>
        <w:jc w:val="left"/>
        <w:rPr>
          <w:lang w:val="sq-AL"/>
        </w:rPr>
        <w:sectPr w:rsidR="00B02CEC" w:rsidRPr="003B79F4" w:rsidSect="00880281">
          <w:type w:val="continuous"/>
          <w:pgSz w:w="11907" w:h="16840" w:code="9"/>
          <w:pgMar w:top="720" w:right="1134" w:bottom="720" w:left="1134" w:header="851" w:footer="851" w:gutter="0"/>
          <w:cols w:space="284"/>
          <w:docGrid w:linePitch="360"/>
        </w:sectPr>
      </w:pPr>
    </w:p>
    <w:p w14:paraId="0DE537CE" w14:textId="77777777" w:rsidR="002E787A" w:rsidRDefault="002E787A"/>
    <w:sectPr w:rsidR="002E787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AE7885" w14:textId="77777777" w:rsidR="00770C86" w:rsidRDefault="00770C86" w:rsidP="00B02CEC">
      <w:pPr>
        <w:spacing w:after="0" w:line="240" w:lineRule="auto"/>
      </w:pPr>
      <w:r>
        <w:separator/>
      </w:r>
    </w:p>
  </w:endnote>
  <w:endnote w:type="continuationSeparator" w:id="0">
    <w:p w14:paraId="4F5ABF9C" w14:textId="77777777" w:rsidR="00770C86" w:rsidRDefault="00770C86" w:rsidP="00B02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9A2BAB" w14:textId="77777777" w:rsidR="00770C86" w:rsidRDefault="00770C86" w:rsidP="00B02CEC">
      <w:pPr>
        <w:spacing w:after="0" w:line="240" w:lineRule="auto"/>
      </w:pPr>
      <w:r>
        <w:separator/>
      </w:r>
    </w:p>
  </w:footnote>
  <w:footnote w:type="continuationSeparator" w:id="0">
    <w:p w14:paraId="507FD9FE" w14:textId="77777777" w:rsidR="00770C86" w:rsidRDefault="00770C86" w:rsidP="00B02CEC">
      <w:pPr>
        <w:spacing w:after="0" w:line="240" w:lineRule="auto"/>
      </w:pPr>
      <w:r>
        <w:continuationSeparator/>
      </w:r>
    </w:p>
  </w:footnote>
  <w:footnote w:id="1">
    <w:p w14:paraId="082BAA25" w14:textId="77777777" w:rsidR="00B02CEC" w:rsidRPr="008D43F5" w:rsidRDefault="00B02CEC" w:rsidP="00B02CEC">
      <w:pPr>
        <w:pStyle w:val="FootnoteText"/>
        <w:ind w:firstLine="0"/>
        <w:rPr>
          <w:rFonts w:ascii="Garamond" w:hAnsi="Garamond"/>
        </w:rPr>
      </w:pPr>
      <w:r w:rsidRPr="008D43F5">
        <w:rPr>
          <w:rStyle w:val="FootnoteReference"/>
          <w:rFonts w:ascii="Garamond" w:hAnsi="Garamond"/>
        </w:rPr>
        <w:footnoteRef/>
      </w:r>
      <w:r w:rsidRPr="008D43F5">
        <w:rPr>
          <w:rFonts w:ascii="Garamond" w:hAnsi="Garamond"/>
        </w:rPr>
        <w:t xml:space="preserve"> Operatori përgjegjës për shpërndarjen e energjisë elektrike (OPSHEE)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A4458" w14:textId="77777777" w:rsidR="00B02CEC" w:rsidRDefault="00B02CEC" w:rsidP="00B937D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3351F"/>
    <w:multiLevelType w:val="hybridMultilevel"/>
    <w:tmpl w:val="330802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02CEC"/>
    <w:rsid w:val="001D66C1"/>
    <w:rsid w:val="002E787A"/>
    <w:rsid w:val="006B1735"/>
    <w:rsid w:val="00770C86"/>
    <w:rsid w:val="00B02CEC"/>
    <w:rsid w:val="00B16365"/>
    <w:rsid w:val="00D66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BE1ED"/>
  <w15:docId w15:val="{BD9B9708-DFC7-4E61-BE3D-1A26FCC32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B02CE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locked/>
    <w:rsid w:val="00B02CEC"/>
    <w:rPr>
      <w:rFonts w:ascii="Times New Roman" w:eastAsia="Times New Roman" w:hAnsi="Times New Roman" w:cs="Times New Roman"/>
      <w:sz w:val="24"/>
      <w:szCs w:val="24"/>
      <w:lang w:val="sq-AL"/>
    </w:rPr>
  </w:style>
  <w:style w:type="paragraph" w:styleId="Header">
    <w:name w:val="header"/>
    <w:basedOn w:val="Normal"/>
    <w:link w:val="HeaderChar"/>
    <w:unhideWhenUsed/>
    <w:rsid w:val="00B02CE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B02CEC"/>
    <w:rPr>
      <w:rFonts w:ascii="Calibri" w:eastAsia="Calibri" w:hAnsi="Calibri" w:cs="Times New Roman"/>
    </w:rPr>
  </w:style>
  <w:style w:type="paragraph" w:customStyle="1" w:styleId="Akti">
    <w:name w:val="Akti"/>
    <w:link w:val="AktiChar"/>
    <w:rsid w:val="00B02CE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B02CE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B02CEC"/>
    <w:rPr>
      <w:rFonts w:ascii="Garamond" w:eastAsia="MS Mincho" w:hAnsi="Garamond" w:cs="CG Times"/>
      <w:sz w:val="24"/>
    </w:rPr>
  </w:style>
  <w:style w:type="paragraph" w:customStyle="1" w:styleId="Titulli">
    <w:name w:val="Titulli"/>
    <w:next w:val="Normal"/>
    <w:link w:val="TitulliChar"/>
    <w:rsid w:val="00B02CE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B02CEC"/>
    <w:rPr>
      <w:rFonts w:ascii="Garamond" w:eastAsia="MS Mincho" w:hAnsi="Garamond" w:cs="CG Times"/>
      <w:b/>
      <w:bCs/>
      <w:caps/>
      <w:sz w:val="24"/>
      <w:lang w:val="en-GB"/>
    </w:rPr>
  </w:style>
  <w:style w:type="character" w:customStyle="1" w:styleId="AktiChar">
    <w:name w:val="Akti Char"/>
    <w:link w:val="Akti"/>
    <w:rsid w:val="00B02CEC"/>
    <w:rPr>
      <w:rFonts w:ascii="Garamond" w:eastAsia="MS Mincho" w:hAnsi="Garamond" w:cs="CG Times"/>
      <w:b/>
      <w:bCs/>
      <w:caps/>
      <w:color w:val="000000"/>
      <w:sz w:val="24"/>
      <w:lang w:val="en-GB"/>
    </w:rPr>
  </w:style>
  <w:style w:type="paragraph" w:customStyle="1" w:styleId="Autoriteti">
    <w:name w:val="Autoriteti"/>
    <w:next w:val="Normal"/>
    <w:link w:val="AutoritetiChar"/>
    <w:rsid w:val="00B02CE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02CE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02CEC"/>
    <w:rPr>
      <w:rFonts w:ascii="Garamond" w:eastAsia="MS Mincho" w:hAnsi="Garamond" w:cs="CG Times"/>
      <w:caps/>
      <w:sz w:val="24"/>
      <w:lang w:val="en-GB"/>
    </w:rPr>
  </w:style>
  <w:style w:type="character" w:customStyle="1" w:styleId="AutoritetiEmerChar">
    <w:name w:val="Autoriteti_Emer Char"/>
    <w:link w:val="AutoritetiEmer"/>
    <w:locked/>
    <w:rsid w:val="00B02CEC"/>
    <w:rPr>
      <w:rFonts w:ascii="Garamond" w:eastAsia="MS Mincho" w:hAnsi="Garamond" w:cs="Times New Roman"/>
      <w:b/>
      <w:bCs/>
      <w:sz w:val="24"/>
      <w:lang w:val="en-GB"/>
    </w:rPr>
  </w:style>
  <w:style w:type="paragraph" w:customStyle="1" w:styleId="Vendosi">
    <w:name w:val="Vendosi"/>
    <w:basedOn w:val="Normal"/>
    <w:qFormat/>
    <w:rsid w:val="00B02CEC"/>
    <w:pPr>
      <w:widowControl w:val="0"/>
      <w:spacing w:after="0" w:line="240" w:lineRule="auto"/>
      <w:jc w:val="center"/>
    </w:pPr>
    <w:rPr>
      <w:rFonts w:ascii="Garamond" w:eastAsia="MS Mincho" w:hAnsi="Garamond" w:cs="CG Times"/>
      <w:caps/>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02CEC"/>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02CE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B02CEC"/>
    <w:rPr>
      <w:vertAlign w:val="superscript"/>
    </w:rPr>
  </w:style>
  <w:style w:type="paragraph" w:customStyle="1" w:styleId="Numri">
    <w:name w:val="Numri"/>
    <w:aliases w:val="data"/>
    <w:basedOn w:val="Paragrafi"/>
    <w:qFormat/>
    <w:rsid w:val="00B02CEC"/>
    <w:pPr>
      <w:ind w:firstLine="0"/>
      <w:jc w:val="center"/>
    </w:pPr>
    <w:rPr>
      <w:rFonts w:cs="Times New Roman"/>
      <w:b/>
      <w:szCs w:val="20"/>
    </w:rPr>
  </w:style>
  <w:style w:type="paragraph" w:styleId="BalloonText">
    <w:name w:val="Balloon Text"/>
    <w:basedOn w:val="Normal"/>
    <w:link w:val="BalloonTextChar"/>
    <w:uiPriority w:val="99"/>
    <w:semiHidden/>
    <w:unhideWhenUsed/>
    <w:rsid w:val="00B02C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CEC"/>
    <w:rPr>
      <w:rFonts w:ascii="Tahoma" w:hAnsi="Tahoma" w:cs="Tahoma"/>
      <w:sz w:val="16"/>
      <w:szCs w:val="16"/>
    </w:rPr>
  </w:style>
  <w:style w:type="paragraph" w:styleId="Footer">
    <w:name w:val="footer"/>
    <w:basedOn w:val="Normal"/>
    <w:link w:val="FooterChar"/>
    <w:uiPriority w:val="99"/>
    <w:unhideWhenUsed/>
    <w:rsid w:val="00D66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2916</Words>
  <Characters>16623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5</cp:revision>
  <cp:lastPrinted>2025-01-08T12:39:00Z</cp:lastPrinted>
  <dcterms:created xsi:type="dcterms:W3CDTF">2014-09-26T10:49:00Z</dcterms:created>
  <dcterms:modified xsi:type="dcterms:W3CDTF">2025-01-08T12:53:00Z</dcterms:modified>
</cp:coreProperties>
</file>