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00FF2" w:rsidRPr="003F228B" w:rsidRDefault="00A00FF2" w:rsidP="00A00FF2">
      <w:pPr>
        <w:pStyle w:val="Akti"/>
        <w:keepNext w:val="0"/>
        <w:rPr>
          <w:i/>
          <w:lang w:val="sq-AL"/>
        </w:rPr>
      </w:pPr>
      <w:r w:rsidRPr="003F228B">
        <w:rPr>
          <w:lang w:val="sq-AL"/>
        </w:rPr>
        <w:t>VENDIM</w:t>
      </w:r>
      <w:r w:rsidRPr="003F228B">
        <w:rPr>
          <w:i/>
          <w:lang w:val="sq-AL"/>
        </w:rPr>
        <w:t xml:space="preserve"> </w:t>
      </w:r>
    </w:p>
    <w:p w:rsidR="00A00FF2" w:rsidRPr="003F228B" w:rsidRDefault="00A00FF2" w:rsidP="00A00FF2">
      <w:pPr>
        <w:pStyle w:val="NumriData"/>
        <w:keepNext w:val="0"/>
        <w:rPr>
          <w:lang w:val="sq-AL"/>
        </w:rPr>
      </w:pPr>
      <w:r w:rsidRPr="003F228B">
        <w:rPr>
          <w:lang w:val="sq-AL"/>
        </w:rPr>
        <w:t>Nr. 769, datë 12.11.2014</w:t>
      </w:r>
    </w:p>
    <w:p w:rsidR="00A00FF2" w:rsidRPr="003F228B" w:rsidRDefault="00A00FF2" w:rsidP="00A00FF2">
      <w:pPr>
        <w:pStyle w:val="Paragrafi"/>
        <w:rPr>
          <w:sz w:val="14"/>
          <w:lang w:val="sq-AL"/>
        </w:rPr>
      </w:pPr>
    </w:p>
    <w:p w:rsidR="00A00FF2" w:rsidRPr="003F228B" w:rsidRDefault="00A00FF2" w:rsidP="00A00FF2">
      <w:pPr>
        <w:pStyle w:val="Titulli"/>
        <w:keepNext w:val="0"/>
        <w:rPr>
          <w:lang w:val="sq-AL"/>
        </w:rPr>
      </w:pPr>
      <w:r w:rsidRPr="003F228B">
        <w:rPr>
          <w:lang w:val="sq-AL"/>
        </w:rPr>
        <w:t>PËR KALIMIN NË PËRGJEGJËSI ADMINISTRIMI TË MINISTRISË SË DREJTËSISË TË PASURISË SË PALUAJTSHME, TË NDODHUR NË ZONËN KADASTRALE NR. 8380, ME NUMËR PASURIE 6/145,  PËR GJYKATËN KUSHTETUESE</w:t>
      </w:r>
    </w:p>
    <w:p w:rsidR="00A00FF2" w:rsidRPr="003F228B" w:rsidRDefault="00A00FF2" w:rsidP="00A00FF2">
      <w:pPr>
        <w:pStyle w:val="Paragrafi"/>
        <w:rPr>
          <w:sz w:val="14"/>
          <w:lang w:val="sq-AL"/>
        </w:rPr>
      </w:pPr>
    </w:p>
    <w:p w:rsidR="00A00FF2" w:rsidRPr="003F228B" w:rsidRDefault="00A00FF2" w:rsidP="00A00FF2">
      <w:pPr>
        <w:pStyle w:val="Paragrafi"/>
        <w:rPr>
          <w:lang w:val="sq-AL"/>
        </w:rPr>
      </w:pPr>
      <w:r w:rsidRPr="003F228B">
        <w:rPr>
          <w:lang w:val="sq-AL"/>
        </w:rPr>
        <w:t>Në mbështetje të nenit 100 të Kushtetutës dhe të neneve 13 e 14, të  ligjit nr. 8743, datë 22.2.2001, “Për pasuritë e paluajtshme shtetërore”, të ndryshuar, me propozimin e ministrit të Drejtësisë, Këshilli i Ministrave</w:t>
      </w:r>
    </w:p>
    <w:p w:rsidR="00A00FF2" w:rsidRPr="003F228B" w:rsidRDefault="00A00FF2" w:rsidP="00A00FF2">
      <w:pPr>
        <w:pStyle w:val="Paragrafi"/>
        <w:rPr>
          <w:sz w:val="12"/>
          <w:lang w:val="sq-AL"/>
        </w:rPr>
      </w:pPr>
    </w:p>
    <w:p w:rsidR="00A00FF2" w:rsidRPr="003F228B" w:rsidRDefault="00A00FF2" w:rsidP="00A00FF2">
      <w:pPr>
        <w:pStyle w:val="Titull-Titull"/>
        <w:rPr>
          <w:lang w:val="sq-AL"/>
        </w:rPr>
      </w:pPr>
      <w:r w:rsidRPr="003F228B">
        <w:rPr>
          <w:lang w:val="sq-AL"/>
        </w:rPr>
        <w:t>VENDOSI:</w:t>
      </w:r>
    </w:p>
    <w:p w:rsidR="00A00FF2" w:rsidRPr="003F228B" w:rsidRDefault="00A00FF2" w:rsidP="00A00FF2">
      <w:pPr>
        <w:pStyle w:val="Paragrafi"/>
        <w:rPr>
          <w:sz w:val="14"/>
          <w:lang w:val="sq-AL"/>
        </w:rPr>
      </w:pPr>
    </w:p>
    <w:p w:rsidR="00A00FF2" w:rsidRPr="003F228B" w:rsidRDefault="00A00FF2" w:rsidP="00A00FF2">
      <w:pPr>
        <w:pStyle w:val="Paragrafi"/>
        <w:rPr>
          <w:lang w:val="sq-AL"/>
        </w:rPr>
      </w:pPr>
      <w:r w:rsidRPr="003F228B">
        <w:rPr>
          <w:lang w:val="sq-AL"/>
        </w:rPr>
        <w:t>1. Kalimin në përgjegjësi administrimi të Ministrisë së Drejtësisë të pasurisë së paluajtshme, të ndodhur në zonën kadastrale nr. 8380, me  numër pasurie 6/145, me sipërfaqe trualli 859 (tetëqind e pesëdhjetë e nëntë) m</w:t>
      </w:r>
      <w:r w:rsidRPr="003F228B">
        <w:rPr>
          <w:vertAlign w:val="superscript"/>
          <w:lang w:val="sq-AL"/>
        </w:rPr>
        <w:t>2</w:t>
      </w:r>
      <w:r w:rsidRPr="003F228B">
        <w:rPr>
          <w:lang w:val="sq-AL"/>
        </w:rPr>
        <w:t>, me sipërfaqe ndërtimi 518 (pesëqind e tetëmbëdhjetë) m</w:t>
      </w:r>
      <w:r w:rsidRPr="003F228B">
        <w:rPr>
          <w:vertAlign w:val="superscript"/>
          <w:lang w:val="sq-AL"/>
        </w:rPr>
        <w:t>2</w:t>
      </w:r>
      <w:r w:rsidRPr="003F228B">
        <w:rPr>
          <w:lang w:val="sq-AL"/>
        </w:rPr>
        <w:t xml:space="preserve">, me adresë: rruga “Reshit Çollaku”, Tiranë, në funksion të akomodimit të Gjykatës Kushtetuese, sipas kartelës dhe planvendosjes që i bashkëlidhen këtij vendimi. </w:t>
      </w:r>
    </w:p>
    <w:p w:rsidR="00A00FF2" w:rsidRPr="003F228B" w:rsidRDefault="00A00FF2" w:rsidP="00A00FF2">
      <w:pPr>
        <w:pStyle w:val="Paragrafi"/>
        <w:rPr>
          <w:lang w:val="sq-AL"/>
        </w:rPr>
      </w:pPr>
      <w:r w:rsidRPr="003F228B">
        <w:rPr>
          <w:lang w:val="sq-AL"/>
        </w:rPr>
        <w:t xml:space="preserve">2. Objekti i sipërpërmendur të përdoret në funksion të qëllimit dhe të veprimtarisë së Gjykatës Kushtetuese. </w:t>
      </w:r>
    </w:p>
    <w:p w:rsidR="00A00FF2" w:rsidRPr="003F228B" w:rsidRDefault="00A00FF2" w:rsidP="00A00FF2">
      <w:pPr>
        <w:pStyle w:val="Paragrafi"/>
        <w:rPr>
          <w:lang w:val="sq-AL"/>
        </w:rPr>
      </w:pPr>
      <w:r w:rsidRPr="003F228B">
        <w:rPr>
          <w:lang w:val="sq-AL"/>
        </w:rPr>
        <w:t xml:space="preserve">3. Ministria e Drejtësisë nuk mund ta ndryshojë destinacionin e pronës së përcaktuar në pikën 1 të këtij vendimi dhe as ta tjetërsojë atë. </w:t>
      </w:r>
    </w:p>
    <w:p w:rsidR="00A00FF2" w:rsidRPr="003F228B" w:rsidRDefault="00A00FF2" w:rsidP="00A00FF2">
      <w:pPr>
        <w:pStyle w:val="Paragrafi"/>
        <w:rPr>
          <w:lang w:val="sq-AL"/>
        </w:rPr>
      </w:pPr>
      <w:r w:rsidRPr="003F228B">
        <w:rPr>
          <w:lang w:val="sq-AL"/>
        </w:rPr>
        <w:t>4. Ngarkohen Ministria e Drejtësisë, Gjykata Kushtetuese dhe Kryeregjistruesi i Pasurive të Paluajtshme të Republikës së Shqipërisë për zbatimin e këtij vendimi.</w:t>
      </w:r>
    </w:p>
    <w:p w:rsidR="00A00FF2" w:rsidRPr="003F228B" w:rsidRDefault="00A00FF2" w:rsidP="00A00FF2">
      <w:pPr>
        <w:pStyle w:val="Paragrafi"/>
        <w:rPr>
          <w:lang w:val="sq-AL"/>
        </w:rPr>
      </w:pPr>
      <w:r w:rsidRPr="003F228B">
        <w:rPr>
          <w:lang w:val="sq-AL"/>
        </w:rPr>
        <w:t>Ky vendim hyn në fuqi pas botimit në Fletoren Zyrtare.</w:t>
      </w:r>
    </w:p>
    <w:p w:rsidR="00A00FF2" w:rsidRPr="003F228B" w:rsidRDefault="00A00FF2" w:rsidP="00A00FF2">
      <w:pPr>
        <w:pStyle w:val="Paragrafi"/>
        <w:rPr>
          <w:sz w:val="12"/>
          <w:lang w:val="sq-AL"/>
        </w:rPr>
      </w:pPr>
    </w:p>
    <w:p w:rsidR="00A00FF2" w:rsidRPr="003F228B" w:rsidRDefault="00A00FF2" w:rsidP="00A00FF2">
      <w:pPr>
        <w:pStyle w:val="Autoriteti"/>
        <w:keepNext w:val="0"/>
        <w:rPr>
          <w:lang w:val="sq-AL"/>
        </w:rPr>
      </w:pPr>
      <w:r w:rsidRPr="003F228B">
        <w:rPr>
          <w:lang w:val="sq-AL"/>
        </w:rPr>
        <w:t>KRYEMINISTRI</w:t>
      </w:r>
    </w:p>
    <w:p w:rsidR="00A00FF2" w:rsidRPr="003F228B" w:rsidRDefault="00A00FF2" w:rsidP="00A00FF2">
      <w:pPr>
        <w:pStyle w:val="AutoritetiEmer"/>
        <w:rPr>
          <w:lang w:val="sq-AL"/>
        </w:rPr>
      </w:pPr>
      <w:r w:rsidRPr="003F228B">
        <w:rPr>
          <w:lang w:val="sq-AL"/>
        </w:rPr>
        <w:t xml:space="preserve">Edi Rama </w:t>
      </w:r>
    </w:p>
    <w:p w:rsidR="00A00FF2" w:rsidRPr="003F228B" w:rsidRDefault="00A00FF2" w:rsidP="00A00FF2">
      <w:pPr>
        <w:pStyle w:val="Paragrafi"/>
        <w:rPr>
          <w:lang w:val="sq-AL"/>
        </w:rPr>
        <w:sectPr w:rsidR="00A00FF2" w:rsidRPr="003F228B" w:rsidSect="00A13010">
          <w:headerReference w:type="even" r:id="rId6"/>
          <w:pgSz w:w="11907" w:h="16840" w:code="9"/>
          <w:pgMar w:top="1418" w:right="1418" w:bottom="1418" w:left="1418" w:header="1304" w:footer="1134" w:gutter="0"/>
          <w:cols w:space="454"/>
          <w:docGrid w:linePitch="360"/>
        </w:sectPr>
      </w:pPr>
    </w:p>
    <w:p w:rsidR="00A00FF2" w:rsidRPr="003F228B" w:rsidRDefault="00A00FF2" w:rsidP="00A00FF2">
      <w:pPr>
        <w:pStyle w:val="Paragrafi"/>
        <w:ind w:firstLine="0"/>
        <w:jc w:val="center"/>
        <w:rPr>
          <w:lang w:val="sq-AL"/>
        </w:rPr>
      </w:pPr>
      <w:r w:rsidRPr="003F228B">
        <w:rPr>
          <w:noProof/>
        </w:rPr>
        <w:lastRenderedPageBreak/>
        <w:drawing>
          <wp:inline distT="0" distB="0" distL="0" distR="0">
            <wp:extent cx="6120765" cy="8292000"/>
            <wp:effectExtent l="38100" t="19050" r="13335" b="13800"/>
            <wp:docPr id="35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8292000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00FF2" w:rsidRPr="003F228B" w:rsidRDefault="00A00FF2" w:rsidP="00A00FF2">
      <w:pPr>
        <w:pStyle w:val="Paragrafi"/>
        <w:ind w:firstLine="0"/>
        <w:rPr>
          <w:lang w:val="sq-AL"/>
        </w:rPr>
      </w:pPr>
      <w:r w:rsidRPr="003F228B">
        <w:rPr>
          <w:noProof/>
        </w:rPr>
        <w:lastRenderedPageBreak/>
        <w:drawing>
          <wp:inline distT="0" distB="0" distL="0" distR="0">
            <wp:extent cx="6120765" cy="8186877"/>
            <wp:effectExtent l="19050" t="0" r="0" b="0"/>
            <wp:docPr id="36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818687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00FF2" w:rsidRPr="003F228B" w:rsidRDefault="00A00FF2" w:rsidP="00A00FF2">
      <w:pPr>
        <w:pStyle w:val="Paragrafi"/>
        <w:ind w:firstLine="0"/>
        <w:rPr>
          <w:lang w:val="sq-AL"/>
        </w:rPr>
      </w:pPr>
      <w:r w:rsidRPr="003F228B">
        <w:rPr>
          <w:noProof/>
        </w:rPr>
        <w:lastRenderedPageBreak/>
        <w:drawing>
          <wp:inline distT="0" distB="0" distL="0" distR="0">
            <wp:extent cx="6120809" cy="8456210"/>
            <wp:effectExtent l="19050" t="19050" r="13291" b="21040"/>
            <wp:docPr id="37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8456149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A00FF2" w:rsidRPr="003F228B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62CDB" w:rsidRDefault="00D62CDB">
      <w:pPr>
        <w:spacing w:after="0" w:line="240" w:lineRule="auto"/>
      </w:pPr>
      <w:r>
        <w:separator/>
      </w:r>
    </w:p>
  </w:endnote>
  <w:endnote w:type="continuationSeparator" w:id="0">
    <w:p w:rsidR="00D62CDB" w:rsidRDefault="00D62C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62CDB" w:rsidRDefault="00D62CDB">
      <w:pPr>
        <w:spacing w:after="0" w:line="240" w:lineRule="auto"/>
      </w:pPr>
      <w:r>
        <w:separator/>
      </w:r>
    </w:p>
  </w:footnote>
  <w:footnote w:type="continuationSeparator" w:id="0">
    <w:p w:rsidR="00D62CDB" w:rsidRDefault="00D62CD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00" w:type="pct"/>
      <w:jc w:val="center"/>
      <w:tblBorders>
        <w:top w:val="single" w:sz="12" w:space="0" w:color="auto"/>
        <w:bottom w:val="single" w:sz="12" w:space="0" w:color="auto"/>
      </w:tblBorders>
      <w:shd w:val="pct5" w:color="auto" w:fill="F2F2F2"/>
      <w:tblLook w:val="04A0" w:firstRow="1" w:lastRow="0" w:firstColumn="1" w:lastColumn="0" w:noHBand="0" w:noVBand="1"/>
    </w:tblPr>
    <w:tblGrid>
      <w:gridCol w:w="2744"/>
      <w:gridCol w:w="3857"/>
      <w:gridCol w:w="3254"/>
    </w:tblGrid>
    <w:tr w:rsidR="00A56D9B" w:rsidRPr="00EB260B" w:rsidTr="009876D8">
      <w:trPr>
        <w:trHeight w:val="936"/>
        <w:jc w:val="center"/>
      </w:trPr>
      <w:tc>
        <w:tcPr>
          <w:tcW w:w="1392" w:type="pct"/>
          <w:shd w:val="pct5" w:color="auto" w:fill="F2F2F2"/>
          <w:vAlign w:val="center"/>
        </w:tcPr>
        <w:p w:rsidR="00A56D9B" w:rsidRPr="00EB260B" w:rsidRDefault="00A00FF2" w:rsidP="0090375C">
          <w:pPr>
            <w:pStyle w:val="NoSpacing"/>
            <w:spacing w:before="100" w:after="100"/>
            <w:ind w:left="-320" w:firstLine="136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  </w:t>
          </w:r>
          <w:r w:rsidRPr="00EB260B">
            <w:rPr>
              <w:rFonts w:ascii="Garamond" w:hAnsi="Garamond"/>
              <w:b/>
              <w:sz w:val="28"/>
              <w:szCs w:val="28"/>
            </w:rPr>
            <w:t>Fletorja Zyrtare</w:t>
          </w:r>
        </w:p>
      </w:tc>
      <w:tc>
        <w:tcPr>
          <w:tcW w:w="1957" w:type="pct"/>
          <w:shd w:val="pct5" w:color="auto" w:fill="F2F2F2"/>
          <w:vAlign w:val="center"/>
        </w:tcPr>
        <w:p w:rsidR="00A56D9B" w:rsidRPr="00EB260B" w:rsidRDefault="00A00FF2" w:rsidP="0090375C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  </w:t>
          </w:r>
          <w:r>
            <w:rPr>
              <w:noProof/>
              <w:lang w:val="en-US"/>
            </w:rPr>
            <w:drawing>
              <wp:inline distT="0" distB="0" distL="0" distR="0">
                <wp:extent cx="304524" cy="427512"/>
                <wp:effectExtent l="0" t="0" r="635" b="0"/>
                <wp:docPr id="38" name="Picture 3" descr="Stema e Republikes e perfunduar [Converted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Stema e Republikes e perfunduar [Converted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-902" r="-2507" b="-121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538" cy="4275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rPr>
              <w:rFonts w:ascii="Garamond" w:hAnsi="Garamond"/>
              <w:b/>
              <w:sz w:val="28"/>
              <w:szCs w:val="28"/>
            </w:rPr>
            <w:t xml:space="preserve">   </w:t>
          </w:r>
        </w:p>
      </w:tc>
      <w:tc>
        <w:tcPr>
          <w:tcW w:w="1651" w:type="pct"/>
          <w:shd w:val="pct5" w:color="auto" w:fill="F2F2F2"/>
          <w:vAlign w:val="center"/>
        </w:tcPr>
        <w:p w:rsidR="00A56D9B" w:rsidRPr="00EB260B" w:rsidRDefault="00A00FF2" w:rsidP="004E24FA">
          <w:pPr>
            <w:pStyle w:val="NoSpacing"/>
            <w:spacing w:before="100" w:after="100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Viti 2014 – Numri 180</w:t>
          </w:r>
        </w:p>
      </w:tc>
    </w:tr>
  </w:tbl>
  <w:p w:rsidR="00A56D9B" w:rsidRDefault="00D62CD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00FF2"/>
    <w:rsid w:val="002E7553"/>
    <w:rsid w:val="00345DB8"/>
    <w:rsid w:val="00912120"/>
    <w:rsid w:val="00A00FF2"/>
    <w:rsid w:val="00A13010"/>
    <w:rsid w:val="00A3508F"/>
    <w:rsid w:val="00D62CDB"/>
    <w:rsid w:val="00F535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10353D"/>
  <w15:docId w15:val="{A178DE50-F7B0-4E01-8CC5-61122001C2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00FF2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qFormat/>
    <w:rsid w:val="00A00F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customStyle="1" w:styleId="NoSpacingChar">
    <w:name w:val="No Spacing Char"/>
    <w:basedOn w:val="DefaultParagraphFont"/>
    <w:link w:val="NoSpacing"/>
    <w:locked/>
    <w:rsid w:val="00A00FF2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Header">
    <w:name w:val="header"/>
    <w:basedOn w:val="Normal"/>
    <w:link w:val="HeaderChar"/>
    <w:unhideWhenUsed/>
    <w:rsid w:val="00A00FF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A00FF2"/>
    <w:rPr>
      <w:rFonts w:ascii="Calibri" w:eastAsia="Calibri" w:hAnsi="Calibri" w:cs="Times New Roman"/>
    </w:rPr>
  </w:style>
  <w:style w:type="paragraph" w:customStyle="1" w:styleId="Akti">
    <w:name w:val="Akti"/>
    <w:link w:val="AktiChar"/>
    <w:rsid w:val="00A00FF2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A00FF2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A00FF2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A00FF2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A00FF2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A00FF2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A00FF2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A00FF2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A00FF2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A00FF2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A00FF2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A00FF2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A00FF2"/>
    <w:pPr>
      <w:ind w:firstLine="0"/>
      <w:jc w:val="center"/>
    </w:pPr>
    <w:rPr>
      <w:caps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00F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0FF2"/>
    <w:rPr>
      <w:rFonts w:ascii="Tahoma" w:eastAsia="Calibri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A1301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13010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207</Words>
  <Characters>1184</Characters>
  <Application>Microsoft Office Word</Application>
  <DocSecurity>0</DocSecurity>
  <Lines>9</Lines>
  <Paragraphs>2</Paragraphs>
  <ScaleCrop>false</ScaleCrop>
  <Company>Grizli777</Company>
  <LinksUpToDate>false</LinksUpToDate>
  <CharactersWithSpaces>1389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Besiana Aleti</cp:lastModifiedBy>
  <cp:revision>2</cp:revision>
  <dcterms:created xsi:type="dcterms:W3CDTF">2014-12-17T14:04:00Z</dcterms:created>
  <dcterms:modified xsi:type="dcterms:W3CDTF">2025-01-13T11:54:00Z</dcterms:modified>
</cp:coreProperties>
</file>