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1E0" w:rsidRPr="00D424FA" w:rsidRDefault="00CB11E0" w:rsidP="00CB11E0">
      <w:pPr>
        <w:pStyle w:val="Akti"/>
        <w:keepNext w:val="0"/>
        <w:rPr>
          <w:lang w:val="sq-AL"/>
        </w:rPr>
      </w:pPr>
      <w:r w:rsidRPr="00D424FA">
        <w:rPr>
          <w:lang w:val="sq-AL"/>
        </w:rPr>
        <w:t>VENDIM</w:t>
      </w:r>
    </w:p>
    <w:p w:rsidR="00CB11E0" w:rsidRPr="00D424FA" w:rsidRDefault="00CB11E0" w:rsidP="00CB11E0">
      <w:pPr>
        <w:pStyle w:val="NumriData"/>
        <w:keepNext w:val="0"/>
        <w:rPr>
          <w:lang w:val="sq-AL"/>
        </w:rPr>
      </w:pPr>
      <w:bookmarkStart w:id="0" w:name="_GoBack"/>
      <w:r w:rsidRPr="00D424FA">
        <w:rPr>
          <w:lang w:val="sq-AL"/>
        </w:rPr>
        <w:t>Nr. 817, datë 26.11.2014</w:t>
      </w:r>
    </w:p>
    <w:bookmarkEnd w:id="0"/>
    <w:p w:rsidR="00CB11E0" w:rsidRPr="00D424FA" w:rsidRDefault="00CB11E0" w:rsidP="00CB11E0">
      <w:pPr>
        <w:pStyle w:val="Hapesira7"/>
        <w:rPr>
          <w:lang w:val="sq-AL"/>
        </w:rPr>
      </w:pPr>
    </w:p>
    <w:p w:rsidR="00CB11E0" w:rsidRPr="00D424FA" w:rsidRDefault="00CB11E0" w:rsidP="00CB11E0">
      <w:pPr>
        <w:pStyle w:val="Titulli"/>
        <w:keepNext w:val="0"/>
        <w:rPr>
          <w:lang w:val="sq-AL"/>
        </w:rPr>
      </w:pPr>
      <w:r w:rsidRPr="00D424FA">
        <w:rPr>
          <w:lang w:val="sq-AL"/>
        </w:rPr>
        <w:t>PËR DISA NDRYSHIME NË VENDIMIN NR. 27, DATË 19.1.2007, TË KËSHILLIT TË MINISTRAVE, “PËR MIRATIMIN E RREGULLAVE TË VLERËSIMIT DHE TË DHËNIES SË KONCESIONEVE”, TË NDRYSHUAR</w:t>
      </w:r>
    </w:p>
    <w:p w:rsidR="00CB11E0" w:rsidRPr="00D424FA" w:rsidRDefault="00CB11E0" w:rsidP="00CB11E0">
      <w:pPr>
        <w:pStyle w:val="Hapesira7"/>
        <w:rPr>
          <w:lang w:val="sq-AL"/>
        </w:rPr>
      </w:pPr>
    </w:p>
    <w:p w:rsidR="00CB11E0" w:rsidRPr="00D424FA" w:rsidRDefault="00CB11E0" w:rsidP="00CB11E0">
      <w:pPr>
        <w:pStyle w:val="Paragrafi"/>
        <w:rPr>
          <w:lang w:val="sq-AL"/>
        </w:rPr>
      </w:pPr>
      <w:r w:rsidRPr="00D424FA">
        <w:rPr>
          <w:lang w:val="sq-AL"/>
        </w:rPr>
        <w:t xml:space="preserve">Në mbështetje të nenit 100 të Kushtetutës dhe të nenit 48, të ligjit nr. 125/2013, “Për koncesionet dhe partneritetin publik privat”, me propozimin e ministrit të Energjisë dhe Industrisë, Këshilli i Ministrave  </w:t>
      </w:r>
    </w:p>
    <w:p w:rsidR="00CB11E0" w:rsidRDefault="00CB11E0" w:rsidP="00CB11E0">
      <w:pPr>
        <w:pStyle w:val="Paragrafi"/>
        <w:rPr>
          <w:lang w:val="sq-AL"/>
        </w:rPr>
      </w:pPr>
    </w:p>
    <w:p w:rsidR="00CB11E0" w:rsidRPr="00D424FA" w:rsidRDefault="00CB11E0" w:rsidP="00CB11E0">
      <w:pPr>
        <w:pStyle w:val="Paragrafi"/>
        <w:rPr>
          <w:lang w:val="sq-AL"/>
        </w:rPr>
      </w:pPr>
    </w:p>
    <w:p w:rsidR="00CB11E0" w:rsidRDefault="00CB11E0" w:rsidP="00CB11E0">
      <w:pPr>
        <w:pStyle w:val="Titull-Titull"/>
        <w:rPr>
          <w:lang w:val="sq-AL"/>
        </w:rPr>
      </w:pPr>
      <w:r w:rsidRPr="00D424FA">
        <w:rPr>
          <w:lang w:val="sq-AL"/>
        </w:rPr>
        <w:t>VENDOSI:</w:t>
      </w:r>
    </w:p>
    <w:p w:rsidR="00CB11E0" w:rsidRPr="00D424FA" w:rsidRDefault="00CB11E0" w:rsidP="00CB11E0">
      <w:pPr>
        <w:pStyle w:val="Hapesira7"/>
        <w:rPr>
          <w:lang w:val="sq-AL"/>
        </w:rPr>
      </w:pPr>
    </w:p>
    <w:p w:rsidR="00CB11E0" w:rsidRPr="00DA3C2F" w:rsidRDefault="00CB11E0" w:rsidP="00CB11E0">
      <w:pPr>
        <w:pStyle w:val="Paragrafi"/>
        <w:rPr>
          <w:spacing w:val="-4"/>
          <w:lang w:val="sq-AL"/>
        </w:rPr>
      </w:pPr>
      <w:r w:rsidRPr="00D424FA">
        <w:rPr>
          <w:lang w:val="sq-AL"/>
        </w:rPr>
        <w:t xml:space="preserve">1. Në vendimin nr. 27, datë 19.1.2007, të </w:t>
      </w:r>
      <w:r w:rsidRPr="00DA3C2F">
        <w:rPr>
          <w:spacing w:val="-4"/>
          <w:lang w:val="sq-AL"/>
        </w:rPr>
        <w:t>Këshillit të Ministrave, të ndryshuar, bëhen këto ndryshime:</w:t>
      </w:r>
    </w:p>
    <w:p w:rsidR="00CB11E0" w:rsidRPr="00DA3C2F" w:rsidRDefault="00CB11E0" w:rsidP="00CB11E0">
      <w:pPr>
        <w:pStyle w:val="Paragrafi"/>
        <w:rPr>
          <w:spacing w:val="-4"/>
          <w:lang w:val="sq-AL"/>
        </w:rPr>
      </w:pPr>
      <w:r w:rsidRPr="00DA3C2F">
        <w:rPr>
          <w:spacing w:val="-4"/>
          <w:lang w:val="sq-AL"/>
        </w:rPr>
        <w:t>a) Paragrafi i tretë dhe të tjerët në vijim të pikës 2, të kreut IV, “Dokumentet standarde të procedurës konkurruese”, ndryshohen, si më poshtë vijon:</w:t>
      </w:r>
    </w:p>
    <w:p w:rsidR="00CB11E0" w:rsidRPr="00DA3C2F" w:rsidRDefault="00CB11E0" w:rsidP="00CB11E0">
      <w:pPr>
        <w:pStyle w:val="Paragrafi"/>
        <w:rPr>
          <w:spacing w:val="-4"/>
          <w:lang w:val="sq-AL"/>
        </w:rPr>
      </w:pPr>
      <w:r w:rsidRPr="00DA3C2F">
        <w:rPr>
          <w:spacing w:val="-4"/>
          <w:lang w:val="sq-AL"/>
        </w:rPr>
        <w:t>“Për koncesionet e hidrocentraleve deri në 15 MW, në kontratë përfshihen kushtet e përgjithshme apo të veçanta për shitblerjen e energjisë. Kur e kërkon koncesionari, operatori i energjisë elektrike që është ngarkuar me këtë detyrim detyrohet ta blejë energjinë elektrike të prodhuar nga këto hidrocentrale nëpërmjet një kontrate afatgjatë. Çmimi i shitjes së energjisë elektrike të prodhuar nga hidrocentralet e lidhura në sistemin e shpërndarjes dhe çmimi i shitjes së energjisë elektrike të prodhuar nga hidrocentralet e lidhura në sistemin e transmetimit të energjisë elektrike do të llogaritet çdo vit nga Enti Rregullator i Energjisë e do të shpallet prej tij në fillim të çdo viti, në bazë të formulës së mëposhtme:</w:t>
      </w:r>
    </w:p>
    <w:p w:rsidR="00CB11E0" w:rsidRPr="00DA3C2F" w:rsidRDefault="00CB11E0" w:rsidP="00CB11E0">
      <w:pPr>
        <w:pStyle w:val="Paragrafi"/>
        <w:rPr>
          <w:spacing w:val="-4"/>
          <w:lang w:val="sq-AL"/>
        </w:rPr>
      </w:pPr>
      <w:r w:rsidRPr="00DA3C2F">
        <w:rPr>
          <w:spacing w:val="-4"/>
          <w:lang w:val="sq-AL"/>
        </w:rPr>
        <w:t xml:space="preserve"> Çmimi shitjes (lekë/kWh) = Çmimi mesatar i vitit përkatës të bursës hungareze (HUPX) të energjisë elektrike në euro cent /kWh X koeficientin 1.1 (kur është i aplikueshëm) X normën mesatare të këmbimit në euro/lekë për vitin e fundit.</w:t>
      </w:r>
    </w:p>
    <w:p w:rsidR="00CB11E0" w:rsidRPr="00DA3C2F" w:rsidRDefault="00CB11E0" w:rsidP="00CB11E0">
      <w:pPr>
        <w:pStyle w:val="Paragrafi"/>
        <w:rPr>
          <w:spacing w:val="-4"/>
          <w:lang w:val="sq-AL"/>
        </w:rPr>
      </w:pPr>
      <w:r w:rsidRPr="00DA3C2F">
        <w:rPr>
          <w:spacing w:val="-4"/>
          <w:lang w:val="sq-AL"/>
        </w:rPr>
        <w:t xml:space="preserve">- Me çmim mesatar të vitit përkatës të bursës hungareze HUPX të energjisë elektrike kuptohet çmimi mesatar vjetor, i ponderuar për produktin në bandë për vitin, për të cilin ERE do të miratojë tarifën përkatëse, siç publikohet nga bursa e Hungarisë HUPX në faqen e internetit: </w:t>
      </w:r>
      <w:hyperlink r:id="rId5" w:history="1">
        <w:r w:rsidRPr="00DA3C2F">
          <w:rPr>
            <w:rStyle w:val="Hyperlink"/>
            <w:spacing w:val="-4"/>
            <w:lang w:val="sq-AL"/>
          </w:rPr>
          <w:t>www.hupx.hu</w:t>
        </w:r>
      </w:hyperlink>
      <w:r w:rsidRPr="00DA3C2F">
        <w:rPr>
          <w:spacing w:val="-4"/>
          <w:lang w:val="sq-AL"/>
        </w:rPr>
        <w:t xml:space="preserve">), më 1 dhjetor të vitit kur ERE merr vendimin për miratimin e çmimit. </w:t>
      </w:r>
    </w:p>
    <w:p w:rsidR="00CB11E0" w:rsidRPr="00DA3C2F" w:rsidRDefault="00CB11E0" w:rsidP="00CB11E0">
      <w:pPr>
        <w:pStyle w:val="Paragrafi"/>
        <w:rPr>
          <w:spacing w:val="-4"/>
          <w:lang w:val="sq-AL"/>
        </w:rPr>
      </w:pPr>
      <w:r w:rsidRPr="00DA3C2F">
        <w:rPr>
          <w:spacing w:val="-4"/>
          <w:lang w:val="sq-AL"/>
        </w:rPr>
        <w:t xml:space="preserve">- Koeficienti 1.1 llogaritet dhe përfshihet vetëm për përcaktimin e çmimit të energjisë së prodhuar nga hidrocentralet e lidhura në sistemin e shpërndarjes dhe merr në konsideratë reduktimin e humbjeve teknike në këtë rrjet si pasojë e furnizimit të energjisë elektrike në pikat e lidhjes së këtyre hidrocentraleve në rrjetin energjetik të tensionit të mesëm dhe/ose të ulët. </w:t>
      </w:r>
    </w:p>
    <w:p w:rsidR="00CB11E0" w:rsidRPr="00DA3C2F" w:rsidRDefault="00CB11E0" w:rsidP="00CB11E0">
      <w:pPr>
        <w:pStyle w:val="Paragrafi"/>
        <w:rPr>
          <w:spacing w:val="-4"/>
          <w:lang w:val="sq-AL"/>
        </w:rPr>
      </w:pPr>
      <w:r w:rsidRPr="00DA3C2F">
        <w:rPr>
          <w:spacing w:val="-4"/>
          <w:lang w:val="sq-AL"/>
        </w:rPr>
        <w:t>- Me normë mesatare të shkëmbimit euro/lekë të vitit të fundit kuptohet kursi mesatar vjetor i këmbimit nga euro/lekë, i publikuar nga Banka e Shqipërisë për vitin në të cilin ERE merr vendimin.”.</w:t>
      </w:r>
    </w:p>
    <w:p w:rsidR="00CB11E0" w:rsidRPr="00DA3C2F" w:rsidRDefault="00CB11E0" w:rsidP="00CB11E0">
      <w:pPr>
        <w:pStyle w:val="Paragrafi"/>
        <w:rPr>
          <w:spacing w:val="-4"/>
          <w:lang w:val="sq-AL"/>
        </w:rPr>
      </w:pPr>
      <w:r w:rsidRPr="00DA3C2F">
        <w:rPr>
          <w:spacing w:val="-4"/>
          <w:lang w:val="sq-AL"/>
        </w:rPr>
        <w:t xml:space="preserve">b) Paragrafët e katërt, të pestë dhe të gjashtë, të shkronjës “a”, të pikës 2, të kreut V, “Udhëzime për mënyrën e zbatimit të procedurave konkurruese”, shfuqizohen. </w:t>
      </w:r>
    </w:p>
    <w:p w:rsidR="00CB11E0" w:rsidRPr="00DA3C2F" w:rsidRDefault="00CB11E0" w:rsidP="00CB11E0">
      <w:pPr>
        <w:pStyle w:val="Paragrafi"/>
        <w:rPr>
          <w:spacing w:val="-4"/>
          <w:lang w:val="sq-AL"/>
        </w:rPr>
      </w:pPr>
      <w:r w:rsidRPr="00DA3C2F">
        <w:rPr>
          <w:spacing w:val="-4"/>
          <w:lang w:val="sq-AL"/>
        </w:rPr>
        <w:t xml:space="preserve">2. Vendimi nr. 907, datë 12.12.2012, i Këshillit të Ministrave, “Për nxitjen e investimeve private në sektorin e energjisë e prodhimit të energjisë elektrike dhe për disa ndryshime në vendimin nr. 27, datë 19.1.2007, të Këshillit të Ministrave, “Për miratimin e rregullave të vlerësimit dhe të dhënies së koncesioneve””, shfuqizohet. </w:t>
      </w:r>
    </w:p>
    <w:p w:rsidR="00CB11E0" w:rsidRPr="00DA3C2F" w:rsidRDefault="00CB11E0" w:rsidP="00CB11E0">
      <w:pPr>
        <w:pStyle w:val="Paragrafi"/>
        <w:rPr>
          <w:spacing w:val="-4"/>
          <w:lang w:val="sq-AL"/>
        </w:rPr>
      </w:pPr>
      <w:r w:rsidRPr="00DA3C2F">
        <w:rPr>
          <w:spacing w:val="-4"/>
          <w:lang w:val="sq-AL"/>
        </w:rPr>
        <w:t>3. Ngarkohet Ministria e Energjisë dhe Industrisë për zbatimin e këtij vendimi.</w:t>
      </w:r>
    </w:p>
    <w:p w:rsidR="00CB11E0" w:rsidRPr="00DA3C2F" w:rsidRDefault="00CB11E0" w:rsidP="00CB11E0">
      <w:pPr>
        <w:pStyle w:val="Paragrafi"/>
        <w:rPr>
          <w:spacing w:val="-4"/>
          <w:lang w:val="sq-AL"/>
        </w:rPr>
      </w:pPr>
      <w:r w:rsidRPr="00DA3C2F">
        <w:rPr>
          <w:spacing w:val="-4"/>
          <w:lang w:val="sq-AL"/>
        </w:rPr>
        <w:t>Ky vendim hyn në fuqi pas botimit në Fletoren Zyrtare.</w:t>
      </w:r>
    </w:p>
    <w:p w:rsidR="00CB11E0" w:rsidRPr="00D424FA" w:rsidRDefault="00CB11E0" w:rsidP="00CB11E0">
      <w:pPr>
        <w:pStyle w:val="Hapesira7"/>
        <w:rPr>
          <w:lang w:val="sq-AL"/>
        </w:rPr>
      </w:pPr>
    </w:p>
    <w:p w:rsidR="00CB11E0" w:rsidRPr="00D424FA" w:rsidRDefault="00CB11E0" w:rsidP="00CB11E0">
      <w:pPr>
        <w:pStyle w:val="Autoriteti"/>
        <w:rPr>
          <w:lang w:val="sq-AL"/>
        </w:rPr>
      </w:pPr>
      <w:r w:rsidRPr="00D424FA">
        <w:rPr>
          <w:lang w:val="sq-AL"/>
        </w:rPr>
        <w:t>KRYEMINISTRI</w:t>
      </w:r>
    </w:p>
    <w:p w:rsidR="00CB11E0" w:rsidRPr="00D424FA" w:rsidRDefault="00CB11E0" w:rsidP="00CB11E0">
      <w:pPr>
        <w:pStyle w:val="AutoritetiEmer"/>
        <w:rPr>
          <w:lang w:val="sq-AL"/>
        </w:rPr>
      </w:pPr>
      <w:r w:rsidRPr="00D424FA">
        <w:rPr>
          <w:lang w:val="sq-AL"/>
        </w:rPr>
        <w:t>Edi Rama</w:t>
      </w:r>
    </w:p>
    <w:sectPr w:rsidR="00CB11E0" w:rsidRPr="00D424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1E0"/>
    <w:rsid w:val="0087387F"/>
    <w:rsid w:val="00CB11E0"/>
    <w:rsid w:val="00F3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CB11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B11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11E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B11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11E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B11E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B11E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B11E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B11E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B11E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B11E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B11E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B11E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B11E0"/>
    <w:rPr>
      <w:sz w:val="14"/>
      <w:szCs w:val="24"/>
    </w:rPr>
  </w:style>
  <w:style w:type="character" w:styleId="Hyperlink">
    <w:name w:val="Hyperlink"/>
    <w:uiPriority w:val="99"/>
    <w:unhideWhenUsed/>
    <w:rsid w:val="00CB11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CB11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B11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11E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B11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11E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B11E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B11E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B11E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B11E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B11E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B11E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B11E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B11E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B11E0"/>
    <w:rPr>
      <w:sz w:val="14"/>
      <w:szCs w:val="24"/>
    </w:rPr>
  </w:style>
  <w:style w:type="character" w:styleId="Hyperlink">
    <w:name w:val="Hyperlink"/>
    <w:uiPriority w:val="99"/>
    <w:unhideWhenUsed/>
    <w:rsid w:val="00CB11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upx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2014-12-18T11:20:00Z</dcterms:created>
  <dcterms:modified xsi:type="dcterms:W3CDTF">2014-12-18T11:20:00Z</dcterms:modified>
</cp:coreProperties>
</file>