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D52" w:rsidRPr="00F47AF9" w:rsidRDefault="00885D52" w:rsidP="00885D52">
      <w:pPr>
        <w:pStyle w:val="Akti"/>
        <w:keepNext w:val="0"/>
        <w:rPr>
          <w:spacing w:val="-4"/>
          <w:lang w:val="sq-AL"/>
        </w:rPr>
      </w:pPr>
      <w:r w:rsidRPr="00F47AF9">
        <w:rPr>
          <w:spacing w:val="-4"/>
          <w:lang w:val="sq-AL"/>
        </w:rPr>
        <w:t>VENDIM</w:t>
      </w:r>
    </w:p>
    <w:p w:rsidR="00885D52" w:rsidRPr="00F47AF9" w:rsidRDefault="00885D52" w:rsidP="00885D52">
      <w:pPr>
        <w:pStyle w:val="NumriData"/>
        <w:keepNext w:val="0"/>
        <w:rPr>
          <w:spacing w:val="-4"/>
          <w:lang w:val="sq-AL"/>
        </w:rPr>
      </w:pPr>
      <w:r w:rsidRPr="00F47AF9">
        <w:rPr>
          <w:spacing w:val="-4"/>
          <w:lang w:val="sq-AL"/>
        </w:rPr>
        <w:t>Nr. 823, datë 26.11.2014</w:t>
      </w:r>
    </w:p>
    <w:p w:rsidR="00885D52" w:rsidRPr="00F47AF9" w:rsidRDefault="00885D52" w:rsidP="00885D52">
      <w:pPr>
        <w:pStyle w:val="Hapesira7"/>
        <w:rPr>
          <w:spacing w:val="-4"/>
          <w:lang w:val="sq-AL"/>
        </w:rPr>
      </w:pPr>
    </w:p>
    <w:p w:rsidR="00885D52" w:rsidRPr="00F47AF9" w:rsidRDefault="00885D52" w:rsidP="00885D52">
      <w:pPr>
        <w:pStyle w:val="Titulli"/>
        <w:keepNext w:val="0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PËR HEQJEN NGA FONDI PYJOR DHE KULLOSOR TË SIPËRFAQEVE PYJORE NË EKONOMINË PYJORE “DRIN-GJADËR-KIR”, NË QARKUN E SHKODRËS, PËR NDËRTIMIN E HIDROCENTRALIT TË ASHTËS </w:t>
      </w:r>
    </w:p>
    <w:p w:rsidR="00885D52" w:rsidRPr="00F47AF9" w:rsidRDefault="00885D52" w:rsidP="00885D52">
      <w:pPr>
        <w:pStyle w:val="Hapesira7"/>
        <w:rPr>
          <w:spacing w:val="-4"/>
          <w:lang w:val="sq-AL"/>
        </w:rPr>
      </w:pPr>
    </w:p>
    <w:p w:rsidR="00885D52" w:rsidRPr="00F47AF9" w:rsidRDefault="00885D52" w:rsidP="00885D52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Në mbështetje të nenit 100 të Kushtetutës dhe të pikës 1, të nenit 17, të ligjit nr. 9385, datë 4.5.2005, “Për pyjet dhe shërbimin pyjor”, të ndryshuar, me propozimin e ministrit të Mjedisit dhe ministrit të Energjisë dhe Industrisë, Këshilli i Ministrave</w:t>
      </w:r>
    </w:p>
    <w:p w:rsidR="00885D52" w:rsidRPr="00F47AF9" w:rsidRDefault="00885D52" w:rsidP="00885D52">
      <w:pPr>
        <w:pStyle w:val="Hapesira7"/>
        <w:rPr>
          <w:spacing w:val="-4"/>
          <w:sz w:val="8"/>
          <w:lang w:val="sq-AL"/>
        </w:rPr>
      </w:pPr>
    </w:p>
    <w:p w:rsidR="00885D52" w:rsidRPr="00F47AF9" w:rsidRDefault="00885D52" w:rsidP="00885D52">
      <w:pPr>
        <w:pStyle w:val="Titull-Titull"/>
        <w:rPr>
          <w:spacing w:val="-4"/>
          <w:lang w:val="sq-AL"/>
        </w:rPr>
      </w:pPr>
      <w:r w:rsidRPr="00F47AF9">
        <w:rPr>
          <w:spacing w:val="-4"/>
          <w:lang w:val="sq-AL"/>
        </w:rPr>
        <w:t>VENDOSI:</w:t>
      </w:r>
    </w:p>
    <w:p w:rsidR="00885D52" w:rsidRPr="00F47AF9" w:rsidRDefault="00885D52" w:rsidP="00885D52">
      <w:pPr>
        <w:pStyle w:val="Hapesira7"/>
        <w:rPr>
          <w:spacing w:val="-4"/>
          <w:sz w:val="12"/>
          <w:lang w:val="sq-AL"/>
        </w:rPr>
      </w:pPr>
    </w:p>
    <w:p w:rsidR="00885D52" w:rsidRPr="00F47AF9" w:rsidRDefault="00885D52" w:rsidP="001016F8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1. Sipërfaqja pyjore prej 98.62 (nëntëdhjetë e tetë pikë gjashtëdhjetë e dy) ha në ngastrat pyjore 4, 10, 11, 12, 13, 14, të ekonomisë pyjore “Drin-Gjadër-Kir”, pjesë e Fondit Pyjor Publik në Qarkun e Shkodrës, që do të përdoret për ndërtimin dhe shfrytëzimin e hidrocentralit të Ashtës, hiqet nga Fondi Pyjor Publik dhe çregjistrohet nga Kadastra Kombëtare e Pyjeve dhe Kullotave. Të dhënat për ngastrat pyjore dhe sipërfaqet e tyre jepen në tabelën 1 që i bashkëlidhet këtij vendimi.</w:t>
      </w:r>
      <w:bookmarkStart w:id="0" w:name="_GoBack"/>
      <w:bookmarkEnd w:id="0"/>
    </w:p>
    <w:p w:rsidR="00885D52" w:rsidRPr="00F47AF9" w:rsidRDefault="00885D52" w:rsidP="00885D52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2. Sipërfaqet pyjore sipas pikës 1, të këtij vendimi, mbeten pronë publike e shtetit dhe regjistrohen në përgjegjësi administrimi të Ministrisë së Energjisë dhe Industrisë, në funksion të lidhjes së marrëveshjes me shoqërinë “Energji Ashta” sh.p.k. </w:t>
      </w:r>
    </w:p>
    <w:p w:rsidR="00885D52" w:rsidRPr="00F47AF9" w:rsidRDefault="00885D52" w:rsidP="00885D52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3. Me hyrjen në fuqi të këtij vendimi, bëhen ndryshimet përkatëse në regjistrin e Kadastrës Kombëtare të Pyjeve dhe Kullotave dhe në Zyrën Vendore të Regjistrimit të Pasurive të Paluajtshme.</w:t>
      </w:r>
    </w:p>
    <w:p w:rsidR="00885D52" w:rsidRPr="00F47AF9" w:rsidRDefault="00885D52" w:rsidP="00885D52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4. Vlerat përkatëse të pakësimit në volum të lëndës drusore dhe produkteve të tjera pyjore, sipërfaqet dhe investimet e kryera në vite në pyje, objekt i këtij vendimi, paguhen nga shoqëria “Energji Ashta” sh.p.k., në bazë të vendimit nr. 391, datë 21.6.2006, të Këshillit të Ministrave, “Për përcaktimin e tarifave në sektorin e pyjeve dhe kullotave”, të ndryshuar.</w:t>
      </w:r>
    </w:p>
    <w:p w:rsidR="00885D52" w:rsidRPr="00F47AF9" w:rsidRDefault="00885D52" w:rsidP="00885D52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 xml:space="preserve">5. Me hyrjen në fuqi të këtij vendimi, shoqëria “Energji Ashta” sh.p.k., brenda 5 (pesë) viteve, duhet të pyllëzojë me fondet e saj 295.86 (dyqind e nëntëdhjetë e pesë pikë tetëdhjetë e gjashtë) ha, sipërfaqe me drurë pyjorë në ekonomitë pyjore të përcaktuara në marrëveshjen e lidhur ndërmjet shoqërisë “Energji Ashta”, sh.p.k., dhe Ministrisë së Mjedisit. </w:t>
      </w:r>
    </w:p>
    <w:p w:rsidR="00885D52" w:rsidRPr="00F47AF9" w:rsidRDefault="00885D52" w:rsidP="00885D52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6. Ministria e Mjedisit dhe shoqëria “Energji Ashta” sh.p.k., nënshkruajnë marrëveshje të përbashkët për hapat, afatet dhe procedurat për hartimin e projekteve teknike të heqjes së materialit drusor.</w:t>
      </w:r>
    </w:p>
    <w:p w:rsidR="00885D52" w:rsidRPr="00F47AF9" w:rsidRDefault="00885D52" w:rsidP="00885D52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7. Ngarkohen Ministria e Energjisë dhe Industrisë, Ministria e Mjedisit dhe Zyra Vendore e Regjistrimit të Pasurive të Paluajtshme për zbatimin e këtij vendimi.</w:t>
      </w:r>
    </w:p>
    <w:p w:rsidR="00885D52" w:rsidRPr="00F47AF9" w:rsidRDefault="00885D52" w:rsidP="00885D52">
      <w:pPr>
        <w:pStyle w:val="Paragrafi"/>
        <w:rPr>
          <w:spacing w:val="-4"/>
          <w:lang w:val="sq-AL"/>
        </w:rPr>
      </w:pPr>
      <w:r w:rsidRPr="00F47AF9">
        <w:rPr>
          <w:spacing w:val="-4"/>
          <w:lang w:val="sq-AL"/>
        </w:rPr>
        <w:t>Ky vendim hyn në fuqi pas botimit në Fletoren Zyrtare.</w:t>
      </w:r>
    </w:p>
    <w:p w:rsidR="00885D52" w:rsidRPr="00F47AF9" w:rsidRDefault="00885D52" w:rsidP="00885D52">
      <w:pPr>
        <w:pStyle w:val="Hapesira7"/>
        <w:rPr>
          <w:spacing w:val="-4"/>
          <w:sz w:val="4"/>
          <w:lang w:val="sq-AL"/>
        </w:rPr>
      </w:pPr>
    </w:p>
    <w:p w:rsidR="00885D52" w:rsidRPr="00F47AF9" w:rsidRDefault="00885D52" w:rsidP="00885D52">
      <w:pPr>
        <w:pStyle w:val="Autoriteti"/>
        <w:keepNext w:val="0"/>
        <w:rPr>
          <w:spacing w:val="-4"/>
          <w:lang w:val="sq-AL"/>
        </w:rPr>
      </w:pPr>
      <w:r w:rsidRPr="00F47AF9">
        <w:rPr>
          <w:spacing w:val="-4"/>
          <w:lang w:val="sq-AL"/>
        </w:rPr>
        <w:t>KRYEMINISTRI</w:t>
      </w:r>
    </w:p>
    <w:p w:rsidR="00885D52" w:rsidRPr="00F47AF9" w:rsidRDefault="00885D52" w:rsidP="00885D52">
      <w:pPr>
        <w:pStyle w:val="AutoritetiEmer"/>
        <w:rPr>
          <w:spacing w:val="-4"/>
          <w:lang w:val="sq-AL"/>
        </w:rPr>
      </w:pPr>
      <w:r w:rsidRPr="00F47AF9">
        <w:rPr>
          <w:spacing w:val="-4"/>
          <w:lang w:val="sq-AL"/>
        </w:rPr>
        <w:t>Edi Rama</w:t>
      </w:r>
    </w:p>
    <w:p w:rsidR="00885D52" w:rsidRPr="00D424FA" w:rsidRDefault="00885D52" w:rsidP="00885D52">
      <w:pPr>
        <w:pStyle w:val="Paragrafi"/>
        <w:rPr>
          <w:szCs w:val="24"/>
          <w:lang w:val="sq-AL"/>
        </w:rPr>
      </w:pPr>
    </w:p>
    <w:p w:rsidR="00885D52" w:rsidRPr="00D424FA" w:rsidRDefault="00885D52" w:rsidP="00885D52">
      <w:pPr>
        <w:pStyle w:val="Paragrafi"/>
        <w:ind w:firstLine="0"/>
        <w:rPr>
          <w:lang w:val="sq-AL"/>
        </w:rPr>
      </w:pPr>
      <w:r w:rsidRPr="00D424FA">
        <w:rPr>
          <w:noProof/>
        </w:rPr>
        <w:lastRenderedPageBreak/>
        <w:drawing>
          <wp:inline distT="0" distB="0" distL="0" distR="0" wp14:anchorId="3A39A31D" wp14:editId="50336E8B">
            <wp:extent cx="6118315" cy="3267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268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5D52" w:rsidRPr="00D424FA" w:rsidRDefault="00885D52" w:rsidP="00885D52">
      <w:pPr>
        <w:pStyle w:val="Paragrafi"/>
        <w:rPr>
          <w:lang w:val="sq-AL"/>
        </w:rPr>
      </w:pPr>
    </w:p>
    <w:p w:rsidR="0087387F" w:rsidRDefault="0087387F"/>
    <w:sectPr w:rsidR="0087387F">
      <w:headerReference w:type="even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0CD" w:rsidRDefault="00CE00CD">
      <w:pPr>
        <w:spacing w:after="0" w:line="240" w:lineRule="auto"/>
      </w:pPr>
      <w:r>
        <w:separator/>
      </w:r>
    </w:p>
  </w:endnote>
  <w:endnote w:type="continuationSeparator" w:id="0">
    <w:p w:rsidR="00CE00CD" w:rsidRDefault="00CE0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0CD" w:rsidRDefault="00CE00CD">
      <w:pPr>
        <w:spacing w:after="0" w:line="240" w:lineRule="auto"/>
      </w:pPr>
      <w:r>
        <w:separator/>
      </w:r>
    </w:p>
  </w:footnote>
  <w:footnote w:type="continuationSeparator" w:id="0">
    <w:p w:rsidR="00CE00CD" w:rsidRDefault="00CE0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66"/>
      <w:gridCol w:w="3748"/>
      <w:gridCol w:w="3162"/>
    </w:tblGrid>
    <w:tr w:rsidR="00041298" w:rsidRPr="00EB260B" w:rsidTr="009F35CC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41298" w:rsidRPr="00EB260B" w:rsidRDefault="00885D52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41298" w:rsidRPr="00EB260B" w:rsidRDefault="00885D52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  <w:r>
            <w:rPr>
              <w:noProof/>
              <w:lang w:val="en-US"/>
            </w:rPr>
            <w:drawing>
              <wp:inline distT="0" distB="0" distL="0" distR="0" wp14:anchorId="2B83C641" wp14:editId="795973FE">
                <wp:extent cx="304524" cy="427512"/>
                <wp:effectExtent l="0" t="0" r="635" b="0"/>
                <wp:docPr id="27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</w:t>
          </w:r>
        </w:p>
      </w:tc>
      <w:tc>
        <w:tcPr>
          <w:tcW w:w="1651" w:type="pct"/>
          <w:shd w:val="pct5" w:color="auto" w:fill="F2F2F2"/>
          <w:vAlign w:val="center"/>
        </w:tcPr>
        <w:p w:rsidR="00041298" w:rsidRPr="00EB260B" w:rsidRDefault="00885D52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188</w:t>
          </w:r>
        </w:p>
      </w:tc>
    </w:tr>
  </w:tbl>
  <w:p w:rsidR="00041298" w:rsidRDefault="00CE00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D52"/>
    <w:rsid w:val="001016F8"/>
    <w:rsid w:val="0087387F"/>
    <w:rsid w:val="00885D52"/>
    <w:rsid w:val="00CE00CD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43B2B"/>
  <w15:docId w15:val="{8EB52944-AA00-46CC-8FB3-E8A65C60C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D5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styleId="NoSpacing">
    <w:name w:val="No Spacing"/>
    <w:link w:val="NoSpacingChar"/>
    <w:qFormat/>
    <w:rsid w:val="0088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885D5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8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D5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885D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85D5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85D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85D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85D5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85D5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85D5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85D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85D5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85D5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85D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85D5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85D5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85D5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D52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01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Besiana Aleti</cp:lastModifiedBy>
  <cp:revision>2</cp:revision>
  <dcterms:created xsi:type="dcterms:W3CDTF">2014-12-18T11:23:00Z</dcterms:created>
  <dcterms:modified xsi:type="dcterms:W3CDTF">2025-01-13T12:07:00Z</dcterms:modified>
</cp:coreProperties>
</file>