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376E" w:rsidRPr="00D424FA" w:rsidRDefault="006B376E" w:rsidP="006B376E">
      <w:pPr>
        <w:pStyle w:val="Akti"/>
        <w:keepNext w:val="0"/>
        <w:rPr>
          <w:lang w:val="sq-AL"/>
        </w:rPr>
      </w:pPr>
      <w:r w:rsidRPr="00D424FA">
        <w:rPr>
          <w:lang w:val="sq-AL"/>
        </w:rPr>
        <w:t>VENDIM</w:t>
      </w:r>
    </w:p>
    <w:p w:rsidR="006B376E" w:rsidRPr="00D424FA" w:rsidRDefault="006B376E" w:rsidP="006B376E">
      <w:pPr>
        <w:pStyle w:val="NumriData"/>
        <w:keepNext w:val="0"/>
        <w:rPr>
          <w:lang w:val="sq-AL"/>
        </w:rPr>
      </w:pPr>
      <w:bookmarkStart w:id="0" w:name="_GoBack"/>
      <w:r w:rsidRPr="00D424FA">
        <w:rPr>
          <w:lang w:val="sq-AL"/>
        </w:rPr>
        <w:t>Nr. 824, datë 26.11.2014</w:t>
      </w:r>
    </w:p>
    <w:bookmarkEnd w:id="0"/>
    <w:p w:rsidR="006B376E" w:rsidRPr="00D424FA" w:rsidRDefault="006B376E" w:rsidP="006B376E">
      <w:pPr>
        <w:pStyle w:val="Hapesira7"/>
        <w:rPr>
          <w:lang w:val="sq-AL"/>
        </w:rPr>
      </w:pPr>
    </w:p>
    <w:p w:rsidR="006B376E" w:rsidRPr="00D424FA" w:rsidRDefault="006B376E" w:rsidP="006B376E">
      <w:pPr>
        <w:pStyle w:val="Titulli"/>
        <w:keepNext w:val="0"/>
        <w:rPr>
          <w:lang w:val="sq-AL"/>
        </w:rPr>
      </w:pPr>
      <w:r w:rsidRPr="00D424FA">
        <w:rPr>
          <w:lang w:val="sq-AL"/>
        </w:rPr>
        <w:t>PËR HEQJEN NGA FONDI PYJOR DHE KULLOSOR TË SIPËRFAQES NË EKONOMINË PYJORE “QESHIBËS-LIQETH”, TË RRETHIT SKRAPAR, QË DO TË PËRDORET NGA SHOQËRIA “DOBRUSHI 2010”</w:t>
      </w:r>
      <w:r>
        <w:rPr>
          <w:lang w:val="sq-AL"/>
        </w:rPr>
        <w:t xml:space="preserve"> SH</w:t>
      </w:r>
      <w:r w:rsidRPr="00D424FA">
        <w:rPr>
          <w:lang w:val="sq-AL"/>
        </w:rPr>
        <w:t>PK, PËR USHTRIMIN E AKTIVITETIT MINERAR NË SHFRYTËZIMIN E MINERALIT TË RANORIT SILICOR</w:t>
      </w:r>
    </w:p>
    <w:p w:rsidR="006B376E" w:rsidRPr="00D424FA" w:rsidRDefault="006B376E" w:rsidP="006B376E">
      <w:pPr>
        <w:pStyle w:val="Hapesira7"/>
        <w:rPr>
          <w:lang w:val="sq-AL"/>
        </w:rPr>
      </w:pP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>Në mbështetje të nenit 100 të Kushtetutës dhe të pikës 1, të nenit 17, të ligjit nr.</w:t>
      </w:r>
      <w:r>
        <w:rPr>
          <w:lang w:val="sq-AL"/>
        </w:rPr>
        <w:t xml:space="preserve"> </w:t>
      </w:r>
      <w:r w:rsidRPr="00D424FA">
        <w:rPr>
          <w:lang w:val="sq-AL"/>
        </w:rPr>
        <w:t>9385, datë 4.5.2005, “Për pyjet dhe shërbimin pyjor”, të ndryshuar, me propozimin e ministrit të Mjedisit dhe ministrit të Energjisë dhe Industrisë, Këshilli i Ministrave</w:t>
      </w:r>
    </w:p>
    <w:p w:rsidR="006B376E" w:rsidRPr="00F47AF9" w:rsidRDefault="006B376E" w:rsidP="006B376E">
      <w:pPr>
        <w:pStyle w:val="Hapesira7"/>
        <w:rPr>
          <w:sz w:val="4"/>
          <w:lang w:val="sq-AL"/>
        </w:rPr>
      </w:pPr>
    </w:p>
    <w:p w:rsidR="006B376E" w:rsidRPr="00D424FA" w:rsidRDefault="006B376E" w:rsidP="006B376E">
      <w:pPr>
        <w:pStyle w:val="Titull-Titull"/>
        <w:rPr>
          <w:lang w:val="sq-AL"/>
        </w:rPr>
      </w:pPr>
      <w:r w:rsidRPr="00D424FA">
        <w:rPr>
          <w:lang w:val="sq-AL"/>
        </w:rPr>
        <w:t>VENDOSI:</w:t>
      </w:r>
    </w:p>
    <w:p w:rsidR="006B376E" w:rsidRPr="00D424FA" w:rsidRDefault="006B376E" w:rsidP="006B376E">
      <w:pPr>
        <w:pStyle w:val="Hapesira7"/>
        <w:rPr>
          <w:lang w:val="sq-AL"/>
        </w:rPr>
      </w:pPr>
    </w:p>
    <w:p w:rsidR="006B376E" w:rsidRPr="00D424FA" w:rsidRDefault="006B376E" w:rsidP="006B376E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424FA">
        <w:rPr>
          <w:lang w:val="sq-AL"/>
        </w:rPr>
        <w:t>Sipërfaqja pyjore prej 6.8 (gjashtë pikë tetë) ha në ngastrat 192a dhe 193a të ekonomisë pyjore “Qeshibës-Liqeth”, objekt i aktivitetit minerar për shfrytëzimin e mineralit të ranorit silicor nga shoqëria “Dobrushi 2010” sh.p.k., të hiqet nga Fondi Pyjor dhe Kullosor Publik dhe të çregjistrohet nga Kadastra Kombëtare e Pyjeve dhe Kullotave. Sipërfaqja, sipas ngastrave pyjore dhe kullosore, jepet në tabelën 1, bashkëlidhur këtij vendimi.</w:t>
      </w:r>
    </w:p>
    <w:p w:rsidR="006B376E" w:rsidRPr="00D424FA" w:rsidRDefault="006B376E" w:rsidP="006B376E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424FA">
        <w:rPr>
          <w:lang w:val="sq-AL"/>
        </w:rPr>
        <w:t>Vlerat përkatëse të pakësimit të volumit të lëndës drusore, produkteve të tjera pyjore e jopyjore, sipërfaqes së hequr dhe e infrastrukturës së saj paguhen nga subjekti “Dobrushi 2010” sh.p.k., në bazë të vendimit nr.</w:t>
      </w:r>
      <w:r>
        <w:rPr>
          <w:lang w:val="sq-AL"/>
        </w:rPr>
        <w:t xml:space="preserve"> </w:t>
      </w:r>
      <w:r w:rsidRPr="00D424FA">
        <w:rPr>
          <w:lang w:val="sq-AL"/>
        </w:rPr>
        <w:t>391, datë 21.6.2006, të Këshillit të Ministrave, “Për përcaktimin e tarifave në sektorin e pyjeve dhe kullotave”, të ndryshuar.</w:t>
      </w:r>
    </w:p>
    <w:p w:rsidR="006B376E" w:rsidRPr="00D424FA" w:rsidRDefault="006B376E" w:rsidP="006B376E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D424FA">
        <w:rPr>
          <w:lang w:val="sq-AL"/>
        </w:rPr>
        <w:t>Me hyrjen në fuqi të këtij vendimi, shoqëria “Dobrushi 2010” sh.p.k., detyrohet të rehabilitojë sipërfaqen e marrë në shfrytëzim sipas kushteve të lejes mjedisore dhe, brenda 3 (tri) viteve të para, të pyllëzojë me fondet e veta një sipërfaqe prej 14.14 (katërmbëdhjetë pikë katërmbëdhjetë) ha në ngastrat e përcaktuara në marrëveshjen me Ministrinë e Mjedisit.</w:t>
      </w: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>4. Ministria e Mjedisit dhe shoqëria “Dobrushi 2010” sh.p.k., nënshkruajnë marrëveshje të përbashkët për hapat, afatet dhe procedurat për hartimin dhe realizimin e projekteve teknike lidhur me detyrimet sipas pikës 3, të këtij vendimi.</w:t>
      </w: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>5. Sipërfaqja pyjore sipas pikës 1, të këtij vendimi, mbetet pronë publike e shtetit dhe regjistrohet në përgjegjësi administrimi të Ministrisë së Energjisë dhe Industrisë.</w:t>
      </w: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 xml:space="preserve"> 6. Zyra e Regjistrimit të Pasurive të Paluajtshme bën çregjistrimin e sipërfaqes pyjore të identifikuar sipas pikës 1, të këtij vendimi, nga kategoria “Tokë pyjore/kullosore” dhe e regjistron në kategorinë “Tokë e zënë, objekt shfrytëzimi për aktivitet minerar”.</w:t>
      </w: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>7. Me përmbushjen e detyrimeve të përcaktuara në planin e rehabilitimit të sipërfaqes sipas lejes mjedisore nga shoqëria “Dobrushi 2010” sh.p.k., sipërfaqja e rehabilituar të regjistrohet si fond pyjor dhe kullosor.</w:t>
      </w: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 xml:space="preserve">8. </w:t>
      </w:r>
      <w:r w:rsidRPr="00D424FA">
        <w:rPr>
          <w:lang w:val="sq-AL"/>
        </w:rPr>
        <w:tab/>
        <w:t>Ngarkohen Ministria e Mjedisit, Ministria e Energjisë dhe Industrisë, Zyra Vendore e Regjistrimit të Pasurive të Paluajtshme dhe shoqëria “Dobrushi 2010” sh.p.k., për zbatimin e këtij vendimi.</w:t>
      </w:r>
    </w:p>
    <w:p w:rsidR="006B376E" w:rsidRPr="00D424FA" w:rsidRDefault="006B376E" w:rsidP="006B376E">
      <w:pPr>
        <w:pStyle w:val="Paragrafi"/>
        <w:rPr>
          <w:lang w:val="sq-AL"/>
        </w:rPr>
      </w:pPr>
      <w:r w:rsidRPr="00D424FA">
        <w:rPr>
          <w:lang w:val="sq-AL"/>
        </w:rPr>
        <w:t>Ky vendim hyn në fuqi pas botimit në Fletoren Zyrtare.</w:t>
      </w:r>
    </w:p>
    <w:p w:rsidR="006B376E" w:rsidRPr="00D424FA" w:rsidRDefault="006B376E" w:rsidP="006B376E">
      <w:pPr>
        <w:pStyle w:val="Hapesira7"/>
        <w:rPr>
          <w:lang w:val="sq-AL"/>
        </w:rPr>
      </w:pPr>
    </w:p>
    <w:p w:rsidR="006B376E" w:rsidRPr="00D424FA" w:rsidRDefault="006B376E" w:rsidP="006B376E">
      <w:pPr>
        <w:pStyle w:val="Autoriteti"/>
        <w:keepNext w:val="0"/>
        <w:rPr>
          <w:lang w:val="sq-AL"/>
        </w:rPr>
      </w:pPr>
      <w:r w:rsidRPr="00D424FA">
        <w:rPr>
          <w:lang w:val="sq-AL"/>
        </w:rPr>
        <w:t>KRYEMINISTRI</w:t>
      </w:r>
    </w:p>
    <w:p w:rsidR="006B376E" w:rsidRDefault="006B376E" w:rsidP="006B376E">
      <w:pPr>
        <w:pStyle w:val="AutoritetiEmer"/>
        <w:rPr>
          <w:lang w:val="sq-AL"/>
        </w:rPr>
      </w:pPr>
      <w:r w:rsidRPr="00D424FA">
        <w:rPr>
          <w:lang w:val="sq-AL"/>
        </w:rPr>
        <w:t>Edi Rama</w:t>
      </w:r>
    </w:p>
    <w:p w:rsidR="006B376E" w:rsidRPr="006B376E" w:rsidRDefault="006B376E" w:rsidP="006B376E"/>
    <w:p w:rsidR="006B376E" w:rsidRPr="00D424FA" w:rsidRDefault="006B376E" w:rsidP="006B376E">
      <w:pPr>
        <w:pStyle w:val="Paragrafi"/>
        <w:rPr>
          <w:lang w:val="sq-AL"/>
        </w:rPr>
      </w:pPr>
    </w:p>
    <w:p w:rsidR="006B376E" w:rsidRPr="00D424FA" w:rsidRDefault="006B376E" w:rsidP="006B376E">
      <w:pPr>
        <w:pStyle w:val="Paragrafi"/>
        <w:ind w:firstLine="0"/>
        <w:rPr>
          <w:lang w:val="sq-AL"/>
        </w:rPr>
      </w:pPr>
      <w:r w:rsidRPr="00D424FA">
        <w:rPr>
          <w:noProof/>
        </w:rPr>
        <w:lastRenderedPageBreak/>
        <w:drawing>
          <wp:inline distT="0" distB="0" distL="0" distR="0" wp14:anchorId="2E2078CC" wp14:editId="2EC6EB13">
            <wp:extent cx="6120765" cy="2239129"/>
            <wp:effectExtent l="19050" t="0" r="0" b="0"/>
            <wp:docPr id="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239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376E" w:rsidRPr="00D424FA" w:rsidRDefault="006B376E" w:rsidP="006B376E">
      <w:pPr>
        <w:pStyle w:val="Paragrafi"/>
        <w:rPr>
          <w:lang w:val="sq-AL"/>
        </w:rPr>
      </w:pPr>
    </w:p>
    <w:p w:rsidR="0087387F" w:rsidRDefault="0087387F"/>
    <w:sectPr w:rsidR="008738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376E"/>
    <w:rsid w:val="006B376E"/>
    <w:rsid w:val="0087387F"/>
    <w:rsid w:val="00F3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6B376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B376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376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B37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376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B376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B376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B376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B376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B376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B376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B376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B376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B376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6E"/>
    <w:rPr>
      <w:rFonts w:ascii="Tahoma" w:hAnsi="Tahoma" w:cs="Tahoma"/>
      <w:noProof/>
      <w:sz w:val="16"/>
      <w:szCs w:val="16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yle2">
    <w:name w:val="Style2"/>
    <w:basedOn w:val="DefaultParagraphFont"/>
    <w:uiPriority w:val="1"/>
    <w:qFormat/>
    <w:rsid w:val="00F3369A"/>
    <w:rPr>
      <w:rFonts w:ascii="Calibri" w:eastAsia="Times New Roman" w:hAnsi="Calibri" w:cs="Times New Roman"/>
      <w:sz w:val="24"/>
      <w:szCs w:val="24"/>
      <w:lang w:val="en-GB" w:eastAsia="en-GB"/>
    </w:rPr>
  </w:style>
  <w:style w:type="paragraph" w:customStyle="1" w:styleId="Akti">
    <w:name w:val="Akti"/>
    <w:link w:val="AktiChar"/>
    <w:rsid w:val="006B376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6B376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376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6B376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6B376E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6B376E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6B376E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6B376E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6B376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6B376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6B376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6B376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6B376E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6B376E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3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376E"/>
    <w:rPr>
      <w:rFonts w:ascii="Tahoma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1</cp:revision>
  <dcterms:created xsi:type="dcterms:W3CDTF">2014-12-18T11:23:00Z</dcterms:created>
  <dcterms:modified xsi:type="dcterms:W3CDTF">2014-12-18T11:24:00Z</dcterms:modified>
</cp:coreProperties>
</file>