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3D" w:rsidRPr="004F347C" w:rsidRDefault="0047773D" w:rsidP="0047773D">
      <w:pPr>
        <w:pStyle w:val="Titulli"/>
        <w:rPr>
          <w:lang w:val="sq-AL"/>
        </w:rPr>
      </w:pPr>
      <w:r w:rsidRPr="004F347C">
        <w:rPr>
          <w:lang w:val="sq-AL"/>
        </w:rPr>
        <w:t>VENDIM</w:t>
      </w:r>
    </w:p>
    <w:p w:rsidR="0047773D" w:rsidRPr="004F347C" w:rsidRDefault="0047773D" w:rsidP="0047773D">
      <w:pPr>
        <w:pStyle w:val="Titulli"/>
        <w:rPr>
          <w:lang w:val="sq-AL"/>
        </w:rPr>
      </w:pPr>
      <w:r w:rsidRPr="004F347C">
        <w:rPr>
          <w:caps w:val="0"/>
          <w:lang w:val="sq-AL"/>
        </w:rPr>
        <w:t xml:space="preserve">Nr. </w:t>
      </w:r>
      <w:r w:rsidRPr="004F347C">
        <w:rPr>
          <w:lang w:val="sq-AL"/>
        </w:rPr>
        <w:t xml:space="preserve">24, </w:t>
      </w:r>
      <w:r w:rsidRPr="004F347C">
        <w:rPr>
          <w:caps w:val="0"/>
          <w:lang w:val="sq-AL"/>
        </w:rPr>
        <w:t>datë</w:t>
      </w:r>
      <w:r w:rsidRPr="004F347C">
        <w:rPr>
          <w:lang w:val="sq-AL"/>
        </w:rPr>
        <w:t xml:space="preserve"> </w:t>
      </w:r>
      <w:r>
        <w:rPr>
          <w:lang w:val="sq-AL"/>
        </w:rPr>
        <w:t>14.</w:t>
      </w:r>
      <w:r w:rsidRPr="004F347C">
        <w:rPr>
          <w:lang w:val="sq-AL"/>
        </w:rPr>
        <w:t xml:space="preserve">1.2015 </w:t>
      </w:r>
    </w:p>
    <w:p w:rsidR="0047773D" w:rsidRPr="0091299C" w:rsidRDefault="0047773D" w:rsidP="0047773D">
      <w:pPr>
        <w:pStyle w:val="Paragrafi"/>
        <w:rPr>
          <w:sz w:val="14"/>
          <w:lang w:val="sq-AL"/>
        </w:rPr>
      </w:pPr>
    </w:p>
    <w:p w:rsidR="0047773D" w:rsidRPr="004F347C" w:rsidRDefault="0047773D" w:rsidP="0047773D">
      <w:pPr>
        <w:pStyle w:val="Paragrafi"/>
        <w:jc w:val="center"/>
        <w:rPr>
          <w:b/>
          <w:szCs w:val="24"/>
          <w:lang w:val="sq-AL"/>
        </w:rPr>
      </w:pPr>
      <w:r w:rsidRPr="004F347C">
        <w:rPr>
          <w:b/>
          <w:szCs w:val="24"/>
          <w:lang w:val="sq-AL"/>
        </w:rPr>
        <w:t>PËR MIRATIMIN E STRUKTURËS DHE MËNYRËS SË FUNKSIONIMIT E ORGANIZIMIT TË AGJENCISË KOMBËTARE TË BARNAVE DHE PAJISJEVE MJEKËSORE</w:t>
      </w:r>
    </w:p>
    <w:p w:rsidR="00A60645" w:rsidRPr="00A60645" w:rsidRDefault="00A60645" w:rsidP="00A60645">
      <w:pPr>
        <w:autoSpaceDE w:val="0"/>
        <w:autoSpaceDN w:val="0"/>
        <w:adjustRightInd w:val="0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  <w:r w:rsidRPr="00A60645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(ndryshuar me vendimin n</w:t>
      </w:r>
      <w:r w:rsidRPr="00A60645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r. 331, datë 18.5.2022</w:t>
      </w:r>
      <w:r w:rsidRPr="00A60645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)</w:t>
      </w:r>
    </w:p>
    <w:p w:rsidR="00A60645" w:rsidRPr="00A60645" w:rsidRDefault="00A60645" w:rsidP="00A60645">
      <w:pPr>
        <w:autoSpaceDE w:val="0"/>
        <w:autoSpaceDN w:val="0"/>
        <w:adjustRightInd w:val="0"/>
        <w:jc w:val="right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  <w:r w:rsidRPr="00A60645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(i përditësuar)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Në mbështetje të nenit 100 të Kushtetutës, të nenit 17, të ligjit nr.</w:t>
      </w:r>
      <w:r>
        <w:rPr>
          <w:szCs w:val="24"/>
          <w:lang w:val="sq-AL"/>
        </w:rPr>
        <w:t xml:space="preserve"> 105/2014, datë 31.</w:t>
      </w:r>
      <w:r w:rsidRPr="004F347C">
        <w:rPr>
          <w:szCs w:val="24"/>
          <w:lang w:val="sq-AL"/>
        </w:rPr>
        <w:t>7.2014 “Për barnat dhe shërbimin farmaceutik”, dhe të ligjit nr.</w:t>
      </w:r>
      <w:r>
        <w:rPr>
          <w:szCs w:val="24"/>
          <w:lang w:val="sq-AL"/>
        </w:rPr>
        <w:t xml:space="preserve"> 89/2014, datë 17.</w:t>
      </w:r>
      <w:r w:rsidRPr="004F347C">
        <w:rPr>
          <w:szCs w:val="24"/>
          <w:lang w:val="sq-AL"/>
        </w:rPr>
        <w:t>7.2014, “Për pajisjet mjekësore”, me propozimin e ministrit të Shëndetësisë, Këshilli i Ministrave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4F347C" w:rsidRDefault="0047773D" w:rsidP="0047773D">
      <w:pPr>
        <w:pStyle w:val="Paragrafi"/>
        <w:jc w:val="center"/>
        <w:rPr>
          <w:szCs w:val="24"/>
          <w:lang w:val="sq-AL"/>
        </w:rPr>
      </w:pPr>
      <w:r w:rsidRPr="004F347C">
        <w:rPr>
          <w:szCs w:val="24"/>
          <w:lang w:val="sq-AL"/>
        </w:rPr>
        <w:t>VENDOSI: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A60645" w:rsidRDefault="0047773D" w:rsidP="0047773D">
      <w:pPr>
        <w:pStyle w:val="Paragrafi"/>
        <w:rPr>
          <w:i/>
          <w:szCs w:val="24"/>
          <w:lang w:val="sq-AL"/>
        </w:rPr>
      </w:pPr>
      <w:r w:rsidRPr="004F347C">
        <w:rPr>
          <w:szCs w:val="24"/>
          <w:lang w:val="sq-AL"/>
        </w:rPr>
        <w:t xml:space="preserve">1. Qendra Kombëtare e Kontrollit të Barnave bëhet Agjencia Kombëtare e Barnave dhe Pajisjeve Mjekësore (këtu më poshtë e quajtur Agjencia), </w:t>
      </w:r>
      <w:r w:rsidR="00A60645" w:rsidRPr="00A60645">
        <w:rPr>
          <w:rFonts w:eastAsiaTheme="minorHAnsi"/>
          <w:i/>
          <w:color w:val="000000"/>
          <w:szCs w:val="24"/>
          <w:lang w:val="sq-AL"/>
        </w:rPr>
        <w:t xml:space="preserve">sipas strukturës dhe organikës, të përcaktuara në skemat 1 dhe 2, që i </w:t>
      </w:r>
      <w:r w:rsidR="00A60645" w:rsidRPr="00A60645">
        <w:rPr>
          <w:rFonts w:eastAsiaTheme="minorHAnsi"/>
          <w:i/>
          <w:color w:val="000000"/>
          <w:szCs w:val="24"/>
          <w:lang w:val="sq-AL"/>
        </w:rPr>
        <w:t>bashkëlidhen këtij vendimi</w:t>
      </w:r>
      <w:r w:rsidRPr="00A60645">
        <w:rPr>
          <w:i/>
          <w:szCs w:val="24"/>
          <w:lang w:val="sq-AL"/>
        </w:rPr>
        <w:t>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2. Agjencia është një institucion në varësi të ministrisë përgjegjëse për shëndetësinë, e specializuar për analizën dhe kontrollin e barnave, për dhënien e autorizimit për tregtim, për inspektimin e veprimtarive në fushën farmaceutike, për farmako – vigjilencën dhe për administrimin e standardeve të pajisjeve mjekësore.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3. Agjencia ka këto përgjegjësi: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a) Zbaton të gjitha detyrimet ligjore, të përcaktuara në legjislacionin në fuqi, për vendosjen në treg, eksportin, tregtimin dhe përdorimin e barnave, të barnave homeopatike</w:t>
      </w:r>
      <w:r>
        <w:rPr>
          <w:szCs w:val="24"/>
          <w:lang w:val="sq-AL"/>
        </w:rPr>
        <w:t>,</w:t>
      </w:r>
      <w:r w:rsidRPr="004F347C">
        <w:rPr>
          <w:szCs w:val="24"/>
          <w:lang w:val="sq-AL"/>
        </w:rPr>
        <w:t xml:space="preserve"> si dhe të pajisjeve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b)  </w:t>
      </w:r>
      <w:r>
        <w:rPr>
          <w:szCs w:val="24"/>
          <w:lang w:val="sq-AL"/>
        </w:rPr>
        <w:t>Ndërmerr</w:t>
      </w:r>
      <w:r w:rsidRPr="004F347C">
        <w:rPr>
          <w:szCs w:val="24"/>
          <w:lang w:val="sq-AL"/>
        </w:rPr>
        <w:t xml:space="preserve"> të gjitha</w:t>
      </w:r>
      <w:r>
        <w:rPr>
          <w:szCs w:val="24"/>
          <w:lang w:val="sq-AL"/>
        </w:rPr>
        <w:t xml:space="preserve"> veprimet</w:t>
      </w:r>
      <w:r w:rsidRPr="004F347C">
        <w:rPr>
          <w:szCs w:val="24"/>
          <w:lang w:val="sq-AL"/>
        </w:rPr>
        <w:t xml:space="preserve"> e nevojshme për zbatimin</w:t>
      </w:r>
      <w:r>
        <w:rPr>
          <w:szCs w:val="24"/>
          <w:lang w:val="sq-AL"/>
        </w:rPr>
        <w:t xml:space="preserve"> e detyrimeve që lidhen me farmako</w:t>
      </w:r>
      <w:r w:rsidRPr="004F347C">
        <w:rPr>
          <w:szCs w:val="24"/>
          <w:lang w:val="sq-AL"/>
        </w:rPr>
        <w:t xml:space="preserve"> – vigjilencën;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c) Miraton, sipas rregullave të parashikuara në </w:t>
      </w:r>
      <w:r>
        <w:rPr>
          <w:szCs w:val="24"/>
          <w:lang w:val="sq-AL"/>
        </w:rPr>
        <w:t>ligj, formatin e publicitetit për barnat</w:t>
      </w:r>
      <w:r w:rsidRPr="004F347C">
        <w:rPr>
          <w:szCs w:val="24"/>
          <w:lang w:val="sq-AL"/>
        </w:rPr>
        <w:t>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ç) Bashkëpunon me institucione analoge jashtë vendit për çështje të ndryshme të fushës farmaceutike dhe </w:t>
      </w:r>
      <w:r>
        <w:rPr>
          <w:szCs w:val="24"/>
          <w:lang w:val="sq-AL"/>
        </w:rPr>
        <w:t xml:space="preserve">të </w:t>
      </w:r>
      <w:r w:rsidRPr="004F347C">
        <w:rPr>
          <w:szCs w:val="24"/>
          <w:lang w:val="sq-AL"/>
        </w:rPr>
        <w:t>pajisjeve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d) Lidh, me autorizimin e ministrit përgje</w:t>
      </w:r>
      <w:r>
        <w:rPr>
          <w:szCs w:val="24"/>
          <w:lang w:val="sq-AL"/>
        </w:rPr>
        <w:t>gj</w:t>
      </w:r>
      <w:r w:rsidRPr="004F347C">
        <w:rPr>
          <w:szCs w:val="24"/>
          <w:lang w:val="sq-AL"/>
        </w:rPr>
        <w:t>ës për shëndetësinë, marrëveshje reciprociteti me institucione homologe të vendeve të tjera;</w:t>
      </w:r>
    </w:p>
    <w:p w:rsidR="0047773D" w:rsidRPr="0091299C" w:rsidRDefault="0047773D" w:rsidP="0047773D">
      <w:pPr>
        <w:pStyle w:val="Paragrafi"/>
        <w:rPr>
          <w:spacing w:val="-4"/>
          <w:szCs w:val="24"/>
          <w:lang w:val="sq-AL"/>
        </w:rPr>
      </w:pPr>
      <w:r w:rsidRPr="004F347C">
        <w:rPr>
          <w:szCs w:val="24"/>
          <w:lang w:val="sq-AL"/>
        </w:rPr>
        <w:t xml:space="preserve">dh) Propozon, pranë ministrisë përgjegjëse për shëndetësinë, ndryshime në aktet ligjore dhe </w:t>
      </w:r>
      <w:r w:rsidRPr="0091299C">
        <w:rPr>
          <w:spacing w:val="-4"/>
          <w:szCs w:val="24"/>
          <w:lang w:val="sq-AL"/>
        </w:rPr>
        <w:t>nënligjore, me qëllim plotësimin dhe përmirësimin e legjislacionit përkatës;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e) Harton projektbuxhetin dhe e paraqet atë pranë ministrisë përgjegjëse për shëndetësinë për miratim;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ë) Kryen procesin e regjistrimit dhe të inspektimit, bazuar në standardet e parashikuara për pajisjet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f) Zhvillon procesin e inspektimit në përputhje me aktet ligjore dhe ato nënligjore.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4. Marrëdhëniet e punës së punonjësve të Agjencisë rregullohen nga dispozitat e ligjit nr.</w:t>
      </w:r>
      <w:r>
        <w:rPr>
          <w:szCs w:val="24"/>
          <w:lang w:val="sq-AL"/>
        </w:rPr>
        <w:t xml:space="preserve"> 7961, datë 12.</w:t>
      </w:r>
      <w:r w:rsidRPr="004F347C">
        <w:rPr>
          <w:szCs w:val="24"/>
          <w:lang w:val="sq-AL"/>
        </w:rPr>
        <w:t>7.1995, “Kodi i Punës i Republikës së Shqipërisë”, të ndryshuar.</w:t>
      </w:r>
    </w:p>
    <w:p w:rsidR="0047773D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5. Mënyra dhe procedurat e punësimit, lëvizjet dhe transferimi i stafit të Agjencisë miratohen nga ministri përgjegjës për shëndetësinë.</w:t>
      </w:r>
    </w:p>
    <w:p w:rsidR="00A60645" w:rsidRPr="00A60645" w:rsidRDefault="00A60645" w:rsidP="00A60645">
      <w:pPr>
        <w:autoSpaceDE w:val="0"/>
        <w:autoSpaceDN w:val="0"/>
        <w:adjustRightInd w:val="0"/>
        <w:rPr>
          <w:rFonts w:ascii="Garamond" w:eastAsiaTheme="minorHAnsi" w:hAnsi="Garamond"/>
          <w:i/>
          <w:color w:val="000000"/>
          <w:sz w:val="24"/>
          <w:szCs w:val="24"/>
          <w:lang w:val="sq-AL"/>
        </w:rPr>
      </w:pPr>
      <w:r w:rsidRPr="00A60645">
        <w:rPr>
          <w:rFonts w:ascii="Garamond" w:eastAsiaTheme="minorHAnsi" w:hAnsi="Garamond"/>
          <w:i/>
          <w:color w:val="000000"/>
          <w:sz w:val="24"/>
          <w:szCs w:val="24"/>
          <w:lang w:val="sq-AL"/>
        </w:rPr>
        <w:t>5.1 Rregullorja për organizimin dhe funksionimin e Agjencisë Kombëtare të Barnave dhe Pajisjeve Mjekësore miratohet me urdhër të ministri</w:t>
      </w:r>
      <w:r w:rsidRPr="00A60645">
        <w:rPr>
          <w:rFonts w:ascii="Garamond" w:eastAsiaTheme="minorHAnsi" w:hAnsi="Garamond"/>
          <w:i/>
          <w:color w:val="000000"/>
          <w:sz w:val="24"/>
          <w:szCs w:val="24"/>
          <w:lang w:val="sq-AL"/>
        </w:rPr>
        <w:t>t përgjegjës për shëndetësinë.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6. Agjencia drejtohet nga drejtori i Agjencisë, i cili emërohet dhe lirohet nga ministri përgjegjës për shëndetësinë, sipas kritereve dhe procedurave përkatëse.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7. Drejtori i Agjencisë ka këto përgjegjësi kryesore: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a) Drejton dhe bashkërendon detyrat e punonjësve, me qëllim përmbushjen me sukses të rolit të Agjencisë;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b) Administron fondet buxhetore dhe fondet e tjera, të krijuara sipas legjislacionit në fuqi, për funksionimin normal të Agjencisë;</w:t>
      </w:r>
    </w:p>
    <w:p w:rsidR="0047773D" w:rsidRPr="0091299C" w:rsidRDefault="0047773D" w:rsidP="0047773D">
      <w:pPr>
        <w:pStyle w:val="Paragrafi"/>
        <w:rPr>
          <w:spacing w:val="-4"/>
          <w:szCs w:val="24"/>
          <w:lang w:val="sq-AL"/>
        </w:rPr>
      </w:pPr>
      <w:r w:rsidRPr="0091299C">
        <w:rPr>
          <w:spacing w:val="-4"/>
          <w:szCs w:val="24"/>
          <w:lang w:val="sq-AL"/>
        </w:rPr>
        <w:t>c</w:t>
      </w:r>
      <w:r w:rsidRPr="00A60645">
        <w:rPr>
          <w:i/>
          <w:spacing w:val="-4"/>
          <w:szCs w:val="24"/>
          <w:lang w:val="sq-AL"/>
        </w:rPr>
        <w:t xml:space="preserve">) </w:t>
      </w:r>
      <w:r w:rsidR="00A60645" w:rsidRPr="00A60645">
        <w:rPr>
          <w:i/>
          <w:spacing w:val="-4"/>
          <w:szCs w:val="24"/>
          <w:lang w:val="sq-AL"/>
        </w:rPr>
        <w:t>Shfuqizuar</w:t>
      </w:r>
      <w:r w:rsidRPr="00A60645">
        <w:rPr>
          <w:i/>
          <w:spacing w:val="-4"/>
          <w:szCs w:val="24"/>
          <w:lang w:val="sq-AL"/>
        </w:rPr>
        <w:t>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ç) Bashkëpunon ngushtë me instituc</w:t>
      </w:r>
      <w:r>
        <w:rPr>
          <w:szCs w:val="24"/>
          <w:lang w:val="sq-AL"/>
        </w:rPr>
        <w:t>ione të ndryshme dhe organizata</w:t>
      </w:r>
      <w:r w:rsidRPr="004F347C">
        <w:rPr>
          <w:szCs w:val="24"/>
          <w:lang w:val="sq-AL"/>
        </w:rPr>
        <w:t xml:space="preserve"> që veprojnë në fushën farmaceutike dhe të pajisjeve mjekësore, brenda dhe jashtë vendit;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lastRenderedPageBreak/>
        <w:t>d) Përfaqëson Agjencinë në marrëdhënie me të tjerët;</w:t>
      </w:r>
    </w:p>
    <w:p w:rsidR="00A60645" w:rsidRPr="00A60645" w:rsidRDefault="00A60645" w:rsidP="0047773D">
      <w:pPr>
        <w:pStyle w:val="Paragrafi"/>
        <w:rPr>
          <w:rFonts w:eastAsiaTheme="minorHAnsi"/>
          <w:i/>
          <w:color w:val="000000"/>
          <w:szCs w:val="24"/>
          <w:lang w:val="sq-AL"/>
        </w:rPr>
      </w:pPr>
      <w:r w:rsidRPr="00A60645">
        <w:rPr>
          <w:rFonts w:eastAsiaTheme="minorHAnsi"/>
          <w:i/>
          <w:color w:val="000000"/>
          <w:szCs w:val="24"/>
          <w:lang w:val="sq-AL"/>
        </w:rPr>
        <w:t xml:space="preserve">dh) miraton përshkrimet e punës për të </w:t>
      </w:r>
      <w:r w:rsidRPr="00A60645">
        <w:rPr>
          <w:rFonts w:eastAsiaTheme="minorHAnsi"/>
          <w:i/>
          <w:color w:val="000000"/>
          <w:szCs w:val="24"/>
          <w:lang w:val="sq-AL"/>
        </w:rPr>
        <w:t>gjithë punonjësit e Agjencisë.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8. Ngarkohet Ministria e Shëndetësisë për zbatimin e këtij vendimi.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Ky vendim hyn në fuqi pas botimit në Fletoren Zyrtare.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91299C" w:rsidRDefault="0047773D" w:rsidP="0047773D">
      <w:pPr>
        <w:pStyle w:val="Paragrafi"/>
        <w:jc w:val="right"/>
        <w:rPr>
          <w:lang w:val="sq-AL"/>
        </w:rPr>
      </w:pPr>
      <w:r w:rsidRPr="0091299C">
        <w:rPr>
          <w:lang w:val="sq-AL"/>
        </w:rPr>
        <w:t>KRYEMINISTRI</w:t>
      </w:r>
    </w:p>
    <w:p w:rsidR="0047773D" w:rsidRPr="00BA2FB0" w:rsidRDefault="0047773D" w:rsidP="0047773D">
      <w:pPr>
        <w:pStyle w:val="Paragrafi"/>
        <w:jc w:val="right"/>
        <w:rPr>
          <w:b/>
          <w:lang w:val="sq-AL"/>
        </w:rPr>
      </w:pPr>
      <w:r w:rsidRPr="00BA2FB0">
        <w:rPr>
          <w:b/>
          <w:lang w:val="sq-AL"/>
        </w:rPr>
        <w:t>Edi Rama</w:t>
      </w:r>
    </w:p>
    <w:p w:rsidR="0047773D" w:rsidRPr="00BA2FB0" w:rsidRDefault="0047773D" w:rsidP="0047773D">
      <w:pPr>
        <w:pStyle w:val="Paragrafi"/>
        <w:rPr>
          <w:b/>
          <w:szCs w:val="24"/>
          <w:lang w:val="sq-AL"/>
        </w:rPr>
        <w:sectPr w:rsidR="0047773D" w:rsidRPr="00BA2FB0" w:rsidSect="004A55F9">
          <w:headerReference w:type="even" r:id="rId8"/>
          <w:footerReference w:type="even" r:id="rId9"/>
          <w:pgSz w:w="11907" w:h="16840" w:code="9"/>
          <w:pgMar w:top="720" w:right="1134" w:bottom="720" w:left="1134" w:header="851" w:footer="851" w:gutter="0"/>
          <w:pgNumType w:start="1469"/>
          <w:cols w:space="454"/>
          <w:docGrid w:linePitch="360"/>
        </w:sectPr>
      </w:pPr>
    </w:p>
    <w:p w:rsidR="0047773D" w:rsidRDefault="0047773D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</w:pPr>
      <w:bookmarkStart w:id="0" w:name="_GoBack"/>
      <w:bookmarkEnd w:id="0"/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Pr="00A60645" w:rsidRDefault="00A60645" w:rsidP="00A60645">
      <w:pPr>
        <w:autoSpaceDE w:val="0"/>
        <w:autoSpaceDN w:val="0"/>
        <w:adjustRightInd w:val="0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  <w:r w:rsidRPr="00A60645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(ndryshuar me vendimin nr. 331, datë 18.5.2022)</w:t>
      </w:r>
    </w:p>
    <w:p w:rsidR="00A60645" w:rsidRDefault="00A60645" w:rsidP="0047773D">
      <w:pPr>
        <w:pStyle w:val="Paragrafi"/>
        <w:jc w:val="center"/>
        <w:rPr>
          <w:lang w:val="sq-AL"/>
        </w:rPr>
      </w:pPr>
    </w:p>
    <w:p w:rsidR="00A60645" w:rsidRDefault="00A60645" w:rsidP="0047773D">
      <w:pPr>
        <w:pStyle w:val="Paragrafi"/>
        <w:jc w:val="center"/>
        <w:rPr>
          <w:lang w:val="sq-AL"/>
        </w:rPr>
        <w:sectPr w:rsidR="00A60645" w:rsidSect="004A55F9">
          <w:headerReference w:type="even" r:id="rId10"/>
          <w:headerReference w:type="default" r:id="rId11"/>
          <w:type w:val="continuous"/>
          <w:pgSz w:w="11907" w:h="16840" w:code="9"/>
          <w:pgMar w:top="720" w:right="1134" w:bottom="720" w:left="1134" w:header="851" w:footer="851" w:gutter="0"/>
          <w:pgNumType w:start="1485"/>
          <w:cols w:space="720"/>
          <w:docGrid w:linePitch="360"/>
        </w:sectPr>
      </w:pPr>
    </w:p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/>
          <w:sz w:val="24"/>
          <w:szCs w:val="24"/>
          <w:lang w:val="sq-AL"/>
        </w:rPr>
      </w:pPr>
    </w:p>
    <w:bookmarkStart w:id="1" w:name="RANGE!A1:D58"/>
    <w:bookmarkEnd w:id="1"/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="MS Mincho" w:hAnsi="Garamond"/>
          <w:sz w:val="24"/>
          <w:szCs w:val="24"/>
          <w:lang w:val="sq-AL"/>
        </w:rPr>
      </w:pPr>
      <w:r w:rsidRPr="00A60645">
        <w:rPr>
          <w:rFonts w:ascii="Garamond" w:eastAsia="MS Mincho" w:hAnsi="Garamond"/>
          <w:sz w:val="24"/>
          <w:szCs w:val="24"/>
          <w:lang w:val="sq-AL"/>
        </w:rPr>
        <w:object w:dxaOrig="16031" w:dyaOrig="6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pt;height:217.2pt" o:ole="">
            <v:imagedata r:id="rId12" o:title=""/>
          </v:shape>
          <o:OLEObject Type="Embed" ProgID="Visio.Drawing.15" ShapeID="_x0000_i1025" DrawAspect="Content" ObjectID="_1715067266" r:id="rId13"/>
        </w:object>
      </w:r>
    </w:p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eastAsia="MS Mincho" w:hAnsi="Garamond"/>
          <w:sz w:val="24"/>
          <w:szCs w:val="24"/>
          <w:lang w:val="sq-AL"/>
        </w:rPr>
      </w:pPr>
      <w:r w:rsidRPr="00A60645">
        <w:rPr>
          <w:rFonts w:ascii="Garamond" w:eastAsia="MS Mincho" w:hAnsi="Garamond"/>
          <w:sz w:val="24"/>
          <w:szCs w:val="24"/>
          <w:lang w:val="sq-AL"/>
        </w:rPr>
        <w:t>SKEMA 2</w:t>
      </w:r>
    </w:p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="MS Mincho" w:hAnsi="Garamond"/>
          <w:sz w:val="24"/>
          <w:szCs w:val="24"/>
          <w:lang w:val="sq-AL"/>
        </w:rPr>
      </w:pPr>
    </w:p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="MS Mincho" w:hAnsi="Garamond"/>
          <w:sz w:val="24"/>
          <w:szCs w:val="24"/>
          <w:lang w:val="sq-AL"/>
        </w:rPr>
      </w:pPr>
      <w:r w:rsidRPr="00A60645">
        <w:rPr>
          <w:rFonts w:ascii="Garamond" w:eastAsia="MS Mincho" w:hAnsi="Garamond"/>
          <w:sz w:val="24"/>
          <w:szCs w:val="24"/>
          <w:lang w:val="sq-AL"/>
        </w:rPr>
        <w:t>ORGANIKA E AGJENCISË KOMBËTARE TË BARNAVE DHE PAJISJEVE MJEKËSORE</w:t>
      </w:r>
    </w:p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="MS Mincho" w:hAnsi="Garamond"/>
          <w:sz w:val="24"/>
          <w:szCs w:val="20"/>
          <w:lang w:val="sq-AL"/>
        </w:rPr>
      </w:pPr>
    </w:p>
    <w:tbl>
      <w:tblPr>
        <w:tblStyle w:val="TableGrid"/>
        <w:tblW w:w="102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3"/>
        <w:gridCol w:w="1000"/>
      </w:tblGrid>
      <w:tr w:rsidR="00A60645" w:rsidRPr="00A60645" w:rsidTr="00910512">
        <w:trPr>
          <w:jc w:val="center"/>
        </w:trPr>
        <w:tc>
          <w:tcPr>
            <w:tcW w:w="9243" w:type="dxa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000" w:type="dxa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NUMRI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I. </w:t>
            </w: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 xml:space="preserve">DREJTOR 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II. </w:t>
            </w: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ZV/DREJTOR TEKNIK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III. </w:t>
            </w: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ZV/DREJTOR EKONOMIK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q-AL"/>
              </w:rPr>
              <w:t xml:space="preserve">IV. </w:t>
            </w: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KOORDINATOR I RRJETIT TË KOORDINATORËVE KUNDËR KORRUPSIONIT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V.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PAJISJEVE MJEKËSORE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5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FARMACIST/MJEK/INXHINIER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VI.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FARMAKOVIGJILENCËS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5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FARMACIST/MJEK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VII.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AUTORIZIMIT PËR TREGTIM &amp; ÇËSHTJEVE RREGULLATORE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12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MJEK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VIII.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SHPËRNDARJES SË BARNAVE DHE PAJISJEVE MJEKËSORE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8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 INSPEKTOR PËR KONTROLLIN FARMACEUTIK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TEKNIK I MESËM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IX.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INSPEKTIMIT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21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 INSPEKTOR PËR KONTROLLIN FARMACEUTIK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lastRenderedPageBreak/>
              <w:t>MJEK/INXHINIER PËR PAJISJET MJEKËSORE (PËR INSPEKTIMIN E PAJISJEVE MJEKËSORE)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X.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LABORATORI I KONTROLLIT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19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ANALIST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LABORANT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XI.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INFORMACIONIT DHE KOMUNIKIMIT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4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FARMACIST/MJEK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XII.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BURIMEVE NJERËZORE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6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SPECIALIST (JURIST)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SPECIALIST (PËR BURIMET NJERËZORE &amp; MARRËDHËNIET ME PUBLIKUN)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ARKIVIST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PROTOKOLLIST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NËPUNËS INFORMACIONI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XIII.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ÇËSHTJEVE JURIDIKE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SPECIALIST (JURIST)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</w:p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sq-AL"/>
              </w:rPr>
              <w:t xml:space="preserve">XIV. </w:t>
            </w:r>
            <w:r w:rsidRPr="00A60645">
              <w:rPr>
                <w:rFonts w:ascii="Times New Roman" w:eastAsia="MS Mincho" w:hAnsi="Times New Roman"/>
                <w:b/>
                <w:sz w:val="20"/>
                <w:szCs w:val="20"/>
                <w:lang w:val="sq-AL"/>
              </w:rPr>
              <w:t>SEKTORI I FINANCËS &amp; SHËRBIMEVE MBËSHTETËSE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12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SHEF SEKTORI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SPECIALIST (EKONOMIST)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SHOFER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SANITAR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sz w:val="20"/>
                <w:szCs w:val="20"/>
                <w:lang w:val="sq-AL"/>
              </w:rPr>
              <w:t>PUNONJËS MIRËMBAJTJEJE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sz w:val="20"/>
                <w:szCs w:val="20"/>
                <w:lang w:val="sq-AL"/>
              </w:rPr>
            </w:pP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bottom"/>
          </w:tcPr>
          <w:p w:rsidR="00A60645" w:rsidRPr="00A60645" w:rsidRDefault="00A60645" w:rsidP="00A60645">
            <w:pPr>
              <w:ind w:firstLine="0"/>
              <w:jc w:val="left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000" w:type="dxa"/>
            <w:vAlign w:val="bottom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A60645" w:rsidRPr="00A60645" w:rsidTr="00910512">
        <w:trPr>
          <w:jc w:val="center"/>
        </w:trPr>
        <w:tc>
          <w:tcPr>
            <w:tcW w:w="9243" w:type="dxa"/>
            <w:vAlign w:val="center"/>
          </w:tcPr>
          <w:p w:rsidR="00A60645" w:rsidRPr="00A60645" w:rsidRDefault="00A60645" w:rsidP="00A60645">
            <w:pPr>
              <w:ind w:firstLine="0"/>
              <w:jc w:val="right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PUNONJËS GJITHSEJ</w:t>
            </w:r>
          </w:p>
        </w:tc>
        <w:tc>
          <w:tcPr>
            <w:tcW w:w="1000" w:type="dxa"/>
            <w:vAlign w:val="center"/>
          </w:tcPr>
          <w:p w:rsidR="00A60645" w:rsidRPr="00A60645" w:rsidRDefault="00A60645" w:rsidP="00A60645">
            <w:pPr>
              <w:ind w:firstLine="0"/>
              <w:jc w:val="center"/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</w:pPr>
            <w:r w:rsidRPr="00A60645">
              <w:rPr>
                <w:rFonts w:ascii="Times New Roman" w:eastAsia="MS Mincho" w:hAnsi="Times New Roman"/>
                <w:b/>
                <w:color w:val="000000"/>
                <w:sz w:val="20"/>
                <w:szCs w:val="20"/>
                <w:lang w:val="sq-AL"/>
              </w:rPr>
              <w:t>99</w:t>
            </w:r>
          </w:p>
        </w:tc>
      </w:tr>
    </w:tbl>
    <w:p w:rsidR="00A60645" w:rsidRPr="00A60645" w:rsidRDefault="00A60645" w:rsidP="00A60645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ascii="Garamond" w:eastAsia="MS Mincho" w:hAnsi="Garamond"/>
          <w:b/>
          <w:sz w:val="24"/>
          <w:szCs w:val="20"/>
          <w:lang w:val="sq-AL"/>
        </w:rPr>
      </w:pPr>
    </w:p>
    <w:p w:rsidR="0047773D" w:rsidRDefault="0047773D" w:rsidP="0047773D">
      <w:pPr>
        <w:pStyle w:val="Paragrafi"/>
        <w:jc w:val="center"/>
        <w:rPr>
          <w:lang w:val="sq-AL"/>
        </w:rPr>
      </w:pPr>
    </w:p>
    <w:p w:rsidR="0047773D" w:rsidRDefault="0047773D" w:rsidP="0047773D">
      <w:pPr>
        <w:rPr>
          <w:lang w:val="sq-AL"/>
        </w:rPr>
      </w:pPr>
    </w:p>
    <w:p w:rsidR="0047773D" w:rsidRPr="0091299C" w:rsidRDefault="0047773D" w:rsidP="0047773D">
      <w:pPr>
        <w:tabs>
          <w:tab w:val="left" w:pos="8139"/>
        </w:tabs>
        <w:rPr>
          <w:lang w:val="sq-AL"/>
        </w:rPr>
      </w:pPr>
      <w:r>
        <w:rPr>
          <w:lang w:val="sq-AL"/>
        </w:rPr>
        <w:tab/>
      </w:r>
    </w:p>
    <w:p w:rsidR="0047773D" w:rsidRPr="004F347C" w:rsidRDefault="0047773D" w:rsidP="0047773D">
      <w:pPr>
        <w:pStyle w:val="Paragrafi"/>
        <w:ind w:firstLine="0"/>
        <w:rPr>
          <w:lang w:val="sq-AL"/>
        </w:rPr>
      </w:pPr>
    </w:p>
    <w:p w:rsidR="0047773D" w:rsidRPr="004F347C" w:rsidRDefault="0047773D" w:rsidP="0047773D">
      <w:pPr>
        <w:pStyle w:val="Paragrafi"/>
        <w:rPr>
          <w:lang w:val="sq-AL"/>
        </w:rPr>
      </w:pPr>
    </w:p>
    <w:p w:rsidR="0047773D" w:rsidRPr="004F347C" w:rsidRDefault="0047773D" w:rsidP="00A60645">
      <w:pPr>
        <w:pStyle w:val="Paragrafi"/>
        <w:ind w:firstLine="0"/>
        <w:rPr>
          <w:lang w:val="sq-AL"/>
        </w:rPr>
      </w:pPr>
    </w:p>
    <w:p w:rsidR="0047773D" w:rsidRDefault="0047773D" w:rsidP="0047773D">
      <w:pPr>
        <w:pStyle w:val="Akti"/>
        <w:keepNext w:val="0"/>
        <w:rPr>
          <w:lang w:val="sq-AL"/>
        </w:rPr>
      </w:pPr>
    </w:p>
    <w:p w:rsidR="0047773D" w:rsidRDefault="0047773D" w:rsidP="0047773D">
      <w:pPr>
        <w:pStyle w:val="Akti"/>
        <w:keepNext w:val="0"/>
        <w:rPr>
          <w:lang w:val="sq-AL"/>
        </w:rPr>
      </w:pPr>
    </w:p>
    <w:p w:rsidR="00FD57DC" w:rsidRDefault="00844CF8"/>
    <w:sectPr w:rsidR="00FD57DC" w:rsidSect="004A5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CF8" w:rsidRDefault="00844CF8">
      <w:pPr>
        <w:spacing w:after="0" w:line="240" w:lineRule="auto"/>
      </w:pPr>
      <w:r>
        <w:separator/>
      </w:r>
    </w:p>
  </w:endnote>
  <w:endnote w:type="continuationSeparator" w:id="0">
    <w:p w:rsidR="00844CF8" w:rsidRDefault="0084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</w:rPr>
      <w:id w:val="16489403"/>
      <w:docPartObj>
        <w:docPartGallery w:val="Page Numbers (Bottom of Page)"/>
        <w:docPartUnique/>
      </w:docPartObj>
    </w:sdtPr>
    <w:sdtEndPr/>
    <w:sdtContent>
      <w:p w:rsidR="00423533" w:rsidRPr="00CB3235" w:rsidRDefault="0047773D">
        <w:pPr>
          <w:pStyle w:val="Footer"/>
          <w:rPr>
            <w:rFonts w:ascii="Garamond" w:hAnsi="Garamond"/>
            <w:sz w:val="24"/>
          </w:rPr>
        </w:pPr>
        <w:proofErr w:type="spellStart"/>
        <w:r>
          <w:rPr>
            <w:rFonts w:ascii="Garamond" w:hAnsi="Garamond"/>
            <w:sz w:val="24"/>
          </w:rPr>
          <w:t>Faq</w:t>
        </w:r>
        <w:r w:rsidRPr="00CB3235">
          <w:rPr>
            <w:rFonts w:ascii="Garamond" w:hAnsi="Garamond"/>
            <w:sz w:val="24"/>
          </w:rPr>
          <w:t>e</w:t>
        </w:r>
        <w:proofErr w:type="spellEnd"/>
        <w:r w:rsidRPr="00CB3235">
          <w:rPr>
            <w:rFonts w:ascii="Garamond" w:hAnsi="Garamond"/>
            <w:sz w:val="24"/>
          </w:rPr>
          <w:t xml:space="preserve"> | </w:t>
        </w:r>
        <w:r w:rsidRPr="00CB3235">
          <w:rPr>
            <w:rFonts w:ascii="Garamond" w:hAnsi="Garamond"/>
            <w:sz w:val="24"/>
          </w:rPr>
          <w:fldChar w:fldCharType="begin"/>
        </w:r>
        <w:r w:rsidRPr="00CB3235">
          <w:rPr>
            <w:rFonts w:ascii="Garamond" w:hAnsi="Garamond"/>
            <w:sz w:val="24"/>
          </w:rPr>
          <w:instrText xml:space="preserve"> PAGE   \* MERGEFORMAT </w:instrText>
        </w:r>
        <w:r w:rsidRPr="00CB3235">
          <w:rPr>
            <w:rFonts w:ascii="Garamond" w:hAnsi="Garamond"/>
            <w:sz w:val="24"/>
          </w:rPr>
          <w:fldChar w:fldCharType="separate"/>
        </w:r>
        <w:r>
          <w:rPr>
            <w:rFonts w:ascii="Garamond" w:hAnsi="Garamond"/>
            <w:noProof/>
            <w:sz w:val="24"/>
          </w:rPr>
          <w:t>1472</w:t>
        </w:r>
        <w:r w:rsidRPr="00CB3235">
          <w:rPr>
            <w:rFonts w:ascii="Garamond" w:hAnsi="Garamond"/>
            <w:sz w:val="24"/>
          </w:rPr>
          <w:fldChar w:fldCharType="end"/>
        </w:r>
      </w:p>
    </w:sdtContent>
  </w:sdt>
  <w:p w:rsidR="00423533" w:rsidRDefault="00844C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CF8" w:rsidRDefault="00844CF8">
      <w:pPr>
        <w:spacing w:after="0" w:line="240" w:lineRule="auto"/>
      </w:pPr>
      <w:r>
        <w:separator/>
      </w:r>
    </w:p>
  </w:footnote>
  <w:footnote w:type="continuationSeparator" w:id="0">
    <w:p w:rsidR="00844CF8" w:rsidRDefault="00844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423533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423533" w:rsidRPr="00EB260B" w:rsidRDefault="004777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423533" w:rsidRPr="00EB260B" w:rsidRDefault="0047773D" w:rsidP="005C375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</w:t>
          </w:r>
          <w:r>
            <w:rPr>
              <w:noProof/>
              <w:lang w:val="en-US"/>
            </w:rPr>
            <w:drawing>
              <wp:inline distT="0" distB="0" distL="0" distR="0" wp14:anchorId="31CD450B" wp14:editId="2ADE97BB">
                <wp:extent cx="304524" cy="427512"/>
                <wp:effectExtent l="0" t="0" r="635" b="0"/>
                <wp:docPr id="89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423533" w:rsidRPr="00EB260B" w:rsidRDefault="0047773D" w:rsidP="005C375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Viti 2015 – Numri </w:t>
          </w:r>
        </w:p>
      </w:tc>
    </w:tr>
  </w:tbl>
  <w:p w:rsidR="00423533" w:rsidRDefault="00844C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23533" w:rsidRPr="00EB260B" w:rsidTr="00C97C8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996278C" wp14:editId="5077FCA0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33</w:t>
          </w:r>
        </w:p>
      </w:tc>
    </w:tr>
  </w:tbl>
  <w:p w:rsidR="00423533" w:rsidRPr="00385E2C" w:rsidRDefault="00844CF8" w:rsidP="00385E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33" w:rsidRDefault="00844C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3D"/>
    <w:rsid w:val="00013606"/>
    <w:rsid w:val="001D125B"/>
    <w:rsid w:val="002C0AA4"/>
    <w:rsid w:val="002E7553"/>
    <w:rsid w:val="00332E0F"/>
    <w:rsid w:val="00455FC5"/>
    <w:rsid w:val="0047773D"/>
    <w:rsid w:val="004A4709"/>
    <w:rsid w:val="004A55F9"/>
    <w:rsid w:val="00627136"/>
    <w:rsid w:val="007A33AA"/>
    <w:rsid w:val="00844CF8"/>
    <w:rsid w:val="00912120"/>
    <w:rsid w:val="00A2106C"/>
    <w:rsid w:val="00A3508F"/>
    <w:rsid w:val="00A60645"/>
    <w:rsid w:val="00B441A3"/>
    <w:rsid w:val="00C777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3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7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73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77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77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7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7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73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60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3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7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73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77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77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7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7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73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60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package" Target="embeddings/Microsoft_Visio_Drawing11111.vsdx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F1436-48E2-4B6B-BB2B-2BB80FEB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Vilma Belishta</cp:lastModifiedBy>
  <cp:revision>2</cp:revision>
  <cp:lastPrinted>2019-01-29T10:11:00Z</cp:lastPrinted>
  <dcterms:created xsi:type="dcterms:W3CDTF">2022-05-26T08:48:00Z</dcterms:created>
  <dcterms:modified xsi:type="dcterms:W3CDTF">2022-05-26T08:48:00Z</dcterms:modified>
</cp:coreProperties>
</file>