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D72" w:rsidRPr="000703DE" w:rsidRDefault="004C1D72" w:rsidP="004C1D72">
      <w:pPr>
        <w:pStyle w:val="Akti"/>
      </w:pPr>
      <w:r w:rsidRPr="000703DE">
        <w:t>VENDIM</w:t>
      </w:r>
    </w:p>
    <w:p w:rsidR="004C1D72" w:rsidRPr="000703DE" w:rsidRDefault="004C1D72" w:rsidP="004C1D72">
      <w:pPr>
        <w:pStyle w:val="NumriData"/>
      </w:pPr>
      <w:bookmarkStart w:id="0" w:name="_GoBack"/>
      <w:r w:rsidRPr="000703DE">
        <w:t>Nr. 109, datë 4.2.2015</w:t>
      </w:r>
    </w:p>
    <w:bookmarkEnd w:id="0"/>
    <w:p w:rsidR="004C1D72" w:rsidRPr="00774155" w:rsidRDefault="004C1D72" w:rsidP="004C1D72">
      <w:pPr>
        <w:pStyle w:val="Paragrafi"/>
        <w:rPr>
          <w:sz w:val="14"/>
        </w:rPr>
      </w:pPr>
    </w:p>
    <w:p w:rsidR="004C1D72" w:rsidRPr="000703DE" w:rsidRDefault="004C1D72" w:rsidP="004C1D72">
      <w:pPr>
        <w:pStyle w:val="Titulli"/>
      </w:pPr>
      <w:r w:rsidRPr="000703DE">
        <w:t xml:space="preserve">PËR FINANCIMIN DHE ZBATIMIN E PROCESIT PËR LUFTIMIN MEKANIK TË PROÇESIONARES SË PISHËS SË ZEZË NË SHKALLË VENDI  </w:t>
      </w:r>
    </w:p>
    <w:p w:rsidR="004C1D72" w:rsidRPr="00774155" w:rsidRDefault="004C1D72" w:rsidP="004C1D72">
      <w:pPr>
        <w:pStyle w:val="Paragrafi"/>
        <w:ind w:firstLine="0"/>
        <w:rPr>
          <w:sz w:val="14"/>
        </w:rPr>
      </w:pPr>
    </w:p>
    <w:p w:rsidR="004C1D72" w:rsidRPr="00447A84" w:rsidRDefault="004C1D72" w:rsidP="004C1D72">
      <w:pPr>
        <w:pStyle w:val="Paragrafi"/>
        <w:rPr>
          <w:spacing w:val="-2"/>
        </w:rPr>
      </w:pPr>
      <w:r w:rsidRPr="00447A84">
        <w:rPr>
          <w:spacing w:val="-2"/>
        </w:rPr>
        <w:t>Në mbështetje të nenit 100 të Kushtetutës, të ligjit nr.9936, datë 26.6.2008, “Për menaxhimin e sistemit buxhetor në Republikën e Shqipërisë”, të ndryshuar, dhe të nenit 13, të ligjit nr.160/2014, “Për buxhetin e vitit 2015”, të ndryshuar, me propozimin e ministrit të Mjedisit, Këshilli i Ministrave</w:t>
      </w:r>
    </w:p>
    <w:p w:rsidR="004C1D72" w:rsidRPr="00447A84" w:rsidRDefault="004C1D72" w:rsidP="004C1D72">
      <w:pPr>
        <w:pStyle w:val="Paragrafi"/>
        <w:rPr>
          <w:spacing w:val="-2"/>
          <w:sz w:val="14"/>
        </w:rPr>
      </w:pPr>
    </w:p>
    <w:p w:rsidR="004C1D72" w:rsidRPr="00447A84" w:rsidRDefault="004C1D72" w:rsidP="004C1D72">
      <w:pPr>
        <w:pStyle w:val="Paragrafi"/>
        <w:rPr>
          <w:spacing w:val="-2"/>
          <w:sz w:val="14"/>
        </w:rPr>
      </w:pPr>
    </w:p>
    <w:p w:rsidR="004C1D72" w:rsidRPr="00447A84" w:rsidRDefault="004C1D72" w:rsidP="004C1D72">
      <w:pPr>
        <w:pStyle w:val="Paragrafi"/>
        <w:rPr>
          <w:spacing w:val="-2"/>
          <w:sz w:val="14"/>
        </w:rPr>
      </w:pPr>
    </w:p>
    <w:p w:rsidR="004C1D72" w:rsidRPr="00447A84" w:rsidRDefault="004C1D72" w:rsidP="004C1D72">
      <w:pPr>
        <w:pStyle w:val="Paragrafi"/>
        <w:jc w:val="center"/>
        <w:rPr>
          <w:spacing w:val="-2"/>
        </w:rPr>
      </w:pPr>
      <w:r w:rsidRPr="00447A84">
        <w:rPr>
          <w:spacing w:val="-2"/>
        </w:rPr>
        <w:t>VENDOSI:</w:t>
      </w:r>
    </w:p>
    <w:p w:rsidR="004C1D72" w:rsidRPr="00447A84" w:rsidRDefault="004C1D72" w:rsidP="004C1D72">
      <w:pPr>
        <w:pStyle w:val="Paragrafi"/>
        <w:rPr>
          <w:spacing w:val="-2"/>
          <w:sz w:val="8"/>
        </w:rPr>
      </w:pPr>
    </w:p>
    <w:p w:rsidR="004C1D72" w:rsidRPr="00447A84" w:rsidRDefault="004C1D72" w:rsidP="004C1D72">
      <w:pPr>
        <w:pStyle w:val="Paragrafi"/>
        <w:rPr>
          <w:spacing w:val="-2"/>
        </w:rPr>
      </w:pPr>
      <w:r w:rsidRPr="00447A84">
        <w:rPr>
          <w:spacing w:val="-2"/>
        </w:rPr>
        <w:t>1. Përdorimin e  fondit prej 250 000 000 (dyqind e pesëdhjetë milionë) lekësh, nga Agjencia Kombëtare e Mjedisit, për luftimin mekanik të proçesionares së pishës së zezë në shkallë vendi, nga zëri “shpenzime kapitale”. Përdorimi i fondeve do të bëhet  sipas  aneksit nr.1,  bashkëlidhur këtij vendimi.</w:t>
      </w:r>
    </w:p>
    <w:p w:rsidR="004C1D72" w:rsidRPr="00447A84" w:rsidRDefault="004C1D72" w:rsidP="004C1D72">
      <w:pPr>
        <w:pStyle w:val="Paragrafi"/>
        <w:rPr>
          <w:spacing w:val="-2"/>
        </w:rPr>
      </w:pPr>
      <w:r w:rsidRPr="00447A84">
        <w:rPr>
          <w:spacing w:val="-2"/>
        </w:rPr>
        <w:t>2. Efektet financiare, sipas aneksit nr.1, bashkëlidhur, do të përballohen nga programi “Mbrojtja e mjedisit”, miratuar për vitin 2015 për Ministrinë e Mjedisit.</w:t>
      </w:r>
    </w:p>
    <w:p w:rsidR="004C1D72" w:rsidRPr="00447A84" w:rsidRDefault="004C1D72" w:rsidP="004C1D72">
      <w:pPr>
        <w:pStyle w:val="Paragrafi"/>
        <w:rPr>
          <w:spacing w:val="-2"/>
        </w:rPr>
      </w:pPr>
      <w:r w:rsidRPr="00447A84">
        <w:rPr>
          <w:spacing w:val="-2"/>
        </w:rPr>
        <w:t xml:space="preserve">3. Procesi i luftimit të proçesionares do të realizohet sipas aneksit nr.2, bashkëlidhur këtij vendimi, si dhe do të drejtohet nga koordinatori kombëtar dhe tre koordinatorët rajonalë. </w:t>
      </w:r>
    </w:p>
    <w:p w:rsidR="004C1D72" w:rsidRPr="00447A84" w:rsidRDefault="004C1D72" w:rsidP="004C1D72">
      <w:pPr>
        <w:pStyle w:val="Paragrafi"/>
        <w:rPr>
          <w:spacing w:val="-2"/>
        </w:rPr>
      </w:pPr>
      <w:r w:rsidRPr="00447A84">
        <w:rPr>
          <w:spacing w:val="-2"/>
        </w:rPr>
        <w:t xml:space="preserve">4. Koordinatori kombëtar emërohet me urdhër të Kryeministrit, me propozim të ministrit përgjegjës për mjedisin, për një periudhë prej një muaji, ndërsa koordinatorët rajonalë emërohen nga koordinatori kombëtar, me propozim të ministrit përgjegjës për mjedisin, për të njëjtën periudhë. </w:t>
      </w:r>
    </w:p>
    <w:p w:rsidR="004C1D72" w:rsidRPr="00447A84" w:rsidRDefault="004C1D72" w:rsidP="004C1D72">
      <w:pPr>
        <w:pStyle w:val="Paragrafi"/>
        <w:rPr>
          <w:spacing w:val="-2"/>
        </w:rPr>
      </w:pPr>
      <w:r w:rsidRPr="00447A84">
        <w:rPr>
          <w:spacing w:val="-2"/>
        </w:rPr>
        <w:t>Paga e koordinatorit kombëtar barazohet me pagën e kategorisë II-b, ndërsa e ajo e koordinatorëve rajonalë  barazohet me pagën e kategorisë III-b, në institucionet qendrore.</w:t>
      </w:r>
    </w:p>
    <w:p w:rsidR="004C1D72" w:rsidRPr="00447A84" w:rsidRDefault="004C1D72" w:rsidP="004C1D72">
      <w:pPr>
        <w:pStyle w:val="Paragrafi"/>
        <w:rPr>
          <w:spacing w:val="-2"/>
        </w:rPr>
      </w:pPr>
      <w:r w:rsidRPr="00447A84">
        <w:rPr>
          <w:spacing w:val="-2"/>
        </w:rPr>
        <w:t xml:space="preserve">5. Ngarkohet ministri përgjegjës për mjedisin për miratimin e manualit për procedurën e luftimit, supervizimit, rekrutimit, trajnimit të të punësuarve, detyrimet institucionale dhe çdo element tjetër të nevojshëm për realizimin e luftimit mekanik të proçesionares. </w:t>
      </w:r>
    </w:p>
    <w:p w:rsidR="004C1D72" w:rsidRPr="00447A84" w:rsidRDefault="004C1D72" w:rsidP="004C1D72">
      <w:pPr>
        <w:pStyle w:val="Paragrafi"/>
        <w:rPr>
          <w:spacing w:val="-2"/>
        </w:rPr>
      </w:pPr>
      <w:r w:rsidRPr="00447A84">
        <w:rPr>
          <w:spacing w:val="-2"/>
        </w:rPr>
        <w:t xml:space="preserve">6. Ngarkohet Ministria e Mirëqenies Sociale dhe Rinisë për identifikimin e burimeve njerëzore të nevojshme për realizimin e luftimit mekanik të proçesionares. Punonjësit që do të kryejnë këtë aktivitet do të trajtohen me pagën prej 39 000 (tridhjetë e nëntë mijë) lekë në muaj, për periudhën e kryerjes së këtij procesi. </w:t>
      </w:r>
    </w:p>
    <w:p w:rsidR="004C1D72" w:rsidRPr="00447A84" w:rsidRDefault="004C1D72" w:rsidP="004C1D72">
      <w:pPr>
        <w:pStyle w:val="Paragrafi"/>
        <w:rPr>
          <w:spacing w:val="-2"/>
        </w:rPr>
      </w:pPr>
      <w:r w:rsidRPr="00447A84">
        <w:rPr>
          <w:spacing w:val="-2"/>
        </w:rPr>
        <w:t>7. Ngarkohen Ministria e Mjedisit, Ministria e Financave dhe Ministria e Mirëqenies Sociale dhe Rinisë për zbatimin e këtij vendimi.</w:t>
      </w:r>
    </w:p>
    <w:p w:rsidR="004C1D72" w:rsidRPr="00447A84" w:rsidRDefault="004C1D72" w:rsidP="004C1D72">
      <w:pPr>
        <w:pStyle w:val="Paragrafi"/>
        <w:rPr>
          <w:spacing w:val="-2"/>
        </w:rPr>
      </w:pPr>
      <w:r w:rsidRPr="00447A84">
        <w:rPr>
          <w:spacing w:val="-2"/>
        </w:rPr>
        <w:t>Ky vendim hyn në fuqi pas botimit në Fletoren Zyrtare.</w:t>
      </w:r>
    </w:p>
    <w:p w:rsidR="004C1D72" w:rsidRDefault="004C1D72" w:rsidP="004C1D72">
      <w:pPr>
        <w:pStyle w:val="Autoriteti"/>
      </w:pPr>
      <w:r>
        <w:t>KRYEMINISTRI</w:t>
      </w:r>
    </w:p>
    <w:p w:rsidR="004C1D72" w:rsidRDefault="004C1D72" w:rsidP="004C1D72">
      <w:pPr>
        <w:pStyle w:val="AutoritetiEmer"/>
      </w:pPr>
      <w:r>
        <w:t>Edi Rama</w:t>
      </w:r>
    </w:p>
    <w:p w:rsidR="004C1D72" w:rsidRDefault="004C1D72" w:rsidP="004C1D72">
      <w:pPr>
        <w:rPr>
          <w:lang w:val="en-GB"/>
        </w:rPr>
        <w:sectPr w:rsidR="004C1D72" w:rsidSect="004C1D72">
          <w:pgSz w:w="11907" w:h="16840" w:code="9"/>
          <w:pgMar w:top="720" w:right="1134" w:bottom="720" w:left="1134" w:header="851" w:footer="851" w:gutter="0"/>
          <w:pgNumType w:start="767"/>
          <w:cols w:space="454"/>
          <w:docGrid w:linePitch="360"/>
        </w:sectPr>
      </w:pPr>
    </w:p>
    <w:p w:rsidR="004C1D72" w:rsidRDefault="004C1D72" w:rsidP="004C1D72">
      <w:pPr>
        <w:rPr>
          <w:lang w:val="en-GB"/>
        </w:rPr>
      </w:pPr>
    </w:p>
    <w:p w:rsidR="004C1D72" w:rsidRPr="00447A84" w:rsidRDefault="004C1D72" w:rsidP="004C1D72">
      <w:pPr>
        <w:rPr>
          <w:lang w:val="en-GB"/>
        </w:rPr>
      </w:pPr>
    </w:p>
    <w:p w:rsidR="004C1D72" w:rsidRDefault="004C1D72" w:rsidP="004C1D72">
      <w:pPr>
        <w:rPr>
          <w:lang w:val="en-GB"/>
        </w:rPr>
        <w:sectPr w:rsidR="004C1D72" w:rsidSect="004C1D72">
          <w:type w:val="continuous"/>
          <w:pgSz w:w="11907" w:h="16840" w:code="9"/>
          <w:pgMar w:top="720" w:right="1134" w:bottom="720" w:left="1134" w:header="851" w:footer="851" w:gutter="0"/>
          <w:pgNumType w:start="767"/>
          <w:cols w:num="2" w:space="454"/>
          <w:docGrid w:linePitch="360"/>
        </w:sectPr>
      </w:pPr>
    </w:p>
    <w:p w:rsidR="004C1D72" w:rsidRPr="00447A84" w:rsidRDefault="004C1D72" w:rsidP="004C1D72">
      <w:pPr>
        <w:rPr>
          <w:sz w:val="2"/>
          <w:lang w:val="en-GB"/>
        </w:rPr>
      </w:pPr>
    </w:p>
    <w:p w:rsidR="004C1D72" w:rsidRPr="00447A84" w:rsidRDefault="004C1D72" w:rsidP="004C1D72">
      <w:pPr>
        <w:pStyle w:val="Paragrafi"/>
        <w:jc w:val="center"/>
        <w:rPr>
          <w:sz w:val="2"/>
        </w:rPr>
        <w:sectPr w:rsidR="004C1D72" w:rsidRPr="00447A84" w:rsidSect="00447A84">
          <w:type w:val="continuous"/>
          <w:pgSz w:w="11907" w:h="16840" w:code="9"/>
          <w:pgMar w:top="720" w:right="1134" w:bottom="720" w:left="1134" w:header="851" w:footer="851" w:gutter="0"/>
          <w:pgNumType w:start="768"/>
          <w:cols w:num="2" w:space="720"/>
          <w:docGrid w:linePitch="360"/>
        </w:sectPr>
      </w:pPr>
    </w:p>
    <w:p w:rsidR="004C1D72" w:rsidRPr="000703DE" w:rsidRDefault="004C1D72" w:rsidP="004C1D72">
      <w:pPr>
        <w:pStyle w:val="Paragrafi"/>
        <w:jc w:val="center"/>
      </w:pPr>
      <w:r w:rsidRPr="000703DE">
        <w:lastRenderedPageBreak/>
        <w:t>ANEKSI-1</w:t>
      </w:r>
    </w:p>
    <w:p w:rsidR="004C1D72" w:rsidRDefault="004C1D72" w:rsidP="004C1D72">
      <w:pPr>
        <w:pStyle w:val="Paragrafi"/>
        <w:rPr>
          <w:b/>
          <w:szCs w:val="24"/>
        </w:rPr>
      </w:pPr>
      <w:r w:rsidRPr="000703DE">
        <w:t>Shpenzimet për punimet dhe për luftimin mekanik të procesionares së pishës së zezë</w:t>
      </w:r>
      <w:r>
        <w:rPr>
          <w:b/>
          <w:szCs w:val="24"/>
        </w:rPr>
        <w:t xml:space="preserve"> </w:t>
      </w:r>
    </w:p>
    <w:tbl>
      <w:tblPr>
        <w:tblStyle w:val="TableGrid"/>
        <w:tblW w:w="0" w:type="auto"/>
        <w:tblLook w:val="04A0" w:firstRow="1" w:lastRow="0" w:firstColumn="1" w:lastColumn="0" w:noHBand="0" w:noVBand="1"/>
      </w:tblPr>
      <w:tblGrid>
        <w:gridCol w:w="552"/>
        <w:gridCol w:w="4821"/>
        <w:gridCol w:w="1823"/>
        <w:gridCol w:w="2380"/>
      </w:tblGrid>
      <w:tr w:rsidR="004C1D72" w:rsidRPr="00617399" w:rsidTr="00AA71DE">
        <w:tc>
          <w:tcPr>
            <w:tcW w:w="556" w:type="dxa"/>
            <w:vAlign w:val="center"/>
          </w:tcPr>
          <w:p w:rsidR="004C1D72" w:rsidRPr="003A2B20" w:rsidRDefault="004C1D72" w:rsidP="00AA71DE">
            <w:pPr>
              <w:pStyle w:val="Tabele"/>
              <w:ind w:firstLine="0"/>
              <w:jc w:val="center"/>
              <w:rPr>
                <w:rFonts w:ascii="Garamond" w:hAnsi="Garamond"/>
                <w:b/>
                <w:sz w:val="18"/>
                <w:szCs w:val="18"/>
              </w:rPr>
            </w:pPr>
            <w:r w:rsidRPr="003A2B20">
              <w:rPr>
                <w:rFonts w:ascii="Garamond" w:hAnsi="Garamond"/>
                <w:b/>
                <w:sz w:val="18"/>
                <w:szCs w:val="18"/>
              </w:rPr>
              <w:t>Nr.</w:t>
            </w:r>
          </w:p>
        </w:tc>
        <w:tc>
          <w:tcPr>
            <w:tcW w:w="4993" w:type="dxa"/>
            <w:vAlign w:val="center"/>
          </w:tcPr>
          <w:p w:rsidR="004C1D72" w:rsidRPr="003A2B20" w:rsidRDefault="004C1D72" w:rsidP="00AA71DE">
            <w:pPr>
              <w:pStyle w:val="Tabele"/>
              <w:ind w:firstLine="0"/>
              <w:jc w:val="center"/>
              <w:rPr>
                <w:rFonts w:ascii="Garamond" w:hAnsi="Garamond"/>
                <w:b/>
                <w:sz w:val="18"/>
                <w:szCs w:val="18"/>
              </w:rPr>
            </w:pPr>
            <w:r w:rsidRPr="003A2B20">
              <w:rPr>
                <w:rFonts w:ascii="Garamond" w:hAnsi="Garamond"/>
                <w:b/>
                <w:sz w:val="18"/>
                <w:szCs w:val="18"/>
              </w:rPr>
              <w:t>Emërtimi i procesit të kostuar</w:t>
            </w:r>
          </w:p>
        </w:tc>
        <w:tc>
          <w:tcPr>
            <w:tcW w:w="1861" w:type="dxa"/>
            <w:vAlign w:val="center"/>
          </w:tcPr>
          <w:p w:rsidR="004C1D72" w:rsidRPr="003A2B20" w:rsidRDefault="004C1D72" w:rsidP="00AA71DE">
            <w:pPr>
              <w:pStyle w:val="Tabele"/>
              <w:ind w:firstLine="0"/>
              <w:jc w:val="center"/>
              <w:rPr>
                <w:rFonts w:ascii="Garamond" w:hAnsi="Garamond"/>
                <w:b/>
                <w:sz w:val="18"/>
                <w:szCs w:val="18"/>
              </w:rPr>
            </w:pPr>
            <w:r w:rsidRPr="003A2B20">
              <w:rPr>
                <w:rFonts w:ascii="Garamond" w:hAnsi="Garamond"/>
                <w:b/>
                <w:sz w:val="18"/>
                <w:szCs w:val="18"/>
              </w:rPr>
              <w:t>Lekë/njësi</w:t>
            </w:r>
          </w:p>
          <w:p w:rsidR="004C1D72" w:rsidRPr="003A2B20" w:rsidRDefault="004C1D72" w:rsidP="00AA71DE">
            <w:pPr>
              <w:pStyle w:val="Tabele"/>
              <w:ind w:firstLine="0"/>
              <w:jc w:val="center"/>
              <w:rPr>
                <w:rFonts w:ascii="Garamond" w:hAnsi="Garamond"/>
                <w:b/>
                <w:sz w:val="18"/>
                <w:szCs w:val="18"/>
              </w:rPr>
            </w:pPr>
            <w:r w:rsidRPr="003A2B20">
              <w:rPr>
                <w:rFonts w:ascii="Garamond" w:hAnsi="Garamond"/>
                <w:b/>
                <w:sz w:val="18"/>
                <w:szCs w:val="18"/>
              </w:rPr>
              <w:t>(1 Ha)</w:t>
            </w:r>
          </w:p>
        </w:tc>
        <w:tc>
          <w:tcPr>
            <w:tcW w:w="2445" w:type="dxa"/>
            <w:vAlign w:val="center"/>
          </w:tcPr>
          <w:p w:rsidR="004C1D72" w:rsidRPr="003A2B20" w:rsidRDefault="004C1D72" w:rsidP="00AA71DE">
            <w:pPr>
              <w:pStyle w:val="Tabele"/>
              <w:ind w:firstLine="0"/>
              <w:jc w:val="center"/>
              <w:rPr>
                <w:rFonts w:ascii="Garamond" w:hAnsi="Garamond"/>
                <w:b/>
                <w:sz w:val="18"/>
                <w:szCs w:val="18"/>
              </w:rPr>
            </w:pPr>
            <w:r w:rsidRPr="003A2B20">
              <w:rPr>
                <w:rFonts w:ascii="Garamond" w:hAnsi="Garamond"/>
                <w:b/>
                <w:sz w:val="18"/>
                <w:szCs w:val="18"/>
              </w:rPr>
              <w:t>Total Lekë për sasinë e planifikuar (6335 Ha)</w:t>
            </w:r>
          </w:p>
        </w:tc>
      </w:tr>
      <w:tr w:rsidR="004C1D72" w:rsidRPr="00617399" w:rsidTr="00AA71DE">
        <w:tc>
          <w:tcPr>
            <w:tcW w:w="556" w:type="dxa"/>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1 </w:t>
            </w:r>
          </w:p>
        </w:tc>
        <w:tc>
          <w:tcPr>
            <w:tcW w:w="4993" w:type="dxa"/>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Prerje, transport dhe asgjesim I qeskave të infektuara</w:t>
            </w:r>
          </w:p>
        </w:tc>
        <w:tc>
          <w:tcPr>
            <w:tcW w:w="1861" w:type="dxa"/>
          </w:tcPr>
          <w:p w:rsidR="004C1D72" w:rsidRPr="00617399" w:rsidRDefault="004C1D72" w:rsidP="00AA71DE">
            <w:pPr>
              <w:pStyle w:val="Tabele"/>
              <w:ind w:firstLine="0"/>
              <w:jc w:val="right"/>
              <w:rPr>
                <w:rFonts w:ascii="Garamond" w:hAnsi="Garamond"/>
                <w:sz w:val="18"/>
                <w:szCs w:val="18"/>
              </w:rPr>
            </w:pPr>
            <w:r w:rsidRPr="00617399">
              <w:rPr>
                <w:rFonts w:ascii="Garamond" w:hAnsi="Garamond"/>
                <w:sz w:val="18"/>
                <w:szCs w:val="18"/>
              </w:rPr>
              <w:t>39 114</w:t>
            </w:r>
          </w:p>
        </w:tc>
        <w:tc>
          <w:tcPr>
            <w:tcW w:w="2445" w:type="dxa"/>
          </w:tcPr>
          <w:p w:rsidR="004C1D72" w:rsidRPr="00617399" w:rsidRDefault="004C1D72" w:rsidP="00AA71DE">
            <w:pPr>
              <w:pStyle w:val="Tabele"/>
              <w:ind w:firstLine="0"/>
              <w:jc w:val="right"/>
              <w:rPr>
                <w:rFonts w:ascii="Garamond" w:hAnsi="Garamond"/>
                <w:sz w:val="18"/>
                <w:szCs w:val="18"/>
              </w:rPr>
            </w:pPr>
            <w:r w:rsidRPr="00617399">
              <w:rPr>
                <w:rFonts w:ascii="Garamond" w:hAnsi="Garamond"/>
                <w:sz w:val="18"/>
                <w:szCs w:val="18"/>
              </w:rPr>
              <w:t>247.793.500</w:t>
            </w:r>
          </w:p>
        </w:tc>
      </w:tr>
      <w:tr w:rsidR="004C1D72" w:rsidRPr="00617399" w:rsidTr="00AA71DE">
        <w:tc>
          <w:tcPr>
            <w:tcW w:w="556" w:type="dxa"/>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2.</w:t>
            </w:r>
          </w:p>
        </w:tc>
        <w:tc>
          <w:tcPr>
            <w:tcW w:w="4993" w:type="dxa"/>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Paga për strukturat e planifikuara. (Koordinatorët)</w:t>
            </w:r>
          </w:p>
        </w:tc>
        <w:tc>
          <w:tcPr>
            <w:tcW w:w="1861" w:type="dxa"/>
          </w:tcPr>
          <w:p w:rsidR="004C1D72" w:rsidRPr="00617399" w:rsidRDefault="004C1D72" w:rsidP="00AA71DE">
            <w:pPr>
              <w:pStyle w:val="Tabele"/>
              <w:ind w:firstLine="0"/>
              <w:jc w:val="right"/>
              <w:rPr>
                <w:rFonts w:ascii="Garamond" w:hAnsi="Garamond"/>
                <w:sz w:val="18"/>
                <w:szCs w:val="18"/>
              </w:rPr>
            </w:pPr>
            <w:r w:rsidRPr="00617399">
              <w:rPr>
                <w:rFonts w:ascii="Garamond" w:hAnsi="Garamond"/>
                <w:sz w:val="18"/>
                <w:szCs w:val="18"/>
              </w:rPr>
              <w:t>52</w:t>
            </w:r>
          </w:p>
        </w:tc>
        <w:tc>
          <w:tcPr>
            <w:tcW w:w="2445" w:type="dxa"/>
          </w:tcPr>
          <w:p w:rsidR="004C1D72" w:rsidRPr="00617399" w:rsidRDefault="004C1D72" w:rsidP="00AA71DE">
            <w:pPr>
              <w:pStyle w:val="Tabele"/>
              <w:ind w:firstLine="0"/>
              <w:jc w:val="right"/>
              <w:rPr>
                <w:rFonts w:ascii="Garamond" w:hAnsi="Garamond"/>
                <w:sz w:val="18"/>
                <w:szCs w:val="18"/>
              </w:rPr>
            </w:pPr>
            <w:r w:rsidRPr="00617399">
              <w:rPr>
                <w:rFonts w:ascii="Garamond" w:hAnsi="Garamond"/>
                <w:sz w:val="18"/>
                <w:szCs w:val="18"/>
              </w:rPr>
              <w:t>329 000</w:t>
            </w:r>
          </w:p>
        </w:tc>
      </w:tr>
      <w:tr w:rsidR="004C1D72" w:rsidRPr="00617399" w:rsidTr="00AA71DE">
        <w:tc>
          <w:tcPr>
            <w:tcW w:w="556" w:type="dxa"/>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3.</w:t>
            </w:r>
          </w:p>
        </w:tc>
        <w:tc>
          <w:tcPr>
            <w:tcW w:w="4993" w:type="dxa"/>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Kosto të transportit dhe shpenzime operative të strukturave të planifikuara. </w:t>
            </w:r>
          </w:p>
        </w:tc>
        <w:tc>
          <w:tcPr>
            <w:tcW w:w="1861" w:type="dxa"/>
          </w:tcPr>
          <w:p w:rsidR="004C1D72" w:rsidRPr="00617399" w:rsidRDefault="004C1D72" w:rsidP="00AA71DE">
            <w:pPr>
              <w:pStyle w:val="Tabele"/>
              <w:ind w:firstLine="0"/>
              <w:jc w:val="right"/>
              <w:rPr>
                <w:rFonts w:ascii="Garamond" w:hAnsi="Garamond"/>
                <w:sz w:val="18"/>
                <w:szCs w:val="18"/>
              </w:rPr>
            </w:pPr>
            <w:r w:rsidRPr="00617399">
              <w:rPr>
                <w:rFonts w:ascii="Garamond" w:hAnsi="Garamond"/>
                <w:sz w:val="18"/>
                <w:szCs w:val="18"/>
              </w:rPr>
              <w:t>50</w:t>
            </w:r>
          </w:p>
        </w:tc>
        <w:tc>
          <w:tcPr>
            <w:tcW w:w="2445" w:type="dxa"/>
          </w:tcPr>
          <w:p w:rsidR="004C1D72" w:rsidRPr="00617399" w:rsidRDefault="004C1D72" w:rsidP="00AA71DE">
            <w:pPr>
              <w:pStyle w:val="Tabele"/>
              <w:ind w:firstLine="0"/>
              <w:jc w:val="right"/>
              <w:rPr>
                <w:rFonts w:ascii="Garamond" w:hAnsi="Garamond"/>
                <w:sz w:val="18"/>
                <w:szCs w:val="18"/>
              </w:rPr>
            </w:pPr>
            <w:r w:rsidRPr="00617399">
              <w:rPr>
                <w:rFonts w:ascii="Garamond" w:hAnsi="Garamond"/>
                <w:sz w:val="18"/>
                <w:szCs w:val="18"/>
              </w:rPr>
              <w:t>320 000</w:t>
            </w:r>
          </w:p>
        </w:tc>
      </w:tr>
      <w:tr w:rsidR="004C1D72" w:rsidRPr="00617399" w:rsidTr="00AA71DE">
        <w:tc>
          <w:tcPr>
            <w:tcW w:w="556" w:type="dxa"/>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4.</w:t>
            </w:r>
          </w:p>
        </w:tc>
        <w:tc>
          <w:tcPr>
            <w:tcW w:w="4993" w:type="dxa"/>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Dieta për shpenzime qëndrimi dhe akomodimi për koordinatorët</w:t>
            </w:r>
          </w:p>
        </w:tc>
        <w:tc>
          <w:tcPr>
            <w:tcW w:w="1861" w:type="dxa"/>
          </w:tcPr>
          <w:p w:rsidR="004C1D72" w:rsidRPr="00617399" w:rsidRDefault="004C1D72" w:rsidP="00AA71DE">
            <w:pPr>
              <w:pStyle w:val="Tabele"/>
              <w:ind w:firstLine="0"/>
              <w:jc w:val="right"/>
              <w:rPr>
                <w:rFonts w:ascii="Garamond" w:hAnsi="Garamond"/>
                <w:sz w:val="18"/>
                <w:szCs w:val="18"/>
              </w:rPr>
            </w:pPr>
            <w:r w:rsidRPr="00617399">
              <w:rPr>
                <w:rFonts w:ascii="Garamond" w:hAnsi="Garamond"/>
                <w:sz w:val="18"/>
                <w:szCs w:val="18"/>
              </w:rPr>
              <w:t>56</w:t>
            </w:r>
          </w:p>
        </w:tc>
        <w:tc>
          <w:tcPr>
            <w:tcW w:w="2445" w:type="dxa"/>
          </w:tcPr>
          <w:p w:rsidR="004C1D72" w:rsidRPr="00617399" w:rsidRDefault="004C1D72" w:rsidP="00AA71DE">
            <w:pPr>
              <w:pStyle w:val="Tabele"/>
              <w:ind w:firstLine="0"/>
              <w:jc w:val="right"/>
              <w:rPr>
                <w:rFonts w:ascii="Garamond" w:hAnsi="Garamond"/>
                <w:sz w:val="18"/>
                <w:szCs w:val="18"/>
              </w:rPr>
            </w:pPr>
            <w:r w:rsidRPr="00617399">
              <w:rPr>
                <w:rFonts w:ascii="Garamond" w:hAnsi="Garamond"/>
                <w:sz w:val="18"/>
                <w:szCs w:val="18"/>
              </w:rPr>
              <w:t>357500</w:t>
            </w:r>
          </w:p>
        </w:tc>
      </w:tr>
      <w:tr w:rsidR="004C1D72" w:rsidRPr="00617399" w:rsidTr="00AA71DE">
        <w:tc>
          <w:tcPr>
            <w:tcW w:w="556" w:type="dxa"/>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5.</w:t>
            </w:r>
          </w:p>
        </w:tc>
        <w:tc>
          <w:tcPr>
            <w:tcW w:w="4993" w:type="dxa"/>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Shpërblime të stafit të DSHP të përfshirë në operacion.</w:t>
            </w:r>
          </w:p>
        </w:tc>
        <w:tc>
          <w:tcPr>
            <w:tcW w:w="1861" w:type="dxa"/>
          </w:tcPr>
          <w:p w:rsidR="004C1D72" w:rsidRPr="00617399" w:rsidRDefault="004C1D72" w:rsidP="00AA71DE">
            <w:pPr>
              <w:pStyle w:val="Tabele"/>
              <w:ind w:firstLine="0"/>
              <w:jc w:val="right"/>
              <w:rPr>
                <w:rFonts w:ascii="Garamond" w:hAnsi="Garamond"/>
                <w:sz w:val="18"/>
                <w:szCs w:val="18"/>
              </w:rPr>
            </w:pPr>
            <w:r w:rsidRPr="00617399">
              <w:rPr>
                <w:rFonts w:ascii="Garamond" w:hAnsi="Garamond"/>
                <w:sz w:val="18"/>
                <w:szCs w:val="18"/>
              </w:rPr>
              <w:t>189.4</w:t>
            </w:r>
          </w:p>
        </w:tc>
        <w:tc>
          <w:tcPr>
            <w:tcW w:w="2445" w:type="dxa"/>
          </w:tcPr>
          <w:p w:rsidR="004C1D72" w:rsidRPr="00617399" w:rsidRDefault="004C1D72" w:rsidP="00AA71DE">
            <w:pPr>
              <w:pStyle w:val="Tabele"/>
              <w:ind w:firstLine="0"/>
              <w:jc w:val="right"/>
              <w:rPr>
                <w:rFonts w:ascii="Garamond" w:hAnsi="Garamond"/>
                <w:sz w:val="18"/>
                <w:szCs w:val="18"/>
              </w:rPr>
            </w:pPr>
            <w:r w:rsidRPr="00617399">
              <w:rPr>
                <w:rFonts w:ascii="Garamond" w:hAnsi="Garamond"/>
                <w:sz w:val="18"/>
                <w:szCs w:val="18"/>
              </w:rPr>
              <w:t>1 200 000</w:t>
            </w:r>
          </w:p>
        </w:tc>
      </w:tr>
      <w:tr w:rsidR="004C1D72" w:rsidRPr="003A2B20" w:rsidTr="00AA71DE">
        <w:tc>
          <w:tcPr>
            <w:tcW w:w="556" w:type="dxa"/>
          </w:tcPr>
          <w:p w:rsidR="004C1D72" w:rsidRPr="003A2B20" w:rsidRDefault="004C1D72" w:rsidP="00AA71DE">
            <w:pPr>
              <w:pStyle w:val="Tabele"/>
              <w:ind w:firstLine="0"/>
              <w:rPr>
                <w:rFonts w:ascii="Garamond" w:hAnsi="Garamond"/>
                <w:b/>
                <w:sz w:val="18"/>
                <w:szCs w:val="18"/>
              </w:rPr>
            </w:pPr>
          </w:p>
        </w:tc>
        <w:tc>
          <w:tcPr>
            <w:tcW w:w="4993" w:type="dxa"/>
          </w:tcPr>
          <w:p w:rsidR="004C1D72" w:rsidRPr="003A2B20" w:rsidRDefault="004C1D72" w:rsidP="00AA71DE">
            <w:pPr>
              <w:pStyle w:val="Tabele"/>
              <w:ind w:firstLine="0"/>
              <w:rPr>
                <w:rFonts w:ascii="Garamond" w:hAnsi="Garamond"/>
                <w:b/>
                <w:sz w:val="18"/>
                <w:szCs w:val="18"/>
              </w:rPr>
            </w:pPr>
            <w:r w:rsidRPr="003A2B20">
              <w:rPr>
                <w:rFonts w:ascii="Garamond" w:hAnsi="Garamond"/>
                <w:b/>
                <w:sz w:val="18"/>
                <w:szCs w:val="18"/>
              </w:rPr>
              <w:t>T O T A L I</w:t>
            </w:r>
          </w:p>
        </w:tc>
        <w:tc>
          <w:tcPr>
            <w:tcW w:w="1861" w:type="dxa"/>
          </w:tcPr>
          <w:p w:rsidR="004C1D72" w:rsidRPr="003A2B20" w:rsidRDefault="004C1D72" w:rsidP="00AA71DE">
            <w:pPr>
              <w:pStyle w:val="Tabele"/>
              <w:ind w:firstLine="0"/>
              <w:jc w:val="right"/>
              <w:rPr>
                <w:rFonts w:ascii="Garamond" w:hAnsi="Garamond"/>
                <w:b/>
                <w:sz w:val="18"/>
                <w:szCs w:val="18"/>
              </w:rPr>
            </w:pPr>
            <w:r w:rsidRPr="003A2B20">
              <w:rPr>
                <w:rFonts w:ascii="Garamond" w:hAnsi="Garamond"/>
                <w:b/>
                <w:sz w:val="18"/>
                <w:szCs w:val="18"/>
              </w:rPr>
              <w:t>39461.4</w:t>
            </w:r>
          </w:p>
        </w:tc>
        <w:tc>
          <w:tcPr>
            <w:tcW w:w="2445" w:type="dxa"/>
          </w:tcPr>
          <w:p w:rsidR="004C1D72" w:rsidRPr="003A2B20" w:rsidRDefault="004C1D72" w:rsidP="00AA71DE">
            <w:pPr>
              <w:pStyle w:val="Tabele"/>
              <w:ind w:firstLine="0"/>
              <w:jc w:val="right"/>
              <w:rPr>
                <w:rFonts w:ascii="Garamond" w:hAnsi="Garamond"/>
                <w:b/>
                <w:sz w:val="18"/>
                <w:szCs w:val="18"/>
              </w:rPr>
            </w:pPr>
            <w:r w:rsidRPr="003A2B20">
              <w:rPr>
                <w:rFonts w:ascii="Garamond" w:hAnsi="Garamond"/>
                <w:b/>
                <w:sz w:val="18"/>
                <w:szCs w:val="18"/>
              </w:rPr>
              <w:t>250.000.000</w:t>
            </w:r>
          </w:p>
        </w:tc>
      </w:tr>
    </w:tbl>
    <w:p w:rsidR="004C1D72" w:rsidRPr="000703DE" w:rsidRDefault="004C1D72" w:rsidP="004C1D72">
      <w:pPr>
        <w:pStyle w:val="Paragrafi"/>
      </w:pPr>
    </w:p>
    <w:p w:rsidR="004C1D72" w:rsidRPr="000703DE" w:rsidRDefault="004C1D72" w:rsidP="004C1D72">
      <w:pPr>
        <w:pStyle w:val="Paragrafi"/>
        <w:ind w:firstLine="0"/>
        <w:jc w:val="center"/>
      </w:pPr>
      <w:r w:rsidRPr="000703DE">
        <w:t>ANEKSI -2</w:t>
      </w:r>
    </w:p>
    <w:p w:rsidR="004C1D72" w:rsidRPr="000703DE" w:rsidRDefault="004C1D72" w:rsidP="004C1D72">
      <w:pPr>
        <w:pStyle w:val="Paragrafi"/>
        <w:jc w:val="center"/>
      </w:pPr>
      <w:r w:rsidRPr="000703DE">
        <w:t>VENDODHJA E OBJEKTEVE, FUQIA PUNËTORE E NEVOJSHME, DHE AFATI I ZBATIMIT TË PROJEKTIT KOMBËTAR PËR LUFTIMIT E PROCESIONARES.</w:t>
      </w:r>
    </w:p>
    <w:tbl>
      <w:tblPr>
        <w:tblStyle w:val="TableGrid"/>
        <w:tblW w:w="5000" w:type="pct"/>
        <w:tblLayout w:type="fixed"/>
        <w:tblLook w:val="04A0" w:firstRow="1" w:lastRow="0" w:firstColumn="1" w:lastColumn="0" w:noHBand="0" w:noVBand="1"/>
      </w:tblPr>
      <w:tblGrid>
        <w:gridCol w:w="933"/>
        <w:gridCol w:w="963"/>
        <w:gridCol w:w="1521"/>
        <w:gridCol w:w="1377"/>
        <w:gridCol w:w="1377"/>
        <w:gridCol w:w="1101"/>
        <w:gridCol w:w="1103"/>
        <w:gridCol w:w="1201"/>
      </w:tblGrid>
      <w:tr w:rsidR="004C1D72" w:rsidRPr="003A2B20" w:rsidTr="00AA71DE">
        <w:tc>
          <w:tcPr>
            <w:tcW w:w="487" w:type="pct"/>
            <w:vAlign w:val="center"/>
          </w:tcPr>
          <w:p w:rsidR="004C1D72" w:rsidRPr="003A2B20" w:rsidRDefault="004C1D72" w:rsidP="00AA71DE">
            <w:pPr>
              <w:pStyle w:val="Tabele"/>
              <w:ind w:firstLine="0"/>
              <w:jc w:val="center"/>
              <w:rPr>
                <w:rFonts w:ascii="Garamond" w:hAnsi="Garamond"/>
                <w:b/>
                <w:sz w:val="18"/>
                <w:szCs w:val="18"/>
              </w:rPr>
            </w:pPr>
            <w:r w:rsidRPr="003A2B20">
              <w:rPr>
                <w:rFonts w:ascii="Garamond" w:hAnsi="Garamond"/>
                <w:b/>
                <w:sz w:val="18"/>
                <w:szCs w:val="18"/>
              </w:rPr>
              <w:t>Qarku</w:t>
            </w:r>
          </w:p>
        </w:tc>
        <w:tc>
          <w:tcPr>
            <w:tcW w:w="503" w:type="pct"/>
            <w:vAlign w:val="center"/>
          </w:tcPr>
          <w:p w:rsidR="004C1D72" w:rsidRPr="003A2B20" w:rsidRDefault="004C1D72" w:rsidP="00AA71DE">
            <w:pPr>
              <w:pStyle w:val="Tabele"/>
              <w:ind w:firstLine="0"/>
              <w:jc w:val="center"/>
              <w:rPr>
                <w:rFonts w:ascii="Garamond" w:hAnsi="Garamond"/>
                <w:b/>
                <w:sz w:val="18"/>
                <w:szCs w:val="18"/>
              </w:rPr>
            </w:pPr>
            <w:r w:rsidRPr="003A2B20">
              <w:rPr>
                <w:rFonts w:ascii="Garamond" w:hAnsi="Garamond"/>
                <w:b/>
                <w:sz w:val="18"/>
                <w:szCs w:val="18"/>
              </w:rPr>
              <w:t>Rrethi</w:t>
            </w:r>
          </w:p>
        </w:tc>
        <w:tc>
          <w:tcPr>
            <w:tcW w:w="794" w:type="pct"/>
            <w:vAlign w:val="center"/>
          </w:tcPr>
          <w:p w:rsidR="004C1D72" w:rsidRPr="003A2B20" w:rsidRDefault="004C1D72" w:rsidP="00AA71DE">
            <w:pPr>
              <w:pStyle w:val="Tabele"/>
              <w:ind w:firstLine="0"/>
              <w:jc w:val="center"/>
              <w:rPr>
                <w:rFonts w:ascii="Garamond" w:hAnsi="Garamond"/>
                <w:b/>
                <w:sz w:val="18"/>
                <w:szCs w:val="18"/>
              </w:rPr>
            </w:pPr>
            <w:r w:rsidRPr="003A2B20">
              <w:rPr>
                <w:rFonts w:ascii="Garamond" w:hAnsi="Garamond"/>
                <w:b/>
                <w:sz w:val="18"/>
                <w:szCs w:val="18"/>
              </w:rPr>
              <w:t>Komuna/Bashkia</w:t>
            </w:r>
          </w:p>
        </w:tc>
        <w:tc>
          <w:tcPr>
            <w:tcW w:w="719" w:type="pct"/>
            <w:vAlign w:val="center"/>
          </w:tcPr>
          <w:p w:rsidR="004C1D72" w:rsidRPr="003A2B20" w:rsidRDefault="004C1D72" w:rsidP="00AA71DE">
            <w:pPr>
              <w:pStyle w:val="Tabele"/>
              <w:ind w:firstLine="0"/>
              <w:jc w:val="center"/>
              <w:rPr>
                <w:rFonts w:ascii="Garamond" w:hAnsi="Garamond"/>
                <w:b/>
                <w:sz w:val="18"/>
                <w:szCs w:val="18"/>
              </w:rPr>
            </w:pPr>
            <w:r w:rsidRPr="003A2B20">
              <w:rPr>
                <w:rFonts w:ascii="Garamond" w:hAnsi="Garamond"/>
                <w:b/>
                <w:sz w:val="18"/>
                <w:szCs w:val="18"/>
              </w:rPr>
              <w:t>Ekonomia Pyjore</w:t>
            </w:r>
          </w:p>
        </w:tc>
        <w:tc>
          <w:tcPr>
            <w:tcW w:w="719" w:type="pct"/>
            <w:vAlign w:val="center"/>
          </w:tcPr>
          <w:p w:rsidR="004C1D72" w:rsidRPr="003A2B20" w:rsidRDefault="004C1D72" w:rsidP="00AA71DE">
            <w:pPr>
              <w:pStyle w:val="Tabele"/>
              <w:ind w:firstLine="0"/>
              <w:jc w:val="center"/>
              <w:rPr>
                <w:rFonts w:ascii="Garamond" w:hAnsi="Garamond"/>
                <w:b/>
                <w:sz w:val="18"/>
                <w:szCs w:val="18"/>
              </w:rPr>
            </w:pPr>
            <w:r w:rsidRPr="003A2B20">
              <w:rPr>
                <w:rFonts w:ascii="Garamond" w:hAnsi="Garamond"/>
                <w:b/>
                <w:sz w:val="18"/>
                <w:szCs w:val="18"/>
              </w:rPr>
              <w:t>Vendodhja e objektit</w:t>
            </w:r>
          </w:p>
        </w:tc>
        <w:tc>
          <w:tcPr>
            <w:tcW w:w="575" w:type="pct"/>
            <w:vAlign w:val="center"/>
          </w:tcPr>
          <w:p w:rsidR="004C1D72" w:rsidRPr="003A2B20" w:rsidRDefault="004C1D72" w:rsidP="00AA71DE">
            <w:pPr>
              <w:pStyle w:val="Tabele"/>
              <w:ind w:firstLine="0"/>
              <w:jc w:val="center"/>
              <w:rPr>
                <w:rFonts w:ascii="Garamond" w:hAnsi="Garamond"/>
                <w:b/>
                <w:sz w:val="18"/>
                <w:szCs w:val="18"/>
              </w:rPr>
            </w:pPr>
            <w:r w:rsidRPr="003A2B20">
              <w:rPr>
                <w:rFonts w:ascii="Garamond" w:hAnsi="Garamond"/>
                <w:b/>
                <w:sz w:val="18"/>
                <w:szCs w:val="18"/>
              </w:rPr>
              <w:t>Sipërfaqja (në Ha)</w:t>
            </w:r>
          </w:p>
        </w:tc>
        <w:tc>
          <w:tcPr>
            <w:tcW w:w="576" w:type="pct"/>
            <w:vAlign w:val="center"/>
          </w:tcPr>
          <w:p w:rsidR="004C1D72" w:rsidRPr="003A2B20" w:rsidRDefault="004C1D72" w:rsidP="00AA71DE">
            <w:pPr>
              <w:pStyle w:val="Tabele"/>
              <w:ind w:firstLine="0"/>
              <w:jc w:val="center"/>
              <w:rPr>
                <w:rFonts w:ascii="Garamond" w:hAnsi="Garamond"/>
                <w:b/>
                <w:sz w:val="18"/>
                <w:szCs w:val="18"/>
              </w:rPr>
            </w:pPr>
            <w:r w:rsidRPr="003A2B20">
              <w:rPr>
                <w:rFonts w:ascii="Garamond" w:hAnsi="Garamond"/>
                <w:b/>
                <w:sz w:val="18"/>
                <w:szCs w:val="18"/>
              </w:rPr>
              <w:t>Fuqi punëtore</w:t>
            </w:r>
          </w:p>
        </w:tc>
        <w:tc>
          <w:tcPr>
            <w:tcW w:w="628" w:type="pct"/>
            <w:vAlign w:val="center"/>
          </w:tcPr>
          <w:p w:rsidR="004C1D72" w:rsidRPr="003A2B20" w:rsidRDefault="004C1D72" w:rsidP="00AA71DE">
            <w:pPr>
              <w:pStyle w:val="Tabele"/>
              <w:ind w:firstLine="0"/>
              <w:jc w:val="center"/>
              <w:rPr>
                <w:rFonts w:ascii="Garamond" w:hAnsi="Garamond"/>
                <w:b/>
                <w:sz w:val="18"/>
                <w:szCs w:val="18"/>
              </w:rPr>
            </w:pPr>
            <w:r w:rsidRPr="003A2B20">
              <w:rPr>
                <w:rFonts w:ascii="Garamond" w:hAnsi="Garamond"/>
                <w:b/>
                <w:sz w:val="18"/>
                <w:szCs w:val="18"/>
              </w:rPr>
              <w:t>Afati i kryerjes se punimeve</w:t>
            </w:r>
          </w:p>
        </w:tc>
      </w:tr>
      <w:tr w:rsidR="004C1D72" w:rsidRPr="00617399" w:rsidTr="00AA71DE">
        <w:tc>
          <w:tcPr>
            <w:tcW w:w="487" w:type="pct"/>
            <w:vMerge w:val="restart"/>
          </w:tcPr>
          <w:p w:rsidR="004C1D72" w:rsidRPr="00617399" w:rsidRDefault="004C1D72" w:rsidP="00AA71DE">
            <w:pPr>
              <w:pStyle w:val="Tabele"/>
              <w:ind w:firstLine="0"/>
              <w:rPr>
                <w:rFonts w:ascii="Garamond" w:hAnsi="Garamond"/>
                <w:sz w:val="18"/>
                <w:szCs w:val="18"/>
              </w:rPr>
            </w:pPr>
          </w:p>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Shkodër </w:t>
            </w: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Malësi e Madhe</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 Shkrel</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Fushë zezë. </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Razëm </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50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50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Pukë </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K. Luf-Qerret </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Gomsiqe</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Kthesat e Gomsiqes</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300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300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Pukë </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B. Pukë</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Tërbun </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Kurora e Pukës</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250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250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Fushë Arrës</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B. F. Arrës</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Kryezi-Bicaj</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Kurora e F.Arrës</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120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120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val="restart"/>
          </w:tcPr>
          <w:p w:rsidR="004C1D72" w:rsidRPr="00617399" w:rsidRDefault="004C1D72" w:rsidP="00AA71DE">
            <w:pPr>
              <w:pStyle w:val="Tabele"/>
              <w:ind w:firstLine="0"/>
              <w:rPr>
                <w:rFonts w:ascii="Garamond" w:hAnsi="Garamond"/>
                <w:sz w:val="18"/>
                <w:szCs w:val="18"/>
              </w:rPr>
            </w:pPr>
          </w:p>
          <w:p w:rsidR="004C1D72" w:rsidRPr="00617399" w:rsidRDefault="004C1D72" w:rsidP="00AA71DE">
            <w:pPr>
              <w:pStyle w:val="Tabele"/>
              <w:ind w:firstLine="0"/>
              <w:rPr>
                <w:rFonts w:ascii="Garamond" w:hAnsi="Garamond"/>
                <w:sz w:val="18"/>
                <w:szCs w:val="18"/>
              </w:rPr>
            </w:pPr>
          </w:p>
          <w:p w:rsidR="004C1D72" w:rsidRPr="00617399" w:rsidRDefault="004C1D72" w:rsidP="00AA71DE">
            <w:pPr>
              <w:pStyle w:val="Tabele"/>
              <w:ind w:firstLine="0"/>
              <w:rPr>
                <w:rFonts w:ascii="Garamond" w:hAnsi="Garamond"/>
                <w:sz w:val="18"/>
                <w:szCs w:val="18"/>
              </w:rPr>
            </w:pPr>
          </w:p>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Dibër </w:t>
            </w: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Mat</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Xibër</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Linos-Guri I Bardhë</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Mazije-Shkallë</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100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100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Mat </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B. Klos </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Plani I Bardhë</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Dushku I Kuq, Q. Buall</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30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30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Bulqizë </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B. Bulqizë</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Sheshe Bulqizë</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Tek pishat</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60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60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Bulqizë</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K. Fush Bulqizë </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Liqenet e Bulqizës</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Fush-Bulqizë</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60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60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val="restart"/>
          </w:tcPr>
          <w:p w:rsidR="004C1D72" w:rsidRPr="00617399" w:rsidRDefault="004C1D72" w:rsidP="00AA71DE">
            <w:pPr>
              <w:pStyle w:val="Tabele"/>
              <w:ind w:firstLine="0"/>
              <w:rPr>
                <w:rFonts w:ascii="Garamond" w:hAnsi="Garamond"/>
                <w:sz w:val="18"/>
                <w:szCs w:val="18"/>
              </w:rPr>
            </w:pPr>
          </w:p>
          <w:p w:rsidR="004C1D72" w:rsidRPr="00617399" w:rsidRDefault="004C1D72" w:rsidP="00AA71DE">
            <w:pPr>
              <w:pStyle w:val="Tabele"/>
              <w:ind w:firstLine="0"/>
              <w:rPr>
                <w:rFonts w:ascii="Garamond" w:hAnsi="Garamond"/>
                <w:sz w:val="18"/>
                <w:szCs w:val="18"/>
              </w:rPr>
            </w:pPr>
          </w:p>
          <w:p w:rsidR="004C1D72" w:rsidRPr="00617399" w:rsidRDefault="004C1D72" w:rsidP="00AA71DE">
            <w:pPr>
              <w:pStyle w:val="Tabele"/>
              <w:ind w:firstLine="0"/>
              <w:rPr>
                <w:rFonts w:ascii="Garamond" w:hAnsi="Garamond"/>
                <w:sz w:val="18"/>
                <w:szCs w:val="18"/>
              </w:rPr>
            </w:pPr>
          </w:p>
          <w:p w:rsidR="004C1D72" w:rsidRPr="00617399" w:rsidRDefault="004C1D72" w:rsidP="00AA71DE">
            <w:pPr>
              <w:pStyle w:val="Tabele"/>
              <w:ind w:firstLine="0"/>
              <w:rPr>
                <w:rFonts w:ascii="Garamond" w:hAnsi="Garamond"/>
                <w:sz w:val="18"/>
                <w:szCs w:val="18"/>
              </w:rPr>
            </w:pPr>
          </w:p>
          <w:p w:rsidR="004C1D72" w:rsidRPr="00617399" w:rsidRDefault="004C1D72" w:rsidP="00AA71DE">
            <w:pPr>
              <w:pStyle w:val="Tabele"/>
              <w:ind w:firstLine="0"/>
              <w:rPr>
                <w:rFonts w:ascii="Garamond" w:hAnsi="Garamond"/>
                <w:sz w:val="18"/>
                <w:szCs w:val="18"/>
              </w:rPr>
            </w:pPr>
          </w:p>
          <w:p w:rsidR="004C1D72" w:rsidRPr="00617399" w:rsidRDefault="004C1D72" w:rsidP="00AA71DE">
            <w:pPr>
              <w:pStyle w:val="Tabele"/>
              <w:ind w:firstLine="0"/>
              <w:rPr>
                <w:rFonts w:ascii="Garamond" w:hAnsi="Garamond"/>
                <w:sz w:val="18"/>
                <w:szCs w:val="18"/>
              </w:rPr>
            </w:pPr>
          </w:p>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Elbasan </w:t>
            </w: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Elbasan </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 Gjinar</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Fushë kuqe –Zavalinë</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Gjinar </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100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100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Elbasan </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 Labinot Mal</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Shmil-Zaranikë</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Shmil, Zaranikë</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110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110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Librazhd</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 Qendër</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Qarrishtë </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Qarrishtë, Librazhd Katund, Dorëz</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300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300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Librazhd</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B. Prrenjas</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Prrenjas </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Korora e Prrenjasit</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120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120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Librazhd </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 Orenjë</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Çermenikë</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Orenjë </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125</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125</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Librazhd </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 Hotolisht</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Vehçan </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Hotolisht </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Librazhd </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K. Stravaj </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Stravaj </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Stravaj</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80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80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Gramsh </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K. Godovjat </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Dushku I Bulcarit</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Godovjat </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430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430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Gramsh </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K. Skënderbegas </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Vidhan Skënderbegas</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Skënderbegas </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250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250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val="restart"/>
          </w:tcPr>
          <w:p w:rsidR="004C1D72" w:rsidRPr="00617399" w:rsidRDefault="004C1D72" w:rsidP="00AA71DE">
            <w:pPr>
              <w:pStyle w:val="Tabele"/>
              <w:ind w:firstLine="0"/>
              <w:rPr>
                <w:rFonts w:ascii="Garamond" w:hAnsi="Garamond"/>
                <w:sz w:val="18"/>
                <w:szCs w:val="18"/>
              </w:rPr>
            </w:pPr>
          </w:p>
          <w:p w:rsidR="004C1D72" w:rsidRPr="00617399" w:rsidRDefault="004C1D72" w:rsidP="00AA71DE">
            <w:pPr>
              <w:pStyle w:val="Tabele"/>
              <w:ind w:firstLine="0"/>
              <w:rPr>
                <w:rFonts w:ascii="Garamond" w:hAnsi="Garamond"/>
                <w:sz w:val="18"/>
                <w:szCs w:val="18"/>
              </w:rPr>
            </w:pPr>
          </w:p>
          <w:p w:rsidR="004C1D72" w:rsidRPr="00617399" w:rsidRDefault="004C1D72" w:rsidP="00AA71DE">
            <w:pPr>
              <w:pStyle w:val="Tabele"/>
              <w:ind w:firstLine="0"/>
              <w:rPr>
                <w:rFonts w:ascii="Garamond" w:hAnsi="Garamond"/>
                <w:sz w:val="18"/>
                <w:szCs w:val="18"/>
              </w:rPr>
            </w:pPr>
          </w:p>
          <w:p w:rsidR="004C1D72" w:rsidRPr="00617399" w:rsidRDefault="004C1D72" w:rsidP="00AA71DE">
            <w:pPr>
              <w:pStyle w:val="Tabele"/>
              <w:ind w:firstLine="0"/>
              <w:rPr>
                <w:rFonts w:ascii="Garamond" w:hAnsi="Garamond"/>
                <w:sz w:val="18"/>
                <w:szCs w:val="18"/>
              </w:rPr>
            </w:pPr>
          </w:p>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Korçë </w:t>
            </w: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Korçë </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B. Korçë</w:t>
            </w:r>
          </w:p>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 Mollas</w:t>
            </w:r>
          </w:p>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 Drenovë</w:t>
            </w:r>
          </w:p>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 Pojan</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Zëmblak Qarr</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Korora e qytetit të Korçës nga Q. Qarrit - Moravë</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1400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1400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Korçë </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 Voskopojë</w:t>
            </w:r>
          </w:p>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 Lekas</w:t>
            </w:r>
          </w:p>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 Voskop</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Voskopojë 1</w:t>
            </w:r>
          </w:p>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Voskopojë 2</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Kampi Voskopojë,</w:t>
            </w:r>
          </w:p>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Lekas</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500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500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Korcë</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 Vidhkuq</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Vithkuq-Lubonjë</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Gjanç dhe Pisha e Roshanit</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500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500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 xml:space="preserve">Korçë </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B. Korçë</w:t>
            </w:r>
          </w:p>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B. Maliq</w:t>
            </w:r>
          </w:p>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 Voskop</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Maliq-Dersnik</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Pyllëzimi mbi fshatin Pelenë</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500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500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Devoll</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B. Devoll</w:t>
            </w:r>
          </w:p>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 Vranisht</w:t>
            </w:r>
          </w:p>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 Progër</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Përparim- Dardhë</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Fshati Përparim, mbi Dardhë</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400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400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vMerge/>
          </w:tcPr>
          <w:p w:rsidR="004C1D72" w:rsidRPr="00617399" w:rsidRDefault="004C1D72" w:rsidP="00AA71DE">
            <w:pPr>
              <w:pStyle w:val="Tabele"/>
              <w:ind w:firstLine="0"/>
              <w:rPr>
                <w:rFonts w:ascii="Garamond" w:hAnsi="Garamond"/>
                <w:sz w:val="18"/>
                <w:szCs w:val="18"/>
              </w:rPr>
            </w:pPr>
          </w:p>
        </w:tc>
        <w:tc>
          <w:tcPr>
            <w:tcW w:w="503"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Pogradec</w:t>
            </w:r>
          </w:p>
        </w:tc>
        <w:tc>
          <w:tcPr>
            <w:tcW w:w="794"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B. Pogradec</w:t>
            </w:r>
          </w:p>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K. Udenisht</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Guri I kuq-Lin</w:t>
            </w:r>
          </w:p>
        </w:tc>
        <w:tc>
          <w:tcPr>
            <w:tcW w:w="719"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Mbi rrugën auto Lin-Pogradec</w:t>
            </w: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400</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400</w:t>
            </w:r>
          </w:p>
        </w:tc>
        <w:tc>
          <w:tcPr>
            <w:tcW w:w="628"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15 Shkurt-15 Mars</w:t>
            </w:r>
          </w:p>
        </w:tc>
      </w:tr>
      <w:tr w:rsidR="004C1D72" w:rsidRPr="00617399" w:rsidTr="00AA71DE">
        <w:tc>
          <w:tcPr>
            <w:tcW w:w="487"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TOTALI</w:t>
            </w:r>
          </w:p>
        </w:tc>
        <w:tc>
          <w:tcPr>
            <w:tcW w:w="503" w:type="pct"/>
          </w:tcPr>
          <w:p w:rsidR="004C1D72" w:rsidRPr="00617399" w:rsidRDefault="004C1D72" w:rsidP="00AA71DE">
            <w:pPr>
              <w:pStyle w:val="Tabele"/>
              <w:ind w:firstLine="0"/>
              <w:rPr>
                <w:rFonts w:ascii="Garamond" w:hAnsi="Garamond"/>
                <w:sz w:val="18"/>
                <w:szCs w:val="18"/>
              </w:rPr>
            </w:pPr>
          </w:p>
        </w:tc>
        <w:tc>
          <w:tcPr>
            <w:tcW w:w="794" w:type="pct"/>
          </w:tcPr>
          <w:p w:rsidR="004C1D72" w:rsidRPr="00617399" w:rsidRDefault="004C1D72" w:rsidP="00AA71DE">
            <w:pPr>
              <w:pStyle w:val="Tabele"/>
              <w:ind w:firstLine="0"/>
              <w:rPr>
                <w:rFonts w:ascii="Garamond" w:hAnsi="Garamond"/>
                <w:sz w:val="18"/>
                <w:szCs w:val="18"/>
              </w:rPr>
            </w:pPr>
          </w:p>
        </w:tc>
        <w:tc>
          <w:tcPr>
            <w:tcW w:w="719" w:type="pct"/>
          </w:tcPr>
          <w:p w:rsidR="004C1D72" w:rsidRPr="00617399" w:rsidRDefault="004C1D72" w:rsidP="00AA71DE">
            <w:pPr>
              <w:pStyle w:val="Tabele"/>
              <w:ind w:firstLine="0"/>
              <w:rPr>
                <w:rFonts w:ascii="Garamond" w:hAnsi="Garamond"/>
                <w:sz w:val="18"/>
                <w:szCs w:val="18"/>
              </w:rPr>
            </w:pPr>
          </w:p>
        </w:tc>
        <w:tc>
          <w:tcPr>
            <w:tcW w:w="719" w:type="pct"/>
          </w:tcPr>
          <w:p w:rsidR="004C1D72" w:rsidRPr="00617399" w:rsidRDefault="004C1D72" w:rsidP="00AA71DE">
            <w:pPr>
              <w:pStyle w:val="Tabele"/>
              <w:ind w:firstLine="0"/>
              <w:rPr>
                <w:rFonts w:ascii="Garamond" w:hAnsi="Garamond"/>
                <w:sz w:val="18"/>
                <w:szCs w:val="18"/>
              </w:rPr>
            </w:pPr>
          </w:p>
        </w:tc>
        <w:tc>
          <w:tcPr>
            <w:tcW w:w="575"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6335</w:t>
            </w:r>
          </w:p>
        </w:tc>
        <w:tc>
          <w:tcPr>
            <w:tcW w:w="576" w:type="pct"/>
          </w:tcPr>
          <w:p w:rsidR="004C1D72" w:rsidRPr="00617399" w:rsidRDefault="004C1D72" w:rsidP="00AA71DE">
            <w:pPr>
              <w:pStyle w:val="Tabele"/>
              <w:ind w:firstLine="0"/>
              <w:rPr>
                <w:rFonts w:ascii="Garamond" w:hAnsi="Garamond"/>
                <w:sz w:val="18"/>
                <w:szCs w:val="18"/>
              </w:rPr>
            </w:pPr>
            <w:r w:rsidRPr="00617399">
              <w:rPr>
                <w:rFonts w:ascii="Garamond" w:hAnsi="Garamond"/>
                <w:sz w:val="18"/>
                <w:szCs w:val="18"/>
              </w:rPr>
              <w:t>6335</w:t>
            </w:r>
          </w:p>
        </w:tc>
        <w:tc>
          <w:tcPr>
            <w:tcW w:w="628" w:type="pct"/>
          </w:tcPr>
          <w:p w:rsidR="004C1D72" w:rsidRPr="00617399" w:rsidRDefault="004C1D72" w:rsidP="00AA71DE">
            <w:pPr>
              <w:pStyle w:val="Tabele"/>
              <w:ind w:firstLine="0"/>
              <w:rPr>
                <w:rFonts w:ascii="Garamond" w:hAnsi="Garamond"/>
                <w:sz w:val="18"/>
                <w:szCs w:val="18"/>
              </w:rPr>
            </w:pPr>
          </w:p>
        </w:tc>
      </w:tr>
    </w:tbl>
    <w:p w:rsidR="00425E17" w:rsidRDefault="004C1D72"/>
    <w:sectPr w:rsidR="00425E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D72"/>
    <w:rsid w:val="004C1D72"/>
    <w:rsid w:val="007A256A"/>
    <w:rsid w:val="00C94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D72"/>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C1D7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C1D7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C1D72"/>
    <w:rPr>
      <w:rFonts w:ascii="Garamond" w:eastAsia="MS Mincho" w:hAnsi="Garamond" w:cs="CG Times"/>
      <w:b/>
      <w:bCs/>
      <w:sz w:val="24"/>
      <w:lang w:val="en-GB"/>
    </w:rPr>
  </w:style>
  <w:style w:type="paragraph" w:customStyle="1" w:styleId="Paragrafi">
    <w:name w:val="Paragrafi"/>
    <w:link w:val="ParagrafiChar"/>
    <w:rsid w:val="004C1D7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C1D72"/>
    <w:rPr>
      <w:rFonts w:ascii="Garamond" w:eastAsia="MS Mincho" w:hAnsi="Garamond" w:cs="CG Times"/>
      <w:sz w:val="24"/>
    </w:rPr>
  </w:style>
  <w:style w:type="paragraph" w:customStyle="1" w:styleId="Titulli">
    <w:name w:val="Titulli"/>
    <w:next w:val="Normal"/>
    <w:link w:val="TitulliChar"/>
    <w:uiPriority w:val="99"/>
    <w:rsid w:val="004C1D7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4C1D72"/>
    <w:rPr>
      <w:rFonts w:ascii="Garamond" w:eastAsia="MS Mincho" w:hAnsi="Garamond" w:cs="CG Times"/>
      <w:b/>
      <w:bCs/>
      <w:caps/>
      <w:sz w:val="24"/>
      <w:lang w:val="en-GB"/>
    </w:rPr>
  </w:style>
  <w:style w:type="character" w:customStyle="1" w:styleId="AktiChar">
    <w:name w:val="Akti Char"/>
    <w:basedOn w:val="DefaultParagraphFont"/>
    <w:link w:val="Akti"/>
    <w:rsid w:val="004C1D72"/>
    <w:rPr>
      <w:rFonts w:ascii="Garamond" w:eastAsia="MS Mincho" w:hAnsi="Garamond" w:cs="CG Times"/>
      <w:b/>
      <w:bCs/>
      <w:caps/>
      <w:color w:val="000000"/>
      <w:sz w:val="24"/>
      <w:lang w:val="en-GB"/>
    </w:rPr>
  </w:style>
  <w:style w:type="paragraph" w:customStyle="1" w:styleId="Autoriteti">
    <w:name w:val="Autoriteti"/>
    <w:next w:val="Normal"/>
    <w:link w:val="AutoritetiChar"/>
    <w:rsid w:val="004C1D7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4C1D7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4C1D72"/>
    <w:rPr>
      <w:rFonts w:ascii="Garamond" w:eastAsia="MS Mincho" w:hAnsi="Garamond" w:cs="CG Times"/>
      <w:caps/>
      <w:sz w:val="24"/>
      <w:lang w:val="en-GB"/>
    </w:rPr>
  </w:style>
  <w:style w:type="character" w:customStyle="1" w:styleId="AutoritetiEmerChar">
    <w:name w:val="Autoriteti_Emer Char"/>
    <w:link w:val="AutoritetiEmer"/>
    <w:locked/>
    <w:rsid w:val="004C1D72"/>
    <w:rPr>
      <w:rFonts w:ascii="Garamond" w:eastAsia="MS Mincho" w:hAnsi="Garamond" w:cs="Times New Roman"/>
      <w:b/>
      <w:bCs/>
      <w:sz w:val="24"/>
      <w:lang w:val="en-GB"/>
    </w:rPr>
  </w:style>
  <w:style w:type="paragraph" w:customStyle="1" w:styleId="Tabele">
    <w:name w:val="Tabele"/>
    <w:rsid w:val="004C1D72"/>
    <w:pPr>
      <w:spacing w:after="0" w:line="240" w:lineRule="auto"/>
      <w:ind w:firstLine="284"/>
      <w:jc w:val="both"/>
    </w:pPr>
    <w:rPr>
      <w:rFonts w:ascii="CG Times" w:eastAsia="MS Mincho" w:hAnsi="CG Times" w:cs="CG Times"/>
      <w:lang w:val="en-GB"/>
    </w:rPr>
  </w:style>
  <w:style w:type="table" w:styleId="TableGrid">
    <w:name w:val="Table Grid"/>
    <w:basedOn w:val="TableNormal"/>
    <w:uiPriority w:val="59"/>
    <w:rsid w:val="004C1D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D72"/>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4C1D7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4C1D7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4C1D72"/>
    <w:rPr>
      <w:rFonts w:ascii="Garamond" w:eastAsia="MS Mincho" w:hAnsi="Garamond" w:cs="CG Times"/>
      <w:b/>
      <w:bCs/>
      <w:sz w:val="24"/>
      <w:lang w:val="en-GB"/>
    </w:rPr>
  </w:style>
  <w:style w:type="paragraph" w:customStyle="1" w:styleId="Paragrafi">
    <w:name w:val="Paragrafi"/>
    <w:link w:val="ParagrafiChar"/>
    <w:rsid w:val="004C1D7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C1D72"/>
    <w:rPr>
      <w:rFonts w:ascii="Garamond" w:eastAsia="MS Mincho" w:hAnsi="Garamond" w:cs="CG Times"/>
      <w:sz w:val="24"/>
    </w:rPr>
  </w:style>
  <w:style w:type="paragraph" w:customStyle="1" w:styleId="Titulli">
    <w:name w:val="Titulli"/>
    <w:next w:val="Normal"/>
    <w:link w:val="TitulliChar"/>
    <w:uiPriority w:val="99"/>
    <w:rsid w:val="004C1D7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4C1D72"/>
    <w:rPr>
      <w:rFonts w:ascii="Garamond" w:eastAsia="MS Mincho" w:hAnsi="Garamond" w:cs="CG Times"/>
      <w:b/>
      <w:bCs/>
      <w:caps/>
      <w:sz w:val="24"/>
      <w:lang w:val="en-GB"/>
    </w:rPr>
  </w:style>
  <w:style w:type="character" w:customStyle="1" w:styleId="AktiChar">
    <w:name w:val="Akti Char"/>
    <w:basedOn w:val="DefaultParagraphFont"/>
    <w:link w:val="Akti"/>
    <w:rsid w:val="004C1D72"/>
    <w:rPr>
      <w:rFonts w:ascii="Garamond" w:eastAsia="MS Mincho" w:hAnsi="Garamond" w:cs="CG Times"/>
      <w:b/>
      <w:bCs/>
      <w:caps/>
      <w:color w:val="000000"/>
      <w:sz w:val="24"/>
      <w:lang w:val="en-GB"/>
    </w:rPr>
  </w:style>
  <w:style w:type="paragraph" w:customStyle="1" w:styleId="Autoriteti">
    <w:name w:val="Autoriteti"/>
    <w:next w:val="Normal"/>
    <w:link w:val="AutoritetiChar"/>
    <w:rsid w:val="004C1D7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4C1D7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4C1D72"/>
    <w:rPr>
      <w:rFonts w:ascii="Garamond" w:eastAsia="MS Mincho" w:hAnsi="Garamond" w:cs="CG Times"/>
      <w:caps/>
      <w:sz w:val="24"/>
      <w:lang w:val="en-GB"/>
    </w:rPr>
  </w:style>
  <w:style w:type="character" w:customStyle="1" w:styleId="AutoritetiEmerChar">
    <w:name w:val="Autoriteti_Emer Char"/>
    <w:link w:val="AutoritetiEmer"/>
    <w:locked/>
    <w:rsid w:val="004C1D72"/>
    <w:rPr>
      <w:rFonts w:ascii="Garamond" w:eastAsia="MS Mincho" w:hAnsi="Garamond" w:cs="Times New Roman"/>
      <w:b/>
      <w:bCs/>
      <w:sz w:val="24"/>
      <w:lang w:val="en-GB"/>
    </w:rPr>
  </w:style>
  <w:style w:type="paragraph" w:customStyle="1" w:styleId="Tabele">
    <w:name w:val="Tabele"/>
    <w:rsid w:val="004C1D72"/>
    <w:pPr>
      <w:spacing w:after="0" w:line="240" w:lineRule="auto"/>
      <w:ind w:firstLine="284"/>
      <w:jc w:val="both"/>
    </w:pPr>
    <w:rPr>
      <w:rFonts w:ascii="CG Times" w:eastAsia="MS Mincho" w:hAnsi="CG Times" w:cs="CG Times"/>
      <w:lang w:val="en-GB"/>
    </w:rPr>
  </w:style>
  <w:style w:type="table" w:styleId="TableGrid">
    <w:name w:val="Table Grid"/>
    <w:basedOn w:val="TableNormal"/>
    <w:uiPriority w:val="59"/>
    <w:rsid w:val="004C1D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787</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2019-01-28T12:34:00Z</dcterms:created>
  <dcterms:modified xsi:type="dcterms:W3CDTF">2019-01-28T12:34:00Z</dcterms:modified>
</cp:coreProperties>
</file>