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719F" w:rsidRPr="005136B2" w:rsidRDefault="00C2719F" w:rsidP="00C2719F">
      <w:pPr>
        <w:pStyle w:val="Akti"/>
        <w:rPr>
          <w:lang w:val="sq-AL"/>
        </w:rPr>
      </w:pPr>
      <w:r w:rsidRPr="005136B2">
        <w:rPr>
          <w:lang w:val="sq-AL"/>
        </w:rPr>
        <w:t>VENDIM</w:t>
      </w:r>
    </w:p>
    <w:p w:rsidR="00C2719F" w:rsidRPr="005136B2" w:rsidRDefault="00C2719F" w:rsidP="00C2719F">
      <w:pPr>
        <w:pStyle w:val="NumriData"/>
        <w:rPr>
          <w:lang w:val="sq-AL"/>
        </w:rPr>
      </w:pPr>
      <w:r w:rsidRPr="005136B2">
        <w:rPr>
          <w:lang w:val="sq-AL"/>
        </w:rPr>
        <w:t>Nr.</w:t>
      </w:r>
      <w:r>
        <w:rPr>
          <w:lang w:val="sq-AL"/>
        </w:rPr>
        <w:t xml:space="preserve"> </w:t>
      </w:r>
      <w:r w:rsidRPr="005136B2">
        <w:rPr>
          <w:lang w:val="sq-AL"/>
        </w:rPr>
        <w:t>110, datë 4.2.2015</w:t>
      </w:r>
    </w:p>
    <w:p w:rsidR="00C2719F" w:rsidRPr="005136B2" w:rsidRDefault="00C2719F" w:rsidP="00C2719F">
      <w:pPr>
        <w:pStyle w:val="Hapesira7"/>
        <w:ind w:firstLine="0"/>
        <w:rPr>
          <w:lang w:val="sq-AL"/>
        </w:rPr>
      </w:pPr>
    </w:p>
    <w:p w:rsidR="00C2719F" w:rsidRPr="005136B2" w:rsidRDefault="00C2719F" w:rsidP="00C2719F">
      <w:pPr>
        <w:pStyle w:val="Titulli"/>
        <w:rPr>
          <w:lang w:val="sq-AL"/>
        </w:rPr>
      </w:pPr>
      <w:r w:rsidRPr="005136B2">
        <w:rPr>
          <w:lang w:val="sq-AL"/>
        </w:rPr>
        <w:t xml:space="preserve">PËR KALIMIN NË PËRGJEGJËSI ADMINISTRIMI TË AUTORITETIT SHTETËROR PËR INFORMACIONIN GJEOHAPËSINOR (ASIG), AGJENCISË KOMBËTARE PËR SIGURINË KOMPJUTERIKE (ALCIRT), AGJENCISË SË KËRKIMIT, TEKNOLOGJISË DHE INOVACIONIT (AKTI), AUTORITETIT KOMBËTAR PËR CERTIFIKIMIN ELEKTRONIK (AKCE), AGJENCISË KOMBËTARE TË SHOQËRISË SË INFORMACIONIT (AKSHI) DHE AGJENCISË SË PROKURIMIT PUBLIK (APP) TË MJEDISEVE TË NDËRTESËS (GODINËS) “ISH-INIMA” </w:t>
      </w:r>
    </w:p>
    <w:p w:rsidR="00C2719F" w:rsidRPr="005136B2" w:rsidRDefault="00C2719F" w:rsidP="00C2719F">
      <w:pPr>
        <w:pStyle w:val="Hapesira7"/>
        <w:rPr>
          <w:lang w:val="sq-AL"/>
        </w:rPr>
      </w:pPr>
    </w:p>
    <w:p w:rsidR="00C2719F" w:rsidRPr="005136B2" w:rsidRDefault="00C2719F" w:rsidP="00C2719F">
      <w:pPr>
        <w:pStyle w:val="Paragrafi"/>
        <w:rPr>
          <w:lang w:val="sq-AL"/>
        </w:rPr>
      </w:pPr>
      <w:r w:rsidRPr="005136B2">
        <w:rPr>
          <w:lang w:val="sq-AL"/>
        </w:rPr>
        <w:t>Në mbështetje të nenit 100 të Kushtetutës dhe të neneve 13, 15 e 16, të  ligjit nr.</w:t>
      </w:r>
      <w:r>
        <w:rPr>
          <w:lang w:val="sq-AL"/>
        </w:rPr>
        <w:t xml:space="preserve"> </w:t>
      </w:r>
      <w:r w:rsidRPr="005136B2">
        <w:rPr>
          <w:lang w:val="sq-AL"/>
        </w:rPr>
        <w:t xml:space="preserve">8743, datë 22.2.2001, “Për pronat e paluajtshme të shtetit”, të ndryshuar, me propozimin e ministrit të Shtetit për Inovacionin dhe Administratën Publike, Këshilli i Ministrave </w:t>
      </w:r>
    </w:p>
    <w:p w:rsidR="00C2719F" w:rsidRDefault="00C2719F" w:rsidP="00C2719F">
      <w:pPr>
        <w:pStyle w:val="Hapesira7"/>
        <w:rPr>
          <w:lang w:val="sq-AL"/>
        </w:rPr>
      </w:pPr>
      <w:bookmarkStart w:id="0" w:name="_GoBack"/>
      <w:bookmarkEnd w:id="0"/>
    </w:p>
    <w:p w:rsidR="00C2719F" w:rsidRDefault="00C2719F" w:rsidP="00C2719F">
      <w:pPr>
        <w:pStyle w:val="Hapesira7"/>
        <w:rPr>
          <w:lang w:val="sq-AL"/>
        </w:rPr>
      </w:pPr>
    </w:p>
    <w:p w:rsidR="00C2719F" w:rsidRDefault="00C2719F" w:rsidP="00C2719F">
      <w:pPr>
        <w:pStyle w:val="Hapesira7"/>
        <w:rPr>
          <w:lang w:val="sq-AL"/>
        </w:rPr>
      </w:pPr>
    </w:p>
    <w:p w:rsidR="00C2719F" w:rsidRDefault="00C2719F" w:rsidP="00C2719F">
      <w:pPr>
        <w:pStyle w:val="Hapesira7"/>
        <w:rPr>
          <w:lang w:val="sq-AL"/>
        </w:rPr>
      </w:pPr>
    </w:p>
    <w:p w:rsidR="00C2719F" w:rsidRPr="005136B2" w:rsidRDefault="00C2719F" w:rsidP="00C2719F">
      <w:pPr>
        <w:pStyle w:val="Hapesira7"/>
        <w:rPr>
          <w:lang w:val="sq-AL"/>
        </w:rPr>
      </w:pPr>
    </w:p>
    <w:p w:rsidR="00C2719F" w:rsidRPr="005136B2" w:rsidRDefault="00C2719F" w:rsidP="00C2719F">
      <w:pPr>
        <w:pStyle w:val="Vendosi"/>
        <w:rPr>
          <w:lang w:val="sq-AL"/>
        </w:rPr>
      </w:pPr>
      <w:r w:rsidRPr="005136B2">
        <w:rPr>
          <w:lang w:val="sq-AL"/>
        </w:rPr>
        <w:t>VENDOSI:</w:t>
      </w:r>
    </w:p>
    <w:p w:rsidR="00C2719F" w:rsidRPr="005136B2" w:rsidRDefault="00C2719F" w:rsidP="00C2719F">
      <w:pPr>
        <w:pStyle w:val="Hapesira7"/>
        <w:rPr>
          <w:lang w:val="sq-AL"/>
        </w:rPr>
      </w:pPr>
    </w:p>
    <w:p w:rsidR="00C2719F" w:rsidRPr="005136B2" w:rsidRDefault="00C2719F" w:rsidP="00C2719F">
      <w:pPr>
        <w:pStyle w:val="Paragrafi"/>
        <w:rPr>
          <w:lang w:val="sq-AL"/>
        </w:rPr>
      </w:pPr>
      <w:r w:rsidRPr="005136B2">
        <w:rPr>
          <w:lang w:val="sq-AL"/>
        </w:rPr>
        <w:t>1. Kalimin në përgjegjësi administrimi, të mjediseve të ndërtesës (godinës) “Ish-INIMA”, me numër pasurie 1/12, zona kadastrale 8160, rruga “Papa Gjon Pali”, nr.</w:t>
      </w:r>
      <w:r>
        <w:rPr>
          <w:lang w:val="sq-AL"/>
        </w:rPr>
        <w:t xml:space="preserve"> </w:t>
      </w:r>
      <w:r w:rsidRPr="005136B2">
        <w:rPr>
          <w:lang w:val="sq-AL"/>
        </w:rPr>
        <w:t>3, të Autoritetit Shtetëror për Informacionin Gjeohapësinor (ASIG), Agjencisë Kombëtare për Sigurinë Kompjuterike (ALCIRT), Agjencisë së Kërkimit, Teknologjisë dhe Inovacionit (AKTI) dhe Autoritetit Kombëtar për Certifikimin Elektronik (AKCE), sipas planimetrive bashkëlidhur këtij vendimi, për mjedise pune për ushtrimin e veprimtarisë administrative të këtyre institucioneve, si më poshtë vijon:</w:t>
      </w:r>
    </w:p>
    <w:p w:rsidR="00C2719F" w:rsidRPr="005136B2" w:rsidRDefault="00C2719F" w:rsidP="00C2719F">
      <w:pPr>
        <w:pStyle w:val="Paragrafi"/>
        <w:rPr>
          <w:lang w:val="sq-AL"/>
        </w:rPr>
      </w:pPr>
      <w:r w:rsidRPr="005136B2">
        <w:rPr>
          <w:lang w:val="sq-AL"/>
        </w:rPr>
        <w:t xml:space="preserve">a) Autoritetit Kombëtar për Certifikimin Elektronik (AKCE) dhe Agjencisë së Kërkimit, Teknologjisë dhe Inovacionit (AKTI) </w:t>
      </w:r>
      <w:r>
        <w:rPr>
          <w:lang w:val="sq-AL"/>
        </w:rPr>
        <w:t>u</w:t>
      </w:r>
      <w:r w:rsidRPr="005136B2">
        <w:rPr>
          <w:lang w:val="sq-AL"/>
        </w:rPr>
        <w:t xml:space="preserve"> kalojnë në përgjegjësi administrimi mjediset me sipërfaqe prej 683 m</w:t>
      </w:r>
      <w:r w:rsidRPr="005136B2">
        <w:rPr>
          <w:vertAlign w:val="superscript"/>
          <w:lang w:val="sq-AL"/>
        </w:rPr>
        <w:t>2</w:t>
      </w:r>
      <w:r w:rsidRPr="005136B2">
        <w:rPr>
          <w:lang w:val="sq-AL"/>
        </w:rPr>
        <w:t xml:space="preserve">, të zyrave të katit të parë të godinës, sipas planimetrisë aneksi 3, që i bashkëlidhet këtij vendimi; </w:t>
      </w:r>
    </w:p>
    <w:p w:rsidR="00C2719F" w:rsidRPr="005136B2" w:rsidRDefault="00C2719F" w:rsidP="00C2719F">
      <w:pPr>
        <w:pStyle w:val="Paragrafi"/>
        <w:rPr>
          <w:lang w:val="sq-AL"/>
        </w:rPr>
      </w:pPr>
      <w:r w:rsidRPr="005136B2">
        <w:rPr>
          <w:lang w:val="sq-AL"/>
        </w:rPr>
        <w:t xml:space="preserve">b) Autoritetit Shtetëror për Informacionin Gjeohapësinor (ASIG) dhe Agjencisë Kombëtare për Sigurinë Kompjuterike (ALCIRT) </w:t>
      </w:r>
      <w:r>
        <w:rPr>
          <w:lang w:val="sq-AL"/>
        </w:rPr>
        <w:t>u</w:t>
      </w:r>
      <w:r w:rsidRPr="005136B2">
        <w:rPr>
          <w:lang w:val="sq-AL"/>
        </w:rPr>
        <w:t xml:space="preserve"> kalojnë në përgjegjësi administrimi mjediset me sipërfaqe prej 700 m</w:t>
      </w:r>
      <w:r w:rsidRPr="005136B2">
        <w:rPr>
          <w:vertAlign w:val="superscript"/>
          <w:lang w:val="sq-AL"/>
        </w:rPr>
        <w:t>2</w:t>
      </w:r>
      <w:r w:rsidRPr="005136B2">
        <w:rPr>
          <w:lang w:val="sq-AL"/>
        </w:rPr>
        <w:t xml:space="preserve"> , të zyrave të katit të dytë të godinës, sipas planimetrisë aneksi 4, që i bashkëlidhet këtij vendimi.</w:t>
      </w:r>
    </w:p>
    <w:p w:rsidR="00C2719F" w:rsidRPr="005136B2" w:rsidRDefault="00C2719F" w:rsidP="00C2719F">
      <w:pPr>
        <w:pStyle w:val="Paragrafi"/>
        <w:rPr>
          <w:lang w:val="sq-AL"/>
        </w:rPr>
      </w:pPr>
      <w:r w:rsidRPr="005136B2">
        <w:rPr>
          <w:lang w:val="sq-AL"/>
        </w:rPr>
        <w:t>2. Kalimin në përgjegjësi administrimi të Agjencisë Kombëtare për Shoqërinë e Informacionit (AKSHI) dhe Agjencisë së Prokurimit Publik (APP) të mjediseve të ndërtesës (godinës) “Ish-INIMA”, me numër pasurie 1/12, zona kadastrale 8160, rruga “Papa Gjon Pali”, nr.</w:t>
      </w:r>
      <w:r>
        <w:rPr>
          <w:lang w:val="sq-AL"/>
        </w:rPr>
        <w:t xml:space="preserve"> </w:t>
      </w:r>
      <w:r w:rsidRPr="005136B2">
        <w:rPr>
          <w:lang w:val="sq-AL"/>
        </w:rPr>
        <w:t>3, sipas planimetrive bashkëlidhur këtij vendimi, për mjedise pune për ushtrimin e veprimtarisë administrative të këtyre institucioneve, si më poshtë vijon:</w:t>
      </w:r>
    </w:p>
    <w:p w:rsidR="00C2719F" w:rsidRPr="005136B2" w:rsidRDefault="00C2719F" w:rsidP="00C2719F">
      <w:pPr>
        <w:pStyle w:val="Paragrafi"/>
        <w:rPr>
          <w:lang w:val="sq-AL"/>
        </w:rPr>
      </w:pPr>
      <w:r w:rsidRPr="005136B2">
        <w:rPr>
          <w:lang w:val="sq-AL"/>
        </w:rPr>
        <w:t>a) Agjencisë së Prokurimit Publik (APP) i kalojnë në përgjegjësi administrimi mjediset me sipërfaqe prej 900 m</w:t>
      </w:r>
      <w:r w:rsidRPr="005136B2">
        <w:rPr>
          <w:vertAlign w:val="superscript"/>
          <w:lang w:val="sq-AL"/>
        </w:rPr>
        <w:t>2</w:t>
      </w:r>
      <w:r w:rsidRPr="005136B2">
        <w:rPr>
          <w:lang w:val="sq-AL"/>
        </w:rPr>
        <w:t xml:space="preserve">, të zyrave të katit të dytë, sipas planimetrisë Aneksi 1, që i bashkëlidhet këtij vendimi; </w:t>
      </w:r>
    </w:p>
    <w:p w:rsidR="00C2719F" w:rsidRPr="005136B2" w:rsidRDefault="00C2719F" w:rsidP="00C2719F">
      <w:pPr>
        <w:pStyle w:val="Paragrafi"/>
        <w:rPr>
          <w:lang w:val="sq-AL"/>
        </w:rPr>
      </w:pPr>
      <w:r w:rsidRPr="005136B2">
        <w:rPr>
          <w:lang w:val="sq-AL"/>
        </w:rPr>
        <w:t>b) Agjencisë Kombëtare të Shoqërisë së Informacionit (AKSHI) i kalojnë në përgjegjësi administrimi mjediset me sipërfaqe prej 454.2 m</w:t>
      </w:r>
      <w:r w:rsidRPr="007E4B70">
        <w:rPr>
          <w:vertAlign w:val="superscript"/>
          <w:lang w:val="sq-AL"/>
        </w:rPr>
        <w:t>2</w:t>
      </w:r>
      <w:r w:rsidRPr="005136B2">
        <w:rPr>
          <w:lang w:val="sq-AL"/>
        </w:rPr>
        <w:t>, të zyrave të katit të parë të godinës, sipas planimetrisë Aneksi 2, që i bashkëlidhet këtij vendimi.</w:t>
      </w:r>
    </w:p>
    <w:p w:rsidR="00C2719F" w:rsidRPr="005136B2" w:rsidRDefault="00C2719F" w:rsidP="00C2719F">
      <w:pPr>
        <w:pStyle w:val="Paragrafi"/>
        <w:rPr>
          <w:lang w:val="sq-AL"/>
        </w:rPr>
      </w:pPr>
      <w:r w:rsidRPr="005136B2">
        <w:rPr>
          <w:lang w:val="sq-AL"/>
        </w:rPr>
        <w:t xml:space="preserve">3. Këtyre institucioneve u ndalohet ta ndryshojnë destinacionin e pronës, të përcaktuar në pikën 1, të këtij vendimi, ta tjetërsojnë atë ose t’ua japin në përdorim të tretëve. </w:t>
      </w:r>
    </w:p>
    <w:p w:rsidR="00C2719F" w:rsidRPr="005136B2" w:rsidRDefault="00C2719F" w:rsidP="00C2719F">
      <w:pPr>
        <w:pStyle w:val="Paragrafi"/>
        <w:rPr>
          <w:lang w:val="sq-AL"/>
        </w:rPr>
      </w:pPr>
      <w:r w:rsidRPr="005136B2">
        <w:rPr>
          <w:lang w:val="sq-AL"/>
        </w:rPr>
        <w:t>4. Vendimi nr.</w:t>
      </w:r>
      <w:r>
        <w:rPr>
          <w:lang w:val="sq-AL"/>
        </w:rPr>
        <w:t xml:space="preserve"> </w:t>
      </w:r>
      <w:r w:rsidRPr="005136B2">
        <w:rPr>
          <w:lang w:val="sq-AL"/>
        </w:rPr>
        <w:t>560, datë 16.8.2006, i Këshillit të Ministrave, “Për kalimin e disa mjediseve në përgjegjësi administrimi të Ministrisë së Integrimit për ushtrimin e veprimtarisë”, të ndryshuar, vendimi nr.</w:t>
      </w:r>
      <w:r>
        <w:rPr>
          <w:lang w:val="sq-AL"/>
        </w:rPr>
        <w:t xml:space="preserve"> </w:t>
      </w:r>
      <w:r w:rsidRPr="005136B2">
        <w:rPr>
          <w:lang w:val="sq-AL"/>
        </w:rPr>
        <w:t>324, datë 30.5.2007, i Këshillit të Ministrave, “Për dhënien në përdorim Ministrisë së Ekonomisë, Tregtisë dhe Energjetikës të disa mjediseve të ndërtesës (godinës) “Ish-INIMA””, vendimi nr.</w:t>
      </w:r>
      <w:r>
        <w:rPr>
          <w:lang w:val="sq-AL"/>
        </w:rPr>
        <w:t xml:space="preserve"> </w:t>
      </w:r>
      <w:r w:rsidRPr="005136B2">
        <w:rPr>
          <w:lang w:val="sq-AL"/>
        </w:rPr>
        <w:t xml:space="preserve">153, datë 11.2.2009, i Këshillit të Ministrave, “Për dhënien në përdorim Qendrës </w:t>
      </w:r>
      <w:r w:rsidRPr="005136B2">
        <w:rPr>
          <w:lang w:val="sq-AL"/>
        </w:rPr>
        <w:lastRenderedPageBreak/>
        <w:t xml:space="preserve">Kombëtare të Licencimit të disa mjediseve në ndërtesën (godinën) e INIMA””, shfuqizohen. </w:t>
      </w:r>
    </w:p>
    <w:p w:rsidR="00C2719F" w:rsidRPr="005136B2" w:rsidRDefault="00C2719F" w:rsidP="00C2719F">
      <w:pPr>
        <w:pStyle w:val="Paragrafi"/>
        <w:rPr>
          <w:lang w:val="sq-AL"/>
        </w:rPr>
      </w:pPr>
      <w:r w:rsidRPr="005136B2">
        <w:rPr>
          <w:lang w:val="sq-AL"/>
        </w:rPr>
        <w:t xml:space="preserve">5. Ngarkohet ministri i Shtetit për Inovacionin dhe Administratën Publike dhe Sekretari i Përgjithshëm i Këshillit të Ministrave të marrin masat përkatëse për ndarjen dhe organizimin e agjencive të përmendura në pikat 1 dhe 2, të këtij vendimi, në mjediset e godinës. </w:t>
      </w:r>
    </w:p>
    <w:p w:rsidR="00C2719F" w:rsidRPr="005136B2" w:rsidRDefault="00C2719F" w:rsidP="00C2719F">
      <w:pPr>
        <w:pStyle w:val="Paragrafi"/>
        <w:rPr>
          <w:lang w:val="sq-AL"/>
        </w:rPr>
      </w:pPr>
      <w:r>
        <w:rPr>
          <w:lang w:val="sq-AL"/>
        </w:rPr>
        <w:t xml:space="preserve">6. </w:t>
      </w:r>
      <w:r w:rsidRPr="005136B2">
        <w:rPr>
          <w:lang w:val="sq-AL"/>
        </w:rPr>
        <w:t xml:space="preserve">Ngarkohen Kryeministria, ministri i Shtetit për Inovacionin dhe Administratën Publike dhe kryeregjistruesi i Zyrës së Regjistrimit të Pasurive të Paluajtshme të Republikës së Shqipërisë për zbatimin e këtij vendimi. </w:t>
      </w:r>
    </w:p>
    <w:p w:rsidR="00C2719F" w:rsidRPr="005136B2" w:rsidRDefault="00C2719F" w:rsidP="00C2719F">
      <w:pPr>
        <w:pStyle w:val="Paragrafi"/>
        <w:rPr>
          <w:lang w:val="sq-AL"/>
        </w:rPr>
      </w:pPr>
      <w:r w:rsidRPr="005136B2">
        <w:rPr>
          <w:lang w:val="sq-AL"/>
        </w:rPr>
        <w:t xml:space="preserve">     Ky vendim hyn në fuqi menjëherë dhe botohet në Fletoren Zyrtare.</w:t>
      </w:r>
    </w:p>
    <w:p w:rsidR="00C2719F" w:rsidRPr="005136B2" w:rsidRDefault="00C2719F" w:rsidP="00C2719F">
      <w:pPr>
        <w:pStyle w:val="Hapesira7"/>
        <w:rPr>
          <w:lang w:val="sq-AL"/>
        </w:rPr>
      </w:pPr>
    </w:p>
    <w:p w:rsidR="00C2719F" w:rsidRPr="005136B2" w:rsidRDefault="00C2719F" w:rsidP="00C2719F">
      <w:pPr>
        <w:pStyle w:val="Autoriteti"/>
        <w:rPr>
          <w:lang w:val="sq-AL"/>
        </w:rPr>
      </w:pPr>
      <w:r w:rsidRPr="005136B2">
        <w:rPr>
          <w:lang w:val="sq-AL"/>
        </w:rPr>
        <w:t xml:space="preserve">KRYEMINISTRI </w:t>
      </w:r>
    </w:p>
    <w:p w:rsidR="00C2719F" w:rsidRPr="005136B2" w:rsidRDefault="00C2719F" w:rsidP="00C2719F">
      <w:pPr>
        <w:pStyle w:val="AutoritetiEmer"/>
        <w:rPr>
          <w:lang w:val="sq-AL"/>
        </w:rPr>
      </w:pPr>
      <w:r w:rsidRPr="005136B2">
        <w:rPr>
          <w:lang w:val="sq-AL"/>
        </w:rPr>
        <w:t xml:space="preserve">Edi Rama </w:t>
      </w:r>
    </w:p>
    <w:p w:rsidR="00C2719F" w:rsidRDefault="00C2719F" w:rsidP="00C2719F">
      <w:pPr>
        <w:pStyle w:val="Paragrafi"/>
        <w:rPr>
          <w:lang w:val="sq-AL"/>
        </w:rPr>
        <w:sectPr w:rsidR="00C2719F" w:rsidSect="007C647F">
          <w:headerReference w:type="even" r:id="rId6"/>
          <w:footerReference w:type="even" r:id="rId7"/>
          <w:footerReference w:type="default" r:id="rId8"/>
          <w:headerReference w:type="first" r:id="rId9"/>
          <w:footerReference w:type="first" r:id="rId10"/>
          <w:pgSz w:w="11907" w:h="16840" w:code="9"/>
          <w:pgMar w:top="1418" w:right="1418" w:bottom="1418" w:left="1418" w:header="1304" w:footer="1134" w:gutter="0"/>
          <w:pgNumType w:start="1179"/>
          <w:cols w:space="454"/>
          <w:docGrid w:linePitch="360"/>
        </w:sectPr>
      </w:pPr>
    </w:p>
    <w:p w:rsidR="00C2719F" w:rsidRPr="00326DCE" w:rsidRDefault="00C2719F" w:rsidP="00C2719F">
      <w:pPr>
        <w:pStyle w:val="Paragrafi"/>
        <w:rPr>
          <w:sz w:val="14"/>
          <w:lang w:val="sq-AL"/>
        </w:rPr>
      </w:pPr>
    </w:p>
    <w:p w:rsidR="00C2719F" w:rsidRPr="005136B2" w:rsidRDefault="00C2719F" w:rsidP="00C2719F">
      <w:pPr>
        <w:pStyle w:val="Akti"/>
        <w:keepNext w:val="0"/>
        <w:rPr>
          <w:lang w:val="sq-AL"/>
        </w:rPr>
      </w:pPr>
      <w:r w:rsidRPr="00CE48F1">
        <w:rPr>
          <w:noProof/>
          <w:lang w:val="en-US"/>
        </w:rPr>
        <w:drawing>
          <wp:inline distT="0" distB="0" distL="0" distR="0">
            <wp:extent cx="5102888" cy="5589747"/>
            <wp:effectExtent l="266700" t="0" r="250162" b="0"/>
            <wp:docPr id="36" name="Picture 9" descr="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a:blip r:embed="rId11" cstate="print"/>
                    <a:srcRect l="3456" t="2579" r="6995" b="14205"/>
                    <a:stretch>
                      <a:fillRect/>
                    </a:stretch>
                  </pic:blipFill>
                  <pic:spPr>
                    <a:xfrm rot="16200000">
                      <a:off x="0" y="0"/>
                      <a:ext cx="5105731" cy="5592861"/>
                    </a:xfrm>
                    <a:prstGeom prst="rect">
                      <a:avLst/>
                    </a:prstGeom>
                  </pic:spPr>
                </pic:pic>
              </a:graphicData>
            </a:graphic>
          </wp:inline>
        </w:drawing>
      </w:r>
    </w:p>
    <w:p w:rsidR="00C2719F" w:rsidRPr="005136B2" w:rsidRDefault="00C2719F" w:rsidP="00C2719F">
      <w:pPr>
        <w:pStyle w:val="Akti"/>
        <w:keepNext w:val="0"/>
        <w:rPr>
          <w:lang w:val="sq-AL"/>
        </w:rPr>
      </w:pPr>
    </w:p>
    <w:p w:rsidR="00C2719F" w:rsidRPr="005136B2" w:rsidRDefault="00C2719F" w:rsidP="00C2719F">
      <w:pPr>
        <w:pStyle w:val="Akti"/>
        <w:keepNext w:val="0"/>
        <w:rPr>
          <w:lang w:val="sq-AL"/>
        </w:rPr>
      </w:pPr>
      <w:r>
        <w:rPr>
          <w:noProof/>
          <w:lang w:val="en-US"/>
        </w:rPr>
        <w:lastRenderedPageBreak/>
        <w:drawing>
          <wp:inline distT="0" distB="0" distL="0" distR="0">
            <wp:extent cx="6184239" cy="3938321"/>
            <wp:effectExtent l="19050" t="0" r="7011" b="0"/>
            <wp:docPr id="5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cstate="print"/>
                    <a:srcRect/>
                    <a:stretch>
                      <a:fillRect/>
                    </a:stretch>
                  </pic:blipFill>
                  <pic:spPr bwMode="auto">
                    <a:xfrm>
                      <a:off x="0" y="0"/>
                      <a:ext cx="6186154" cy="3939540"/>
                    </a:xfrm>
                    <a:prstGeom prst="rect">
                      <a:avLst/>
                    </a:prstGeom>
                    <a:noFill/>
                  </pic:spPr>
                </pic:pic>
              </a:graphicData>
            </a:graphic>
          </wp:inline>
        </w:drawing>
      </w:r>
    </w:p>
    <w:p w:rsidR="00C2719F" w:rsidRPr="005136B2" w:rsidRDefault="00C2719F" w:rsidP="00C2719F">
      <w:pPr>
        <w:pStyle w:val="Akti"/>
        <w:keepNext w:val="0"/>
        <w:rPr>
          <w:lang w:val="sq-AL"/>
        </w:rPr>
      </w:pPr>
    </w:p>
    <w:p w:rsidR="00C2719F" w:rsidRPr="005136B2" w:rsidRDefault="00C2719F" w:rsidP="00C2719F">
      <w:pPr>
        <w:pStyle w:val="Akti"/>
        <w:keepNext w:val="0"/>
        <w:jc w:val="left"/>
        <w:rPr>
          <w:lang w:val="sq-AL"/>
        </w:rPr>
      </w:pPr>
      <w:r>
        <w:rPr>
          <w:noProof/>
          <w:lang w:val="en-US"/>
        </w:rPr>
        <w:drawing>
          <wp:inline distT="0" distB="0" distL="0" distR="0">
            <wp:extent cx="6235446" cy="4289452"/>
            <wp:effectExtent l="19050" t="0" r="0" b="0"/>
            <wp:docPr id="4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cstate="print"/>
                    <a:srcRect/>
                    <a:stretch>
                      <a:fillRect/>
                    </a:stretch>
                  </pic:blipFill>
                  <pic:spPr bwMode="auto">
                    <a:xfrm>
                      <a:off x="0" y="0"/>
                      <a:ext cx="6234641" cy="4288898"/>
                    </a:xfrm>
                    <a:prstGeom prst="rect">
                      <a:avLst/>
                    </a:prstGeom>
                    <a:noFill/>
                  </pic:spPr>
                </pic:pic>
              </a:graphicData>
            </a:graphic>
          </wp:inline>
        </w:drawing>
      </w:r>
    </w:p>
    <w:p w:rsidR="00C2719F" w:rsidRPr="005136B2" w:rsidRDefault="00C2719F" w:rsidP="00C2719F">
      <w:pPr>
        <w:pStyle w:val="Akti"/>
        <w:keepNext w:val="0"/>
        <w:jc w:val="left"/>
        <w:rPr>
          <w:lang w:val="sq-AL"/>
        </w:rPr>
      </w:pPr>
    </w:p>
    <w:p w:rsidR="00C2719F" w:rsidRPr="005136B2" w:rsidRDefault="00C2719F" w:rsidP="00C2719F">
      <w:pPr>
        <w:pStyle w:val="Akti"/>
        <w:keepNext w:val="0"/>
        <w:rPr>
          <w:lang w:val="sq-AL"/>
        </w:rPr>
      </w:pPr>
      <w:r>
        <w:rPr>
          <w:noProof/>
          <w:lang w:val="en-US"/>
        </w:rPr>
        <w:lastRenderedPageBreak/>
        <w:drawing>
          <wp:inline distT="0" distB="0" distL="0" distR="0">
            <wp:extent cx="5964784" cy="4079557"/>
            <wp:effectExtent l="19050" t="0" r="0" b="0"/>
            <wp:docPr id="5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cstate="print"/>
                    <a:srcRect/>
                    <a:stretch>
                      <a:fillRect/>
                    </a:stretch>
                  </pic:blipFill>
                  <pic:spPr bwMode="auto">
                    <a:xfrm>
                      <a:off x="0" y="0"/>
                      <a:ext cx="5964391" cy="4079288"/>
                    </a:xfrm>
                    <a:prstGeom prst="rect">
                      <a:avLst/>
                    </a:prstGeom>
                    <a:noFill/>
                  </pic:spPr>
                </pic:pic>
              </a:graphicData>
            </a:graphic>
          </wp:inline>
        </w:drawing>
      </w:r>
    </w:p>
    <w:p w:rsidR="00C2719F" w:rsidRDefault="00C2719F" w:rsidP="00C2719F">
      <w:pPr>
        <w:pStyle w:val="Akti"/>
        <w:rPr>
          <w:lang w:val="sq-AL"/>
        </w:rPr>
        <w:sectPr w:rsidR="00C2719F" w:rsidSect="007C647F">
          <w:pgSz w:w="11907" w:h="16840" w:code="9"/>
          <w:pgMar w:top="1418" w:right="1418" w:bottom="1418" w:left="1418" w:header="1304" w:footer="1134" w:gutter="0"/>
          <w:pgNumType w:start="1181"/>
          <w:cols w:space="720"/>
          <w:docGrid w:linePitch="360"/>
        </w:sectPr>
      </w:pPr>
    </w:p>
    <w:p w:rsidR="00FD57DC" w:rsidRDefault="000258DF"/>
    <w:sectPr w:rsidR="00FD57DC" w:rsidSect="007C647F">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58DF" w:rsidRDefault="000258DF">
      <w:pPr>
        <w:spacing w:after="0" w:line="240" w:lineRule="auto"/>
      </w:pPr>
      <w:r>
        <w:separator/>
      </w:r>
    </w:p>
  </w:endnote>
  <w:endnote w:type="continuationSeparator" w:id="0">
    <w:p w:rsidR="000258DF" w:rsidRDefault="00025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3461736"/>
      <w:docPartObj>
        <w:docPartGallery w:val="Page Numbers (Bottom of Page)"/>
        <w:docPartUnique/>
      </w:docPartObj>
    </w:sdtPr>
    <w:sdtEndPr>
      <w:rPr>
        <w:rFonts w:ascii="Garamond" w:hAnsi="Garamond"/>
        <w:noProof/>
        <w:sz w:val="24"/>
        <w:szCs w:val="24"/>
      </w:rPr>
    </w:sdtEndPr>
    <w:sdtContent>
      <w:p w:rsidR="00F66910" w:rsidRPr="00B4283E" w:rsidRDefault="00C2719F"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1184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Garamond" w:hAnsi="Garamond"/>
        <w:sz w:val="24"/>
        <w:szCs w:val="24"/>
      </w:rPr>
      <w:id w:val="515122380"/>
      <w:docPartObj>
        <w:docPartGallery w:val="Page Numbers (Bottom of Page)"/>
        <w:docPartUnique/>
      </w:docPartObj>
    </w:sdtPr>
    <w:sdtEndPr>
      <w:rPr>
        <w:noProof/>
      </w:rPr>
    </w:sdtEndPr>
    <w:sdtContent>
      <w:p w:rsidR="00F66910" w:rsidRPr="005B4361" w:rsidRDefault="000258DF"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Garamond" w:hAnsi="Garamond"/>
      </w:rPr>
      <w:id w:val="-284892620"/>
      <w:docPartObj>
        <w:docPartGallery w:val="Page Numbers (Bottom of Page)"/>
        <w:docPartUnique/>
      </w:docPartObj>
    </w:sdtPr>
    <w:sdtEndPr>
      <w:rPr>
        <w:noProof/>
        <w:sz w:val="24"/>
        <w:szCs w:val="24"/>
      </w:rPr>
    </w:sdtEndPr>
    <w:sdtContent>
      <w:p w:rsidR="00F66910" w:rsidRPr="00833610" w:rsidRDefault="00C2719F">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F66910" w:rsidRDefault="000258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58DF" w:rsidRDefault="000258DF">
      <w:pPr>
        <w:spacing w:after="0" w:line="240" w:lineRule="auto"/>
      </w:pPr>
      <w:r>
        <w:separator/>
      </w:r>
    </w:p>
  </w:footnote>
  <w:footnote w:type="continuationSeparator" w:id="0">
    <w:p w:rsidR="000258DF" w:rsidRDefault="000258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F66910" w:rsidRPr="00EB260B" w:rsidTr="0036791D">
      <w:trPr>
        <w:trHeight w:val="936"/>
        <w:jc w:val="center"/>
      </w:trPr>
      <w:tc>
        <w:tcPr>
          <w:tcW w:w="2811" w:type="dxa"/>
          <w:shd w:val="pct5" w:color="auto" w:fill="F2F2F2"/>
          <w:vAlign w:val="center"/>
        </w:tcPr>
        <w:p w:rsidR="00F66910" w:rsidRPr="00EB260B" w:rsidRDefault="00C2719F" w:rsidP="0036791D">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66910" w:rsidRPr="00EB260B" w:rsidRDefault="00C2719F" w:rsidP="0036791D">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66910" w:rsidRPr="00EB260B" w:rsidRDefault="00C2719F" w:rsidP="0036791D">
          <w:pPr>
            <w:pStyle w:val="NoSpacing"/>
            <w:spacing w:before="100" w:after="100"/>
            <w:jc w:val="center"/>
            <w:rPr>
              <w:rFonts w:ascii="Garamond" w:hAnsi="Garamond"/>
              <w:b/>
              <w:sz w:val="28"/>
              <w:szCs w:val="28"/>
            </w:rPr>
          </w:pPr>
          <w:r>
            <w:rPr>
              <w:rFonts w:ascii="Garamond" w:hAnsi="Garamond"/>
              <w:b/>
              <w:sz w:val="28"/>
              <w:szCs w:val="28"/>
            </w:rPr>
            <w:t xml:space="preserve"> Viti 2015 – Numri 23</w:t>
          </w:r>
        </w:p>
      </w:tc>
    </w:tr>
  </w:tbl>
  <w:p w:rsidR="00F66910" w:rsidRPr="00385E2C" w:rsidRDefault="000258DF" w:rsidP="00385E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6910" w:rsidRDefault="000258DF" w:rsidP="0033011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2719F"/>
    <w:rsid w:val="000258DF"/>
    <w:rsid w:val="002E7553"/>
    <w:rsid w:val="00332E0F"/>
    <w:rsid w:val="00455FC5"/>
    <w:rsid w:val="004A4709"/>
    <w:rsid w:val="005D6E0E"/>
    <w:rsid w:val="00627136"/>
    <w:rsid w:val="007A33AA"/>
    <w:rsid w:val="007C647F"/>
    <w:rsid w:val="00912120"/>
    <w:rsid w:val="00A3508F"/>
    <w:rsid w:val="00B441A3"/>
    <w:rsid w:val="00C2719F"/>
    <w:rsid w:val="00D27DAF"/>
    <w:rsid w:val="00E12DC7"/>
    <w:rsid w:val="00F5353D"/>
    <w:rsid w:val="00F76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B4156"/>
  <w15:docId w15:val="{A89C7165-E5C5-4788-96E5-29D37FC8F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719F"/>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2719F"/>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C2719F"/>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C271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719F"/>
    <w:rPr>
      <w:rFonts w:ascii="Calibri" w:eastAsia="Calibri" w:hAnsi="Calibri" w:cs="Times New Roman"/>
    </w:rPr>
  </w:style>
  <w:style w:type="paragraph" w:styleId="Footer">
    <w:name w:val="footer"/>
    <w:basedOn w:val="Normal"/>
    <w:link w:val="FooterChar"/>
    <w:uiPriority w:val="99"/>
    <w:unhideWhenUsed/>
    <w:rsid w:val="00C271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719F"/>
    <w:rPr>
      <w:rFonts w:ascii="Calibri" w:eastAsia="Calibri" w:hAnsi="Calibri" w:cs="Times New Roman"/>
    </w:rPr>
  </w:style>
  <w:style w:type="paragraph" w:customStyle="1" w:styleId="Akti">
    <w:name w:val="Akti"/>
    <w:link w:val="AktiChar"/>
    <w:rsid w:val="00C2719F"/>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C2719F"/>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C2719F"/>
    <w:rPr>
      <w:rFonts w:ascii="Garamond" w:eastAsia="MS Mincho" w:hAnsi="Garamond" w:cs="CG Times"/>
      <w:b/>
      <w:bCs/>
      <w:sz w:val="24"/>
      <w:lang w:val="en-GB"/>
    </w:rPr>
  </w:style>
  <w:style w:type="paragraph" w:customStyle="1" w:styleId="Paragrafi">
    <w:name w:val="Paragrafi"/>
    <w:link w:val="ParagrafiChar"/>
    <w:rsid w:val="00C2719F"/>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C2719F"/>
    <w:rPr>
      <w:rFonts w:ascii="Garamond" w:eastAsia="MS Mincho" w:hAnsi="Garamond" w:cs="CG Times"/>
      <w:sz w:val="24"/>
    </w:rPr>
  </w:style>
  <w:style w:type="paragraph" w:customStyle="1" w:styleId="Titulli">
    <w:name w:val="Titulli"/>
    <w:next w:val="Normal"/>
    <w:link w:val="TitulliChar"/>
    <w:rsid w:val="00C2719F"/>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C2719F"/>
    <w:rPr>
      <w:rFonts w:ascii="Garamond" w:eastAsia="MS Mincho" w:hAnsi="Garamond" w:cs="CG Times"/>
      <w:b/>
      <w:bCs/>
      <w:caps/>
      <w:sz w:val="24"/>
      <w:lang w:val="en-GB"/>
    </w:rPr>
  </w:style>
  <w:style w:type="character" w:customStyle="1" w:styleId="AktiChar">
    <w:name w:val="Akti Char"/>
    <w:basedOn w:val="DefaultParagraphFont"/>
    <w:link w:val="Akti"/>
    <w:rsid w:val="00C2719F"/>
    <w:rPr>
      <w:rFonts w:ascii="Garamond" w:eastAsia="MS Mincho" w:hAnsi="Garamond" w:cs="CG Times"/>
      <w:b/>
      <w:bCs/>
      <w:caps/>
      <w:color w:val="000000"/>
      <w:sz w:val="24"/>
      <w:lang w:val="en-GB"/>
    </w:rPr>
  </w:style>
  <w:style w:type="paragraph" w:customStyle="1" w:styleId="Autoriteti">
    <w:name w:val="Autoriteti"/>
    <w:next w:val="Normal"/>
    <w:link w:val="AutoritetiChar"/>
    <w:rsid w:val="00C2719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C2719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C2719F"/>
    <w:rPr>
      <w:rFonts w:ascii="Garamond" w:eastAsia="MS Mincho" w:hAnsi="Garamond" w:cs="CG Times"/>
      <w:caps/>
      <w:sz w:val="24"/>
      <w:lang w:val="en-GB"/>
    </w:rPr>
  </w:style>
  <w:style w:type="character" w:customStyle="1" w:styleId="AutoritetiEmerChar">
    <w:name w:val="Autoriteti_Emer Char"/>
    <w:link w:val="AutoritetiEmer"/>
    <w:locked/>
    <w:rsid w:val="00C2719F"/>
    <w:rPr>
      <w:rFonts w:ascii="Garamond" w:eastAsia="MS Mincho" w:hAnsi="Garamond" w:cs="Times New Roman"/>
      <w:b/>
      <w:bCs/>
      <w:sz w:val="24"/>
      <w:lang w:val="en-GB"/>
    </w:rPr>
  </w:style>
  <w:style w:type="paragraph" w:customStyle="1" w:styleId="Vendosi">
    <w:name w:val="Vendosi"/>
    <w:basedOn w:val="Normal"/>
    <w:qFormat/>
    <w:rsid w:val="00C2719F"/>
    <w:pPr>
      <w:widowControl w:val="0"/>
      <w:spacing w:after="0" w:line="240" w:lineRule="auto"/>
      <w:ind w:firstLine="0"/>
      <w:jc w:val="center"/>
    </w:pPr>
    <w:rPr>
      <w:rFonts w:ascii="Garamond" w:eastAsia="MS Mincho" w:hAnsi="Garamond" w:cs="CG Times"/>
      <w:caps/>
      <w:sz w:val="24"/>
      <w:szCs w:val="24"/>
    </w:rPr>
  </w:style>
  <w:style w:type="paragraph" w:customStyle="1" w:styleId="Hapesira7">
    <w:name w:val="Hapesira 7"/>
    <w:basedOn w:val="Paragrafi"/>
    <w:qFormat/>
    <w:rsid w:val="00C2719F"/>
    <w:rPr>
      <w:sz w:val="14"/>
      <w:szCs w:val="24"/>
    </w:rPr>
  </w:style>
  <w:style w:type="paragraph" w:styleId="BalloonText">
    <w:name w:val="Balloon Text"/>
    <w:basedOn w:val="Normal"/>
    <w:link w:val="BalloonTextChar"/>
    <w:uiPriority w:val="99"/>
    <w:semiHidden/>
    <w:unhideWhenUsed/>
    <w:rsid w:val="00C271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719F"/>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image" Target="media/image3.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2.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611</Words>
  <Characters>3484</Characters>
  <Application>Microsoft Office Word</Application>
  <DocSecurity>0</DocSecurity>
  <Lines>29</Lines>
  <Paragraphs>8</Paragraphs>
  <ScaleCrop>false</ScaleCrop>
  <Company>Grizli777</Company>
  <LinksUpToDate>false</LinksUpToDate>
  <CharactersWithSpaces>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Besiana Aleti</cp:lastModifiedBy>
  <cp:revision>2</cp:revision>
  <dcterms:created xsi:type="dcterms:W3CDTF">2015-02-24T08:52:00Z</dcterms:created>
  <dcterms:modified xsi:type="dcterms:W3CDTF">2024-12-04T13:04:00Z</dcterms:modified>
</cp:coreProperties>
</file>