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8CB" w:rsidRPr="00724FD5" w:rsidRDefault="00DA78CB" w:rsidP="00DA78CB">
      <w:pPr>
        <w:pStyle w:val="Akti"/>
        <w:rPr>
          <w:lang w:val="sq-AL"/>
        </w:rPr>
      </w:pPr>
      <w:r w:rsidRPr="00724FD5">
        <w:rPr>
          <w:lang w:val="sq-AL"/>
        </w:rPr>
        <w:t>VENDIM</w:t>
      </w:r>
    </w:p>
    <w:p w:rsidR="00DA78CB" w:rsidRPr="00724FD5" w:rsidRDefault="00DA78CB" w:rsidP="00DA78CB">
      <w:pPr>
        <w:pStyle w:val="NumriData"/>
        <w:rPr>
          <w:lang w:val="sq-AL"/>
        </w:rPr>
      </w:pPr>
      <w:r w:rsidRPr="00724FD5">
        <w:rPr>
          <w:lang w:val="sq-AL"/>
        </w:rPr>
        <w:t>Nr. 142, datë 18.2.2015</w:t>
      </w:r>
    </w:p>
    <w:p w:rsidR="00DA78CB" w:rsidRPr="00724FD5" w:rsidRDefault="00DA78CB" w:rsidP="00DA78CB">
      <w:pPr>
        <w:pStyle w:val="Hapesira7"/>
        <w:rPr>
          <w:lang w:val="sq-AL"/>
        </w:rPr>
      </w:pPr>
    </w:p>
    <w:p w:rsidR="00DA78CB" w:rsidRPr="00724FD5" w:rsidRDefault="00DA78CB" w:rsidP="00DA78CB">
      <w:pPr>
        <w:pStyle w:val="Titulli"/>
        <w:rPr>
          <w:lang w:val="sq-AL"/>
        </w:rPr>
      </w:pPr>
      <w:r w:rsidRPr="00724FD5">
        <w:rPr>
          <w:lang w:val="sq-AL"/>
        </w:rPr>
        <w:t>PËRPЁRCAKTIMIN E RREGULLAVE PЁR LЁSHIMIN E AUTORIZIMIT TЁ MINISTRIT TЁ SHЁNDETЁSISЁ PЁR IMPORTIMIN E BARNAVE PA AUTORIZIM PЁR TREGTIM</w:t>
      </w:r>
    </w:p>
    <w:p w:rsidR="00DA78CB" w:rsidRPr="00724FD5" w:rsidRDefault="00DA78CB" w:rsidP="00DA78CB">
      <w:pPr>
        <w:pStyle w:val="Hapesira7"/>
        <w:rPr>
          <w:lang w:val="sq-AL"/>
        </w:rPr>
      </w:pPr>
    </w:p>
    <w:p w:rsidR="00DA78CB" w:rsidRPr="00724FD5" w:rsidRDefault="00DA78CB" w:rsidP="00DA78CB">
      <w:pPr>
        <w:pStyle w:val="Paragrafi"/>
        <w:rPr>
          <w:lang w:val="sq-AL"/>
        </w:rPr>
      </w:pPr>
      <w:r w:rsidRPr="00724FD5">
        <w:rPr>
          <w:lang w:val="sq-AL"/>
        </w:rPr>
        <w:t>Në mbështetje të nenit 100 të Kushtetutës dhe të neneve 11 e 33, pika 2, të ligjit nr. 105/2014, “Për barnat dhe shërbimin farmaceutik”, me propozimin e ministrit të Shëndetësisë, Këshilli i Ministrave</w:t>
      </w:r>
    </w:p>
    <w:p w:rsidR="00DA78CB" w:rsidRPr="00724FD5" w:rsidRDefault="00DA78CB" w:rsidP="00DA78CB">
      <w:pPr>
        <w:pStyle w:val="Vendosi"/>
        <w:rPr>
          <w:lang w:val="sq-AL"/>
        </w:rPr>
      </w:pPr>
      <w:r w:rsidRPr="00724FD5">
        <w:rPr>
          <w:lang w:val="sq-AL"/>
        </w:rPr>
        <w:t>VENDOSI:</w:t>
      </w:r>
    </w:p>
    <w:p w:rsidR="00DA78CB" w:rsidRPr="00724FD5" w:rsidRDefault="00DA78CB" w:rsidP="00DA78CB">
      <w:pPr>
        <w:pStyle w:val="Hapesira7"/>
        <w:rPr>
          <w:lang w:val="sq-AL"/>
        </w:rPr>
      </w:pPr>
    </w:p>
    <w:p w:rsidR="00DA78CB" w:rsidRPr="00724FD5" w:rsidRDefault="00DA78CB" w:rsidP="00DA78CB">
      <w:pPr>
        <w:pStyle w:val="Paragrafi"/>
        <w:rPr>
          <w:lang w:val="sq-AL"/>
        </w:rPr>
      </w:pPr>
      <w:r w:rsidRPr="00724FD5">
        <w:rPr>
          <w:lang w:val="sq-AL"/>
        </w:rPr>
        <w:t>1. Në raste nevojash të shërbimit shëndetësor (për mjekim ambulator dhe/ose spitalor) për barna, të cilat nuk kanë asnjë alternativë të ngjashme, i cili ka autorizim për tregtim nga Agjencia Kombëtare e Barnave dhe Pajisjeve Mjekësore, ministri i Shëndetësisë autorizon importimin e barnave, për të cilat nuk është lëshuar autorizim tregtimi nga Agjencia Kombë</w:t>
      </w:r>
      <w:r>
        <w:rPr>
          <w:lang w:val="sq-AL"/>
        </w:rPr>
        <w:t>-</w:t>
      </w:r>
      <w:r w:rsidRPr="00724FD5">
        <w:rPr>
          <w:lang w:val="sq-AL"/>
        </w:rPr>
        <w:t>tare e Barnave dhe Pajisjeve Mjekësore.</w:t>
      </w:r>
    </w:p>
    <w:p w:rsidR="00DA78CB" w:rsidRPr="00724FD5" w:rsidRDefault="00DA78CB" w:rsidP="00DA78CB">
      <w:pPr>
        <w:pStyle w:val="Paragrafi"/>
        <w:rPr>
          <w:lang w:val="sq-AL"/>
        </w:rPr>
      </w:pPr>
      <w:r w:rsidRPr="00724FD5">
        <w:rPr>
          <w:lang w:val="sq-AL"/>
        </w:rPr>
        <w:t>2. Kërkesa për autorizim importi, për çdo bar të paregjistruar, paraqitet pranë Ministrisë së Shëndetësisë nga subjektet e licencuara për import barnash.</w:t>
      </w:r>
    </w:p>
    <w:p w:rsidR="00DA78CB" w:rsidRPr="00724FD5" w:rsidRDefault="00DA78CB" w:rsidP="00DA78CB">
      <w:pPr>
        <w:pStyle w:val="Paragrafi"/>
        <w:rPr>
          <w:lang w:val="sq-AL"/>
        </w:rPr>
      </w:pPr>
      <w:r w:rsidRPr="00724FD5">
        <w:rPr>
          <w:lang w:val="sq-AL"/>
        </w:rPr>
        <w:t>Në kërkesën për autorizim importi për barna pa autorizim për tregtim nga Agjencia Kombëtare e Barnave dhe Pajisjeve Mjekësore duhet të përcaktohen:</w:t>
      </w:r>
    </w:p>
    <w:p w:rsidR="00DA78CB" w:rsidRPr="00724FD5" w:rsidRDefault="00DA78CB" w:rsidP="00DA78CB">
      <w:pPr>
        <w:pStyle w:val="Paragrafi"/>
        <w:rPr>
          <w:lang w:val="sq-AL"/>
        </w:rPr>
      </w:pPr>
      <w:r w:rsidRPr="00724FD5">
        <w:rPr>
          <w:lang w:val="sq-AL"/>
        </w:rPr>
        <w:t>a) principi aktiv;</w:t>
      </w:r>
    </w:p>
    <w:p w:rsidR="00DA78CB" w:rsidRPr="00724FD5" w:rsidRDefault="00DA78CB" w:rsidP="00DA78CB">
      <w:pPr>
        <w:pStyle w:val="Paragrafi"/>
        <w:rPr>
          <w:lang w:val="sq-AL"/>
        </w:rPr>
      </w:pPr>
      <w:r w:rsidRPr="00724FD5">
        <w:rPr>
          <w:lang w:val="sq-AL"/>
        </w:rPr>
        <w:t>b) emri tregtar i barit;</w:t>
      </w:r>
    </w:p>
    <w:p w:rsidR="00DA78CB" w:rsidRPr="00724FD5" w:rsidRDefault="00DA78CB" w:rsidP="00DA78CB">
      <w:pPr>
        <w:pStyle w:val="Paragrafi"/>
        <w:rPr>
          <w:lang w:val="sq-AL"/>
        </w:rPr>
      </w:pPr>
      <w:r w:rsidRPr="00724FD5">
        <w:rPr>
          <w:lang w:val="sq-AL"/>
        </w:rPr>
        <w:t>c) forma dhe doza farmaceutike;</w:t>
      </w:r>
    </w:p>
    <w:p w:rsidR="00DA78CB" w:rsidRPr="00724FD5" w:rsidRDefault="00DA78CB" w:rsidP="00DA78CB">
      <w:pPr>
        <w:pStyle w:val="Paragrafi"/>
        <w:rPr>
          <w:lang w:val="sq-AL"/>
        </w:rPr>
      </w:pPr>
      <w:r w:rsidRPr="00724FD5">
        <w:rPr>
          <w:lang w:val="sq-AL"/>
        </w:rPr>
        <w:t>ç) sasia, seria;</w:t>
      </w:r>
    </w:p>
    <w:p w:rsidR="00DA78CB" w:rsidRPr="00724FD5" w:rsidRDefault="00DA78CB" w:rsidP="00DA78CB">
      <w:pPr>
        <w:pStyle w:val="Paragrafi"/>
        <w:rPr>
          <w:lang w:val="sq-AL"/>
        </w:rPr>
      </w:pPr>
      <w:r w:rsidRPr="00724FD5">
        <w:rPr>
          <w:lang w:val="sq-AL"/>
        </w:rPr>
        <w:t>d) data e skadencës;</w:t>
      </w:r>
    </w:p>
    <w:p w:rsidR="00DA78CB" w:rsidRPr="00724FD5" w:rsidRDefault="00DA78CB" w:rsidP="00DA78CB">
      <w:pPr>
        <w:pStyle w:val="Paragrafi"/>
        <w:rPr>
          <w:lang w:val="sq-AL"/>
        </w:rPr>
      </w:pPr>
      <w:r w:rsidRPr="00724FD5">
        <w:rPr>
          <w:lang w:val="sq-AL"/>
        </w:rPr>
        <w:t>dh)</w:t>
      </w:r>
      <w:r w:rsidRPr="00724FD5">
        <w:rPr>
          <w:lang w:val="sq-AL"/>
        </w:rPr>
        <w:tab/>
        <w:t>çmimi për njësi i barit;</w:t>
      </w:r>
    </w:p>
    <w:p w:rsidR="00DA78CB" w:rsidRPr="00724FD5" w:rsidRDefault="00DA78CB" w:rsidP="00DA78CB">
      <w:pPr>
        <w:pStyle w:val="Paragrafi"/>
        <w:rPr>
          <w:lang w:val="sq-AL"/>
        </w:rPr>
      </w:pPr>
      <w:r w:rsidRPr="00724FD5">
        <w:rPr>
          <w:lang w:val="sq-AL"/>
        </w:rPr>
        <w:t>e) emri dhe adresa e mbajtësit të autorizimit për hedhjen në treg të barit dhe/ose firma prodhuese;</w:t>
      </w:r>
    </w:p>
    <w:p w:rsidR="00DA78CB" w:rsidRPr="00724FD5" w:rsidRDefault="00DA78CB" w:rsidP="00DA78CB">
      <w:pPr>
        <w:pStyle w:val="Paragrafi"/>
        <w:rPr>
          <w:lang w:val="sq-AL"/>
        </w:rPr>
      </w:pPr>
      <w:r w:rsidRPr="00724FD5">
        <w:rPr>
          <w:lang w:val="sq-AL"/>
        </w:rPr>
        <w:t>ë) indikacionet terapeutike të barit;</w:t>
      </w:r>
    </w:p>
    <w:p w:rsidR="00DA78CB" w:rsidRPr="00724FD5" w:rsidRDefault="00DA78CB" w:rsidP="00DA78CB">
      <w:pPr>
        <w:pStyle w:val="Paragrafi"/>
        <w:rPr>
          <w:lang w:val="sq-AL"/>
        </w:rPr>
      </w:pPr>
      <w:r w:rsidRPr="00724FD5">
        <w:rPr>
          <w:lang w:val="sq-AL"/>
        </w:rPr>
        <w:t>f) lloji i përdorimit të barit (spitalor apo ambulator), si dhe arsyet e pajisjes me autorizim importi;</w:t>
      </w:r>
    </w:p>
    <w:p w:rsidR="00DA78CB" w:rsidRPr="00724FD5" w:rsidRDefault="00DA78CB" w:rsidP="00DA78CB">
      <w:pPr>
        <w:pStyle w:val="Paragrafi"/>
        <w:rPr>
          <w:lang w:val="sq-AL"/>
        </w:rPr>
      </w:pPr>
      <w:r w:rsidRPr="00724FD5">
        <w:rPr>
          <w:lang w:val="sq-AL"/>
        </w:rPr>
        <w:t>g) dogana kufitare.</w:t>
      </w:r>
    </w:p>
    <w:p w:rsidR="00DA78CB" w:rsidRDefault="00DA78CB" w:rsidP="00DA78CB">
      <w:pPr>
        <w:pStyle w:val="Paragrafi"/>
        <w:rPr>
          <w:lang w:val="sq-AL"/>
        </w:rPr>
      </w:pPr>
    </w:p>
    <w:p w:rsidR="00DA78CB" w:rsidRPr="00724FD5" w:rsidRDefault="00DA78CB" w:rsidP="00DA78CB">
      <w:pPr>
        <w:pStyle w:val="Paragrafi"/>
        <w:rPr>
          <w:lang w:val="sq-AL"/>
        </w:rPr>
      </w:pPr>
      <w:r w:rsidRPr="00724FD5">
        <w:rPr>
          <w:lang w:val="sq-AL"/>
        </w:rPr>
        <w:t>Bashkëlidhur kërkesës për autorizim importi, subjekti i licencuar për import barnash duhet të ketë edhe vërtetimin e lëshuar nga Agjencia Kombëtare e Barnave dhe Pajisjeve Mjekësore, nëpërmjet të cilit vërtetohet nëse bari është i pajisur ose jo me autorizim tregtimi.</w:t>
      </w:r>
    </w:p>
    <w:p w:rsidR="00DA78CB" w:rsidRPr="00724FD5" w:rsidRDefault="00DA78CB" w:rsidP="00DA78CB">
      <w:pPr>
        <w:pStyle w:val="Paragrafi"/>
        <w:rPr>
          <w:lang w:val="sq-AL"/>
        </w:rPr>
      </w:pPr>
      <w:r w:rsidRPr="00724FD5">
        <w:rPr>
          <w:lang w:val="sq-AL"/>
        </w:rPr>
        <w:t>3. Autorizimi për import jepet vetëm për barnat për të cilat nuk është lëshuar autorizim për tregtim nga Agjencia Kombëtare e Barnave dhe Pajisjeve Mjekësore.</w:t>
      </w:r>
    </w:p>
    <w:p w:rsidR="00DA78CB" w:rsidRPr="00724FD5" w:rsidRDefault="00DA78CB" w:rsidP="00DA78CB">
      <w:pPr>
        <w:pStyle w:val="Paragrafi"/>
        <w:rPr>
          <w:lang w:val="sq-AL"/>
        </w:rPr>
      </w:pPr>
      <w:r w:rsidRPr="00724FD5">
        <w:rPr>
          <w:lang w:val="sq-AL"/>
        </w:rPr>
        <w:t>4. Autorizimi për import është i vlefshëm për një periudhë dymujore, nga data e lëshimit të tij. Pajisja me autorizim importi kryhet kundrejt një tarife të përcaktuar me udhëzim të përbashkët të ministrit të Shëndetësisë dhe të ministrit të Financave. Të ardhurat nga këto tarifa derdhen në buxhetin e shtetit.</w:t>
      </w:r>
    </w:p>
    <w:p w:rsidR="00DA78CB" w:rsidRPr="00724FD5" w:rsidRDefault="00DA78CB" w:rsidP="00DA78CB">
      <w:pPr>
        <w:pStyle w:val="Paragrafi"/>
        <w:rPr>
          <w:lang w:val="sq-AL"/>
        </w:rPr>
      </w:pPr>
      <w:r w:rsidRPr="00724FD5">
        <w:rPr>
          <w:lang w:val="sq-AL"/>
        </w:rPr>
        <w:t>5. Njësia përgjegjëse për farmaceutikën, në Ministrinë e Shëndetësisë, përpara propozimit për lëshimin e autorizimit për import, ka të drejtën të verifikojë dokumentacionin e paraqitur nga subjekti importues, pranë autoriteteve apo subjekteve private ose publike, nga ku ato janë lëshuar.</w:t>
      </w:r>
    </w:p>
    <w:p w:rsidR="00DA78CB" w:rsidRPr="00724FD5" w:rsidRDefault="00DA78CB" w:rsidP="00DA78CB">
      <w:pPr>
        <w:pStyle w:val="Paragrafi"/>
        <w:rPr>
          <w:lang w:val="sq-AL"/>
        </w:rPr>
      </w:pPr>
      <w:r w:rsidRPr="00724FD5">
        <w:rPr>
          <w:lang w:val="sq-AL"/>
        </w:rPr>
        <w:t>6. Agjencia Kombëtare e Barnave dhe Pajisjeve Mjekësore, përpara fillimit të procedurës së zhdoganimit për barin përkatës, kërkon nga subjekti importues, përveç autorizimit të ministrit të Shëndetësisë për importimin e barnave pa autorizim tregtimi, sipas pikës 2, të këtij vendimi, edhe këto dokumente në origjinal:</w:t>
      </w:r>
    </w:p>
    <w:p w:rsidR="00DA78CB" w:rsidRPr="00724FD5" w:rsidRDefault="00DA78CB" w:rsidP="00DA78CB">
      <w:pPr>
        <w:pStyle w:val="Paragrafi"/>
        <w:rPr>
          <w:lang w:val="sq-AL"/>
        </w:rPr>
      </w:pPr>
      <w:r w:rsidRPr="00724FD5">
        <w:rPr>
          <w:lang w:val="sq-AL"/>
        </w:rPr>
        <w:t>a) Faturën e  barit;</w:t>
      </w:r>
    </w:p>
    <w:p w:rsidR="00DA78CB" w:rsidRPr="00724FD5" w:rsidRDefault="00DA78CB" w:rsidP="00DA78CB">
      <w:pPr>
        <w:pStyle w:val="Paragrafi"/>
        <w:rPr>
          <w:lang w:val="sq-AL"/>
        </w:rPr>
      </w:pPr>
      <w:r w:rsidRPr="00724FD5">
        <w:rPr>
          <w:lang w:val="sq-AL"/>
        </w:rPr>
        <w:t>b) Listën e paketimit;</w:t>
      </w:r>
    </w:p>
    <w:p w:rsidR="00DA78CB" w:rsidRPr="00724FD5" w:rsidRDefault="00DA78CB" w:rsidP="00DA78CB">
      <w:pPr>
        <w:pStyle w:val="Paragrafi"/>
        <w:rPr>
          <w:lang w:val="sq-AL"/>
        </w:rPr>
      </w:pPr>
      <w:r w:rsidRPr="00724FD5">
        <w:rPr>
          <w:lang w:val="sq-AL"/>
        </w:rPr>
        <w:t>c) Certifikatën e analizave për çdo seri të barit;</w:t>
      </w:r>
    </w:p>
    <w:p w:rsidR="00DA78CB" w:rsidRPr="00724FD5" w:rsidRDefault="00DA78CB" w:rsidP="00DA78CB">
      <w:pPr>
        <w:pStyle w:val="Paragrafi"/>
        <w:rPr>
          <w:lang w:val="sq-AL"/>
        </w:rPr>
      </w:pPr>
      <w:r w:rsidRPr="00724FD5">
        <w:rPr>
          <w:lang w:val="sq-AL"/>
        </w:rPr>
        <w:t>ç) Certifikatën e origjinës së barit.</w:t>
      </w:r>
    </w:p>
    <w:p w:rsidR="00DA78CB" w:rsidRPr="00724FD5" w:rsidRDefault="00DA78CB" w:rsidP="00DA78CB">
      <w:pPr>
        <w:pStyle w:val="Paragrafi"/>
        <w:rPr>
          <w:lang w:val="sq-AL"/>
        </w:rPr>
      </w:pPr>
      <w:r w:rsidRPr="00724FD5">
        <w:rPr>
          <w:lang w:val="sq-AL"/>
        </w:rPr>
        <w:t>7. Dokumentacioni i përmendur në pikën 6, të këtij vendimi, ruhet nga Agjencia Kombëtare e Barnave dhe Pajisjeve Mjekësore, sipas përcaktimeve të bëra në ligjin nr. 9154, datë 6.11.2003, “Për arkivat”, të ndryshuar. Agjencia Kombëtare e Barnave dhe Pajisjeve Mjekësore njofton me shkresë Drejtorinë e Përgjithshme të Doganave për çdo procedurë.</w:t>
      </w:r>
    </w:p>
    <w:p w:rsidR="00DA78CB" w:rsidRPr="00724FD5" w:rsidRDefault="00DA78CB" w:rsidP="00DA78CB">
      <w:pPr>
        <w:pStyle w:val="Paragrafi"/>
        <w:rPr>
          <w:lang w:val="sq-AL"/>
        </w:rPr>
      </w:pPr>
      <w:r w:rsidRPr="00724FD5">
        <w:rPr>
          <w:lang w:val="sq-AL"/>
        </w:rPr>
        <w:t>8. Barnat pa autorizim tregtimi, të pajisura me autorizim importi, pasi zhdoganohen sipas rregullave në fuqi, pajisen me pullën e kontrollit nga Agjencia Kombëtare e Barnave dhe Pajisjeve Mjekësore, sipas procedurës së parashikuar në ligjin nr. 105/2014, datë 31.7.2014, “Për barnat dhe shërbimin farmaceutik”.</w:t>
      </w:r>
    </w:p>
    <w:p w:rsidR="00DA78CB" w:rsidRPr="00724FD5" w:rsidRDefault="00DA78CB" w:rsidP="00DA78CB">
      <w:pPr>
        <w:pStyle w:val="Paragrafi"/>
        <w:rPr>
          <w:lang w:val="sq-AL"/>
        </w:rPr>
      </w:pPr>
      <w:r w:rsidRPr="00724FD5">
        <w:rPr>
          <w:lang w:val="sq-AL"/>
        </w:rPr>
        <w:lastRenderedPageBreak/>
        <w:t>9. Të gjitha autorizimet e importit të lëshuara nga Ministria e Shëndetësisë publikohen në faqen zyrtare të kësaj ministrie ose në buletinet përkatëse farmaceutike, brenda një afati tetëditor nga momenti i lëshimit të tyre.</w:t>
      </w:r>
    </w:p>
    <w:p w:rsidR="00DA78CB" w:rsidRPr="00724FD5" w:rsidRDefault="00DA78CB" w:rsidP="00DA78CB">
      <w:pPr>
        <w:pStyle w:val="Paragrafi"/>
        <w:rPr>
          <w:lang w:val="sq-AL"/>
        </w:rPr>
      </w:pPr>
      <w:r w:rsidRPr="00724FD5">
        <w:rPr>
          <w:lang w:val="sq-AL"/>
        </w:rPr>
        <w:t xml:space="preserve">10. Formati i autorizimit për importin e barnave pa autorizim për tregtim, që lëshon ministri, do të jetë sipas modelit që i bashkëlidhet këtij vendimi. </w:t>
      </w:r>
    </w:p>
    <w:p w:rsidR="00DA78CB" w:rsidRPr="00724FD5" w:rsidRDefault="00DA78CB" w:rsidP="00DA78CB">
      <w:pPr>
        <w:pStyle w:val="Paragrafi"/>
        <w:rPr>
          <w:lang w:val="sq-AL"/>
        </w:rPr>
      </w:pPr>
      <w:r w:rsidRPr="00724FD5">
        <w:rPr>
          <w:lang w:val="sq-AL"/>
        </w:rPr>
        <w:t>11. Vendimi nr. 24, datë 22.1.2014, i Këshillit të Ministrave, “Për përcaktimin e rregullave pёr lëshimin e autorizimit tё ministrit tё Shёndetёsisё pёr importimin e barnave pa autorizim pёr tregtim”,  shfuqizohet.</w:t>
      </w:r>
    </w:p>
    <w:p w:rsidR="00DA78CB" w:rsidRPr="00724FD5" w:rsidRDefault="00DA78CB" w:rsidP="00DA78CB">
      <w:pPr>
        <w:pStyle w:val="Paragrafi"/>
        <w:rPr>
          <w:lang w:val="sq-AL"/>
        </w:rPr>
      </w:pPr>
      <w:r w:rsidRPr="00724FD5">
        <w:rPr>
          <w:lang w:val="sq-AL"/>
        </w:rPr>
        <w:t>Ky vendim hyn në fuqi pas botimit në Fletoren Zyrtare.</w:t>
      </w:r>
    </w:p>
    <w:p w:rsidR="00DA78CB" w:rsidRPr="00724FD5" w:rsidRDefault="00DA78CB" w:rsidP="00DA78CB">
      <w:pPr>
        <w:pStyle w:val="Hapesira7"/>
        <w:rPr>
          <w:lang w:val="sq-AL"/>
        </w:rPr>
      </w:pPr>
    </w:p>
    <w:p w:rsidR="00DA78CB" w:rsidRPr="00724FD5" w:rsidRDefault="00DA78CB" w:rsidP="00DA78CB">
      <w:pPr>
        <w:pStyle w:val="Autoriteti"/>
        <w:rPr>
          <w:lang w:val="sq-AL"/>
        </w:rPr>
      </w:pPr>
      <w:r w:rsidRPr="00724FD5">
        <w:rPr>
          <w:lang w:val="sq-AL"/>
        </w:rPr>
        <w:t>Kryeministri</w:t>
      </w:r>
    </w:p>
    <w:p w:rsidR="00DA78CB" w:rsidRDefault="00DA78CB" w:rsidP="00F54F97">
      <w:pPr>
        <w:pStyle w:val="AutoritetiEmer"/>
        <w:rPr>
          <w:lang w:val="sq-AL"/>
        </w:rPr>
        <w:sectPr w:rsidR="00DA78CB" w:rsidSect="00F54F97">
          <w:pgSz w:w="11907" w:h="16840" w:code="9"/>
          <w:pgMar w:top="720" w:right="1134" w:bottom="720" w:left="1134" w:header="851" w:footer="851" w:gutter="0"/>
          <w:pgNumType w:start="1275"/>
          <w:cols w:space="454"/>
          <w:docGrid w:linePitch="360"/>
        </w:sectPr>
      </w:pPr>
      <w:r w:rsidRPr="00724FD5">
        <w:rPr>
          <w:lang w:val="sq-AL"/>
        </w:rPr>
        <w:t>Edi Rama</w:t>
      </w:r>
      <w:bookmarkStart w:id="0" w:name="_GoBack"/>
      <w:bookmarkEnd w:id="0"/>
    </w:p>
    <w:p w:rsidR="00DA78CB" w:rsidRDefault="00DA78CB" w:rsidP="00F54F97">
      <w:pPr>
        <w:pStyle w:val="Paragrafi"/>
        <w:ind w:firstLine="0"/>
        <w:rPr>
          <w:lang w:val="sq-AL"/>
        </w:rPr>
      </w:pPr>
    </w:p>
    <w:p w:rsidR="00DA78CB" w:rsidRDefault="00DA78CB" w:rsidP="00DA78CB">
      <w:pPr>
        <w:pStyle w:val="Paragrafi"/>
        <w:jc w:val="center"/>
        <w:rPr>
          <w:lang w:val="sq-AL"/>
        </w:rPr>
      </w:pPr>
    </w:p>
    <w:p w:rsidR="00DA78CB" w:rsidRDefault="00DA78CB" w:rsidP="00DA78CB">
      <w:pPr>
        <w:pStyle w:val="Paragrafi"/>
        <w:jc w:val="center"/>
        <w:rPr>
          <w:lang w:val="sq-AL"/>
        </w:rPr>
      </w:pPr>
    </w:p>
    <w:p w:rsidR="00DA78CB" w:rsidRDefault="00DA78CB" w:rsidP="00DA78CB">
      <w:pPr>
        <w:pStyle w:val="Paragrafi"/>
        <w:jc w:val="center"/>
        <w:rPr>
          <w:lang w:val="sq-AL"/>
        </w:rPr>
      </w:pPr>
    </w:p>
    <w:p w:rsidR="00DA78CB" w:rsidRDefault="00DA78CB" w:rsidP="00DA78CB">
      <w:pPr>
        <w:pStyle w:val="Paragrafi"/>
        <w:jc w:val="left"/>
        <w:rPr>
          <w:lang w:val="sq-AL"/>
        </w:rPr>
      </w:pPr>
      <w:r>
        <w:rPr>
          <w:noProof/>
        </w:rPr>
        <w:drawing>
          <wp:anchor distT="0" distB="0" distL="114300" distR="114300" simplePos="0" relativeHeight="251659264" behindDoc="1" locked="0" layoutInCell="1" allowOverlap="1" wp14:anchorId="14553C47" wp14:editId="24F63913">
            <wp:simplePos x="0" y="0"/>
            <wp:positionH relativeFrom="column">
              <wp:posOffset>-184205</wp:posOffset>
            </wp:positionH>
            <wp:positionV relativeFrom="paragraph">
              <wp:posOffset>23964</wp:posOffset>
            </wp:positionV>
            <wp:extent cx="6254529" cy="818984"/>
            <wp:effectExtent l="19050" t="0" r="0" b="0"/>
            <wp:wrapNone/>
            <wp:docPr id="7" name="Picture 2" descr="14-ministria-shendetesi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ministria-shendetesia-01"/>
                    <pic:cNvPicPr>
                      <a:picLocks noChangeAspect="1" noChangeArrowheads="1"/>
                    </pic:cNvPicPr>
                  </pic:nvPicPr>
                  <pic:blipFill>
                    <a:blip r:embed="rId5" cstate="print"/>
                    <a:srcRect t="16935"/>
                    <a:stretch>
                      <a:fillRect/>
                    </a:stretch>
                  </pic:blipFill>
                  <pic:spPr bwMode="auto">
                    <a:xfrm>
                      <a:off x="0" y="0"/>
                      <a:ext cx="6254529" cy="818984"/>
                    </a:xfrm>
                    <a:prstGeom prst="rect">
                      <a:avLst/>
                    </a:prstGeom>
                    <a:noFill/>
                    <a:ln w="9525">
                      <a:noFill/>
                      <a:miter lim="800000"/>
                      <a:headEnd/>
                      <a:tailEnd/>
                    </a:ln>
                  </pic:spPr>
                </pic:pic>
              </a:graphicData>
            </a:graphic>
          </wp:anchor>
        </w:drawing>
      </w:r>
    </w:p>
    <w:p w:rsidR="00DA78CB" w:rsidRDefault="00DA78CB" w:rsidP="00DA78CB">
      <w:pPr>
        <w:pStyle w:val="Paragrafi"/>
        <w:jc w:val="left"/>
        <w:rPr>
          <w:lang w:val="sq-AL"/>
        </w:rPr>
      </w:pPr>
    </w:p>
    <w:p w:rsidR="00DA78CB" w:rsidRDefault="00DA78CB" w:rsidP="00DA78CB">
      <w:pPr>
        <w:pStyle w:val="Paragrafi"/>
        <w:jc w:val="left"/>
        <w:rPr>
          <w:lang w:val="sq-AL"/>
        </w:rPr>
      </w:pPr>
    </w:p>
    <w:p w:rsidR="00DA78CB" w:rsidRDefault="00DA78CB" w:rsidP="00DA78CB">
      <w:pPr>
        <w:pStyle w:val="Paragrafi"/>
        <w:jc w:val="left"/>
        <w:rPr>
          <w:lang w:val="sq-AL"/>
        </w:rPr>
      </w:pPr>
    </w:p>
    <w:p w:rsidR="00DA78CB" w:rsidRDefault="00DA78CB" w:rsidP="00DA78CB">
      <w:pPr>
        <w:pStyle w:val="Paragrafi"/>
        <w:jc w:val="center"/>
        <w:rPr>
          <w:lang w:val="sq-AL"/>
        </w:rPr>
      </w:pPr>
    </w:p>
    <w:p w:rsidR="00DA78CB" w:rsidRPr="00CB7FEB" w:rsidRDefault="00DA78CB" w:rsidP="00DA78CB">
      <w:pPr>
        <w:spacing w:after="0" w:line="240" w:lineRule="auto"/>
        <w:ind w:firstLine="0"/>
        <w:jc w:val="center"/>
        <w:rPr>
          <w:rFonts w:ascii="Garamond" w:hAnsi="Garamond"/>
          <w:b/>
          <w:sz w:val="24"/>
          <w:szCs w:val="24"/>
        </w:rPr>
      </w:pPr>
      <w:r w:rsidRPr="00CB7FEB">
        <w:rPr>
          <w:rFonts w:ascii="Garamond" w:hAnsi="Garamond"/>
          <w:b/>
          <w:sz w:val="24"/>
          <w:szCs w:val="24"/>
        </w:rPr>
        <w:t>MINISTRI</w:t>
      </w:r>
    </w:p>
    <w:p w:rsidR="00DA78CB" w:rsidRPr="00CB7FEB" w:rsidRDefault="00DA78CB" w:rsidP="00DA78CB">
      <w:pPr>
        <w:pStyle w:val="Heading2"/>
        <w:spacing w:before="0"/>
        <w:ind w:left="0" w:firstLine="0"/>
        <w:jc w:val="center"/>
        <w:rPr>
          <w:rFonts w:ascii="Garamond" w:hAnsi="Garamond"/>
          <w:noProof/>
          <w:sz w:val="16"/>
          <w:szCs w:val="24"/>
          <w:lang w:val="sq-AL"/>
        </w:rPr>
      </w:pPr>
    </w:p>
    <w:p w:rsidR="00DA78CB" w:rsidRPr="00CB7FEB" w:rsidRDefault="00DA78CB" w:rsidP="00DA78CB">
      <w:pPr>
        <w:pStyle w:val="Heading2"/>
        <w:spacing w:before="0"/>
        <w:ind w:left="0" w:firstLine="0"/>
        <w:jc w:val="center"/>
        <w:rPr>
          <w:rFonts w:ascii="Garamond" w:hAnsi="Garamond"/>
          <w:noProof/>
          <w:szCs w:val="24"/>
          <w:lang w:val="sq-AL"/>
        </w:rPr>
      </w:pPr>
      <w:r w:rsidRPr="00CB7FEB">
        <w:rPr>
          <w:rFonts w:ascii="Garamond" w:hAnsi="Garamond"/>
          <w:noProof/>
          <w:szCs w:val="24"/>
          <w:lang w:val="sq-AL"/>
        </w:rPr>
        <w:t>AUTORIZIM IMPORTIMI</w:t>
      </w:r>
    </w:p>
    <w:p w:rsidR="00DA78CB" w:rsidRPr="00CB7FEB" w:rsidRDefault="00DA78CB" w:rsidP="00DA78CB">
      <w:pPr>
        <w:rPr>
          <w:sz w:val="8"/>
        </w:rPr>
      </w:pPr>
    </w:p>
    <w:p w:rsidR="00DA78CB" w:rsidRPr="00007A00" w:rsidRDefault="00DA78CB" w:rsidP="00DA78CB">
      <w:pPr>
        <w:jc w:val="center"/>
        <w:rPr>
          <w:rFonts w:ascii="Times New Roman" w:hAnsi="Times New Roman"/>
          <w:b/>
          <w:noProof/>
          <w:sz w:val="24"/>
          <w:szCs w:val="24"/>
        </w:rPr>
      </w:pPr>
      <w:r w:rsidRPr="00007A00">
        <w:rPr>
          <w:rFonts w:ascii="Times New Roman" w:hAnsi="Times New Roman"/>
          <w:b/>
          <w:noProof/>
          <w:sz w:val="24"/>
          <w:szCs w:val="24"/>
        </w:rPr>
        <w:t>Nr. ________, datë ______________</w:t>
      </w:r>
    </w:p>
    <w:p w:rsidR="00DA78CB" w:rsidRDefault="00DA78CB" w:rsidP="00DA78CB">
      <w:pPr>
        <w:pStyle w:val="Paragrafi"/>
        <w:rPr>
          <w:noProof/>
        </w:rPr>
      </w:pPr>
      <w:r w:rsidRPr="00EF2AA5">
        <w:rPr>
          <w:noProof/>
        </w:rPr>
        <w:t xml:space="preserve">Mbështetur në ligjin nr. </w:t>
      </w:r>
      <w:r>
        <w:rPr>
          <w:noProof/>
        </w:rPr>
        <w:t>105/2014, datë 31.07.201</w:t>
      </w:r>
      <w:r w:rsidRPr="00EF2AA5">
        <w:rPr>
          <w:noProof/>
        </w:rPr>
        <w:t>4 “Për Barnat dhe Shër</w:t>
      </w:r>
      <w:r>
        <w:rPr>
          <w:noProof/>
        </w:rPr>
        <w:t>bimin Farmaceutik”, neni</w:t>
      </w:r>
      <w:r w:rsidRPr="00EF2AA5">
        <w:rPr>
          <w:noProof/>
        </w:rPr>
        <w:t xml:space="preserve"> 11</w:t>
      </w:r>
      <w:r>
        <w:rPr>
          <w:noProof/>
        </w:rPr>
        <w:t>, pika 2</w:t>
      </w:r>
      <w:r w:rsidRPr="00EF2AA5">
        <w:rPr>
          <w:noProof/>
        </w:rPr>
        <w:t xml:space="preserve"> dhe </w:t>
      </w:r>
      <w:r>
        <w:rPr>
          <w:noProof/>
        </w:rPr>
        <w:t>neni 33, pika 1, autorizohet</w:t>
      </w:r>
      <w:r w:rsidRPr="00CC6C4C">
        <w:rPr>
          <w:b/>
          <w:i/>
          <w:noProof/>
        </w:rPr>
        <w:t>“</w:t>
      </w:r>
      <w:r>
        <w:rPr>
          <w:b/>
          <w:i/>
          <w:noProof/>
        </w:rPr>
        <w:t>.........</w:t>
      </w:r>
      <w:r w:rsidRPr="00CC6C4C">
        <w:rPr>
          <w:b/>
          <w:i/>
          <w:noProof/>
        </w:rPr>
        <w:t>”</w:t>
      </w:r>
      <w:r>
        <w:rPr>
          <w:b/>
          <w:i/>
          <w:noProof/>
        </w:rPr>
        <w:t xml:space="preserve"> sh.p.k. - </w:t>
      </w:r>
      <w:r>
        <w:rPr>
          <w:noProof/>
        </w:rPr>
        <w:t xml:space="preserve">Tiranë, me administrator </w:t>
      </w:r>
      <w:r>
        <w:rPr>
          <w:b/>
          <w:i/>
          <w:noProof/>
        </w:rPr>
        <w:t xml:space="preserve">z/znj (drejtuesi teknik), </w:t>
      </w:r>
      <w:r w:rsidRPr="000C5EA3">
        <w:rPr>
          <w:noProof/>
        </w:rPr>
        <w:t>të imp</w:t>
      </w:r>
      <w:r>
        <w:rPr>
          <w:noProof/>
        </w:rPr>
        <w:t xml:space="preserve">ortojë barin e paautorizuar </w:t>
      </w:r>
      <w:r w:rsidRPr="000C5EA3">
        <w:rPr>
          <w:noProof/>
        </w:rPr>
        <w:t>(</w:t>
      </w:r>
      <w:r>
        <w:rPr>
          <w:noProof/>
        </w:rPr>
        <w:t xml:space="preserve">tre artikuj, një artikull me dy seri) nga firma </w:t>
      </w:r>
      <w:r w:rsidRPr="00CC6C4C">
        <w:rPr>
          <w:b/>
          <w:i/>
          <w:noProof/>
        </w:rPr>
        <w:t>“</w:t>
      </w:r>
      <w:r>
        <w:rPr>
          <w:b/>
          <w:i/>
          <w:noProof/>
        </w:rPr>
        <w:t>Emri i kompanisë</w:t>
      </w:r>
      <w:r w:rsidRPr="00AC01CF">
        <w:rPr>
          <w:b/>
          <w:i/>
          <w:noProof/>
        </w:rPr>
        <w:t>”</w:t>
      </w:r>
      <w:r>
        <w:rPr>
          <w:noProof/>
        </w:rPr>
        <w:t xml:space="preserve"> (Shteti prej nga vijnë barnat), </w:t>
      </w:r>
      <w:r w:rsidRPr="000C5EA3">
        <w:rPr>
          <w:noProof/>
        </w:rPr>
        <w:t>si më poshtë:</w:t>
      </w:r>
    </w:p>
    <w:p w:rsidR="00DA78CB" w:rsidRDefault="00DA78CB" w:rsidP="00DA78CB">
      <w:pPr>
        <w:pStyle w:val="Paragrafi"/>
        <w:rPr>
          <w:noProof/>
        </w:rPr>
      </w:pPr>
    </w:p>
    <w:tbl>
      <w:tblPr>
        <w:tblW w:w="98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890"/>
        <w:gridCol w:w="1890"/>
        <w:gridCol w:w="1800"/>
        <w:gridCol w:w="810"/>
        <w:gridCol w:w="900"/>
        <w:gridCol w:w="900"/>
        <w:gridCol w:w="990"/>
      </w:tblGrid>
      <w:tr w:rsidR="00DA78CB" w:rsidRPr="00A41EBB" w:rsidTr="00436A8A">
        <w:trPr>
          <w:trHeight w:val="593"/>
        </w:trPr>
        <w:tc>
          <w:tcPr>
            <w:tcW w:w="63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Nr.</w:t>
            </w:r>
          </w:p>
        </w:tc>
        <w:tc>
          <w:tcPr>
            <w:tcW w:w="189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Emri i barit</w:t>
            </w:r>
          </w:p>
        </w:tc>
        <w:tc>
          <w:tcPr>
            <w:tcW w:w="189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Lënda</w:t>
            </w: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vepruese</w:t>
            </w:r>
          </w:p>
        </w:tc>
        <w:tc>
          <w:tcPr>
            <w:tcW w:w="180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Formë/ doza</w:t>
            </w:r>
          </w:p>
        </w:tc>
        <w:tc>
          <w:tcPr>
            <w:tcW w:w="81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Sasia</w:t>
            </w:r>
          </w:p>
        </w:tc>
        <w:tc>
          <w:tcPr>
            <w:tcW w:w="90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Seria</w:t>
            </w:r>
          </w:p>
        </w:tc>
        <w:tc>
          <w:tcPr>
            <w:tcW w:w="90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Skad.</w:t>
            </w:r>
          </w:p>
        </w:tc>
        <w:tc>
          <w:tcPr>
            <w:tcW w:w="99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 xml:space="preserve">Çmimi </w:t>
            </w:r>
          </w:p>
        </w:tc>
      </w:tr>
      <w:tr w:rsidR="00DA78CB" w:rsidRPr="00A41EBB" w:rsidTr="00436A8A">
        <w:trPr>
          <w:trHeight w:val="334"/>
        </w:trPr>
        <w:tc>
          <w:tcPr>
            <w:tcW w:w="63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1.</w:t>
            </w:r>
          </w:p>
        </w:tc>
        <w:tc>
          <w:tcPr>
            <w:tcW w:w="189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1890" w:type="dxa"/>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180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810" w:type="dxa"/>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900" w:type="dxa"/>
          </w:tcPr>
          <w:p w:rsidR="00DA78CB" w:rsidRPr="000C427C" w:rsidRDefault="00DA78CB" w:rsidP="00436A8A">
            <w:pPr>
              <w:spacing w:after="0" w:line="240" w:lineRule="auto"/>
              <w:ind w:firstLine="0"/>
              <w:jc w:val="center"/>
              <w:rPr>
                <w:rFonts w:ascii="Times New Roman" w:eastAsia="Times New Roman" w:hAnsi="Times New Roman"/>
                <w:sz w:val="23"/>
                <w:szCs w:val="23"/>
              </w:rPr>
            </w:pPr>
          </w:p>
          <w:p w:rsidR="00DA78CB" w:rsidRPr="000C427C" w:rsidRDefault="00DA78CB" w:rsidP="00436A8A">
            <w:pPr>
              <w:spacing w:after="0" w:line="240" w:lineRule="auto"/>
              <w:ind w:firstLine="0"/>
              <w:jc w:val="center"/>
              <w:rPr>
                <w:rFonts w:ascii="Times New Roman" w:eastAsia="Times New Roman" w:hAnsi="Times New Roman"/>
                <w:sz w:val="23"/>
                <w:szCs w:val="23"/>
              </w:rPr>
            </w:pPr>
          </w:p>
        </w:tc>
        <w:tc>
          <w:tcPr>
            <w:tcW w:w="90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99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r>
      <w:tr w:rsidR="00DA78CB" w:rsidRPr="00A41EBB" w:rsidTr="00436A8A">
        <w:trPr>
          <w:trHeight w:val="370"/>
        </w:trPr>
        <w:tc>
          <w:tcPr>
            <w:tcW w:w="630" w:type="dxa"/>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2.</w:t>
            </w:r>
          </w:p>
        </w:tc>
        <w:tc>
          <w:tcPr>
            <w:tcW w:w="189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189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180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c>
          <w:tcPr>
            <w:tcW w:w="810" w:type="dxa"/>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900" w:type="dxa"/>
          </w:tcPr>
          <w:p w:rsidR="00DA78CB" w:rsidRPr="000C427C" w:rsidRDefault="00DA78CB" w:rsidP="00436A8A">
            <w:pPr>
              <w:spacing w:after="0" w:line="240" w:lineRule="auto"/>
              <w:ind w:firstLine="0"/>
              <w:jc w:val="center"/>
              <w:rPr>
                <w:rFonts w:ascii="Times New Roman" w:eastAsia="Times New Roman" w:hAnsi="Times New Roman"/>
                <w:sz w:val="23"/>
                <w:szCs w:val="23"/>
              </w:rPr>
            </w:pPr>
          </w:p>
        </w:tc>
        <w:tc>
          <w:tcPr>
            <w:tcW w:w="900" w:type="dxa"/>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990" w:type="dxa"/>
          </w:tcPr>
          <w:p w:rsidR="00DA78CB" w:rsidRPr="000C427C" w:rsidRDefault="00DA78CB" w:rsidP="00436A8A">
            <w:pPr>
              <w:spacing w:after="0" w:line="240" w:lineRule="auto"/>
              <w:ind w:firstLine="0"/>
              <w:rPr>
                <w:rFonts w:ascii="Times New Roman" w:eastAsia="Times New Roman" w:hAnsi="Times New Roman"/>
                <w:noProof/>
                <w:sz w:val="23"/>
                <w:szCs w:val="23"/>
              </w:rPr>
            </w:pPr>
          </w:p>
        </w:tc>
      </w:tr>
      <w:tr w:rsidR="00DA78CB" w:rsidRPr="00A41EBB" w:rsidTr="00436A8A">
        <w:trPr>
          <w:trHeight w:val="341"/>
        </w:trPr>
        <w:tc>
          <w:tcPr>
            <w:tcW w:w="63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b/>
                <w:noProof/>
                <w:sz w:val="23"/>
                <w:szCs w:val="23"/>
              </w:rPr>
            </w:pPr>
          </w:p>
          <w:p w:rsidR="00DA78CB" w:rsidRPr="000C427C" w:rsidRDefault="00DA78CB" w:rsidP="00436A8A">
            <w:pPr>
              <w:spacing w:after="0" w:line="240" w:lineRule="auto"/>
              <w:ind w:firstLine="0"/>
              <w:jc w:val="center"/>
              <w:rPr>
                <w:rFonts w:ascii="Times New Roman" w:eastAsia="Times New Roman" w:hAnsi="Times New Roman"/>
                <w:b/>
                <w:noProof/>
                <w:sz w:val="23"/>
                <w:szCs w:val="23"/>
              </w:rPr>
            </w:pPr>
            <w:r w:rsidRPr="000C427C">
              <w:rPr>
                <w:rFonts w:ascii="Times New Roman" w:eastAsia="Times New Roman" w:hAnsi="Times New Roman"/>
                <w:b/>
                <w:noProof/>
                <w:sz w:val="23"/>
                <w:szCs w:val="23"/>
              </w:rPr>
              <w:t>3.</w:t>
            </w:r>
          </w:p>
        </w:tc>
        <w:tc>
          <w:tcPr>
            <w:tcW w:w="189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189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180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81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90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sz w:val="23"/>
                <w:szCs w:val="23"/>
              </w:rPr>
            </w:pPr>
          </w:p>
        </w:tc>
        <w:tc>
          <w:tcPr>
            <w:tcW w:w="90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c>
          <w:tcPr>
            <w:tcW w:w="990" w:type="dxa"/>
            <w:tcBorders>
              <w:top w:val="single" w:sz="4" w:space="0" w:color="auto"/>
              <w:left w:val="single" w:sz="4" w:space="0" w:color="auto"/>
              <w:bottom w:val="single" w:sz="4" w:space="0" w:color="auto"/>
              <w:right w:val="single" w:sz="4" w:space="0" w:color="auto"/>
            </w:tcBorders>
          </w:tcPr>
          <w:p w:rsidR="00DA78CB" w:rsidRPr="000C427C" w:rsidRDefault="00DA78CB" w:rsidP="00436A8A">
            <w:pPr>
              <w:spacing w:after="0" w:line="240" w:lineRule="auto"/>
              <w:ind w:firstLine="0"/>
              <w:jc w:val="center"/>
              <w:rPr>
                <w:rFonts w:ascii="Times New Roman" w:eastAsia="Times New Roman" w:hAnsi="Times New Roman"/>
                <w:noProof/>
                <w:sz w:val="23"/>
                <w:szCs w:val="23"/>
              </w:rPr>
            </w:pPr>
          </w:p>
        </w:tc>
      </w:tr>
    </w:tbl>
    <w:p w:rsidR="00DA78CB" w:rsidRPr="00531986" w:rsidRDefault="00DA78CB" w:rsidP="00DA78CB">
      <w:pPr>
        <w:pStyle w:val="Paragrafi"/>
        <w:rPr>
          <w:noProof/>
        </w:rPr>
      </w:pPr>
      <w:r w:rsidRPr="00B71F35">
        <w:rPr>
          <w:noProof/>
        </w:rPr>
        <w:t xml:space="preserve">Autorizimi </w:t>
      </w:r>
      <w:r>
        <w:rPr>
          <w:noProof/>
        </w:rPr>
        <w:t>ë</w:t>
      </w:r>
      <w:r w:rsidRPr="00B71F35">
        <w:rPr>
          <w:noProof/>
        </w:rPr>
        <w:t>sht</w:t>
      </w:r>
      <w:r>
        <w:rPr>
          <w:noProof/>
        </w:rPr>
        <w:t>ë</w:t>
      </w:r>
      <w:r w:rsidRPr="00B71F35">
        <w:rPr>
          <w:noProof/>
        </w:rPr>
        <w:t xml:space="preserve"> i vlefsh</w:t>
      </w:r>
      <w:r>
        <w:rPr>
          <w:noProof/>
        </w:rPr>
        <w:t>ë</w:t>
      </w:r>
      <w:r w:rsidRPr="00B71F35">
        <w:rPr>
          <w:noProof/>
        </w:rPr>
        <w:t>m p</w:t>
      </w:r>
      <w:r>
        <w:rPr>
          <w:noProof/>
        </w:rPr>
        <w:t>ë</w:t>
      </w:r>
      <w:r w:rsidRPr="00B71F35">
        <w:rPr>
          <w:noProof/>
        </w:rPr>
        <w:t>r nj</w:t>
      </w:r>
      <w:r>
        <w:rPr>
          <w:noProof/>
        </w:rPr>
        <w:t>ë</w:t>
      </w:r>
      <w:r w:rsidRPr="00B71F35">
        <w:rPr>
          <w:noProof/>
        </w:rPr>
        <w:t xml:space="preserve"> importim dhe me afat prej 2 (dy) muajsh. </w:t>
      </w:r>
    </w:p>
    <w:p w:rsidR="00DA78CB" w:rsidRPr="00B12E29" w:rsidRDefault="00DA78CB" w:rsidP="00DA78CB">
      <w:pPr>
        <w:pStyle w:val="Paragrafi"/>
        <w:jc w:val="right"/>
        <w:rPr>
          <w:noProof/>
          <w:sz w:val="8"/>
        </w:rPr>
      </w:pPr>
    </w:p>
    <w:p w:rsidR="00DA78CB" w:rsidRPr="00B7689A" w:rsidRDefault="00DA78CB" w:rsidP="00DA78CB">
      <w:pPr>
        <w:pStyle w:val="Paragrafi"/>
        <w:jc w:val="right"/>
        <w:rPr>
          <w:noProof/>
        </w:rPr>
      </w:pPr>
      <w:r w:rsidRPr="00B7689A">
        <w:rPr>
          <w:noProof/>
        </w:rPr>
        <w:t xml:space="preserve">MINISTRI </w:t>
      </w:r>
    </w:p>
    <w:p w:rsidR="00DA78CB" w:rsidRPr="00724FD5" w:rsidRDefault="00DA78CB" w:rsidP="00DA78CB">
      <w:pPr>
        <w:pStyle w:val="Paragrafi"/>
        <w:ind w:firstLine="0"/>
        <w:rPr>
          <w:lang w:val="sq-AL"/>
        </w:rPr>
      </w:pPr>
    </w:p>
    <w:p w:rsidR="00FD57DC" w:rsidRDefault="00F54F97"/>
    <w:sectPr w:rsidR="00FD57DC" w:rsidSect="00F54F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8CB"/>
    <w:rsid w:val="00013606"/>
    <w:rsid w:val="001D125B"/>
    <w:rsid w:val="002C0AA4"/>
    <w:rsid w:val="002E7553"/>
    <w:rsid w:val="00332E0F"/>
    <w:rsid w:val="00455FC5"/>
    <w:rsid w:val="004A4709"/>
    <w:rsid w:val="00627136"/>
    <w:rsid w:val="007A33AA"/>
    <w:rsid w:val="00823C62"/>
    <w:rsid w:val="00912120"/>
    <w:rsid w:val="00A3508F"/>
    <w:rsid w:val="00B441A3"/>
    <w:rsid w:val="00D27DAF"/>
    <w:rsid w:val="00DA78CB"/>
    <w:rsid w:val="00E12DC7"/>
    <w:rsid w:val="00F5353D"/>
    <w:rsid w:val="00F54F9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CB"/>
    <w:pPr>
      <w:ind w:firstLine="284"/>
      <w:jc w:val="both"/>
    </w:pPr>
    <w:rPr>
      <w:rFonts w:ascii="Calibri" w:eastAsia="Calibri" w:hAnsi="Calibri" w:cs="Times New Roman"/>
    </w:rPr>
  </w:style>
  <w:style w:type="paragraph" w:styleId="Heading2">
    <w:name w:val="heading 2"/>
    <w:basedOn w:val="Normal"/>
    <w:next w:val="Normal"/>
    <w:link w:val="Heading2Char1"/>
    <w:qFormat/>
    <w:rsid w:val="00DA78CB"/>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DA78CB"/>
    <w:rPr>
      <w:rFonts w:asciiTheme="majorHAnsi" w:eastAsiaTheme="majorEastAsia" w:hAnsiTheme="majorHAnsi" w:cstheme="majorBidi"/>
      <w:b/>
      <w:bCs/>
      <w:color w:val="4F81BD" w:themeColor="accent1"/>
      <w:sz w:val="26"/>
      <w:szCs w:val="26"/>
    </w:rPr>
  </w:style>
  <w:style w:type="paragraph" w:customStyle="1" w:styleId="Akti">
    <w:name w:val="Akti"/>
    <w:link w:val="AktiChar"/>
    <w:rsid w:val="00DA78C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A78C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A78CB"/>
    <w:rPr>
      <w:rFonts w:ascii="Garamond" w:eastAsia="MS Mincho" w:hAnsi="Garamond" w:cs="CG Times"/>
      <w:b/>
      <w:bCs/>
      <w:sz w:val="24"/>
      <w:lang w:val="en-GB"/>
    </w:rPr>
  </w:style>
  <w:style w:type="paragraph" w:customStyle="1" w:styleId="Paragrafi">
    <w:name w:val="Paragrafi"/>
    <w:link w:val="ParagrafiChar"/>
    <w:rsid w:val="00DA78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78CB"/>
    <w:rPr>
      <w:rFonts w:ascii="Garamond" w:eastAsia="MS Mincho" w:hAnsi="Garamond" w:cs="CG Times"/>
      <w:sz w:val="24"/>
    </w:rPr>
  </w:style>
  <w:style w:type="paragraph" w:customStyle="1" w:styleId="Titulli">
    <w:name w:val="Titulli"/>
    <w:next w:val="Normal"/>
    <w:link w:val="TitulliChar"/>
    <w:rsid w:val="00DA78C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A78CB"/>
    <w:rPr>
      <w:rFonts w:ascii="Garamond" w:eastAsia="MS Mincho" w:hAnsi="Garamond" w:cs="CG Times"/>
      <w:b/>
      <w:bCs/>
      <w:caps/>
      <w:sz w:val="24"/>
      <w:lang w:val="en-GB"/>
    </w:rPr>
  </w:style>
  <w:style w:type="character" w:customStyle="1" w:styleId="AktiChar">
    <w:name w:val="Akti Char"/>
    <w:basedOn w:val="DefaultParagraphFont"/>
    <w:link w:val="Akti"/>
    <w:rsid w:val="00DA78CB"/>
    <w:rPr>
      <w:rFonts w:ascii="Garamond" w:eastAsia="MS Mincho" w:hAnsi="Garamond" w:cs="CG Times"/>
      <w:b/>
      <w:bCs/>
      <w:caps/>
      <w:color w:val="000000"/>
      <w:sz w:val="24"/>
      <w:lang w:val="en-GB"/>
    </w:rPr>
  </w:style>
  <w:style w:type="paragraph" w:customStyle="1" w:styleId="Autoriteti">
    <w:name w:val="Autoriteti"/>
    <w:next w:val="Normal"/>
    <w:link w:val="AutoritetiChar"/>
    <w:rsid w:val="00DA78C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A78C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A78CB"/>
    <w:rPr>
      <w:rFonts w:ascii="Garamond" w:eastAsia="MS Mincho" w:hAnsi="Garamond" w:cs="CG Times"/>
      <w:caps/>
      <w:sz w:val="24"/>
      <w:lang w:val="en-GB"/>
    </w:rPr>
  </w:style>
  <w:style w:type="character" w:customStyle="1" w:styleId="AutoritetiEmerChar">
    <w:name w:val="Autoriteti_Emer Char"/>
    <w:link w:val="AutoritetiEmer"/>
    <w:locked/>
    <w:rsid w:val="00DA78CB"/>
    <w:rPr>
      <w:rFonts w:ascii="Garamond" w:eastAsia="MS Mincho" w:hAnsi="Garamond" w:cs="Times New Roman"/>
      <w:b/>
      <w:bCs/>
      <w:sz w:val="24"/>
      <w:lang w:val="en-GB"/>
    </w:rPr>
  </w:style>
  <w:style w:type="paragraph" w:customStyle="1" w:styleId="Vendosi">
    <w:name w:val="Vendosi"/>
    <w:basedOn w:val="Normal"/>
    <w:qFormat/>
    <w:rsid w:val="00DA78C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DA78CB"/>
    <w:rPr>
      <w:sz w:val="14"/>
      <w:szCs w:val="24"/>
    </w:rPr>
  </w:style>
  <w:style w:type="character" w:customStyle="1" w:styleId="Heading2Char1">
    <w:name w:val="Heading 2 Char1"/>
    <w:link w:val="Heading2"/>
    <w:locked/>
    <w:rsid w:val="00DA78CB"/>
    <w:rPr>
      <w:rFonts w:ascii="Cambria" w:eastAsia="MS Mincho" w:hAnsi="Cambria" w:cs="Cambria"/>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8CB"/>
    <w:pPr>
      <w:ind w:firstLine="284"/>
      <w:jc w:val="both"/>
    </w:pPr>
    <w:rPr>
      <w:rFonts w:ascii="Calibri" w:eastAsia="Calibri" w:hAnsi="Calibri" w:cs="Times New Roman"/>
    </w:rPr>
  </w:style>
  <w:style w:type="paragraph" w:styleId="Heading2">
    <w:name w:val="heading 2"/>
    <w:basedOn w:val="Normal"/>
    <w:next w:val="Normal"/>
    <w:link w:val="Heading2Char1"/>
    <w:qFormat/>
    <w:rsid w:val="00DA78CB"/>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uiPriority w:val="9"/>
    <w:semiHidden/>
    <w:rsid w:val="00DA78CB"/>
    <w:rPr>
      <w:rFonts w:asciiTheme="majorHAnsi" w:eastAsiaTheme="majorEastAsia" w:hAnsiTheme="majorHAnsi" w:cstheme="majorBidi"/>
      <w:b/>
      <w:bCs/>
      <w:color w:val="4F81BD" w:themeColor="accent1"/>
      <w:sz w:val="26"/>
      <w:szCs w:val="26"/>
    </w:rPr>
  </w:style>
  <w:style w:type="paragraph" w:customStyle="1" w:styleId="Akti">
    <w:name w:val="Akti"/>
    <w:link w:val="AktiChar"/>
    <w:rsid w:val="00DA78C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A78C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A78CB"/>
    <w:rPr>
      <w:rFonts w:ascii="Garamond" w:eastAsia="MS Mincho" w:hAnsi="Garamond" w:cs="CG Times"/>
      <w:b/>
      <w:bCs/>
      <w:sz w:val="24"/>
      <w:lang w:val="en-GB"/>
    </w:rPr>
  </w:style>
  <w:style w:type="paragraph" w:customStyle="1" w:styleId="Paragrafi">
    <w:name w:val="Paragrafi"/>
    <w:link w:val="ParagrafiChar"/>
    <w:rsid w:val="00DA78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A78CB"/>
    <w:rPr>
      <w:rFonts w:ascii="Garamond" w:eastAsia="MS Mincho" w:hAnsi="Garamond" w:cs="CG Times"/>
      <w:sz w:val="24"/>
    </w:rPr>
  </w:style>
  <w:style w:type="paragraph" w:customStyle="1" w:styleId="Titulli">
    <w:name w:val="Titulli"/>
    <w:next w:val="Normal"/>
    <w:link w:val="TitulliChar"/>
    <w:rsid w:val="00DA78C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A78CB"/>
    <w:rPr>
      <w:rFonts w:ascii="Garamond" w:eastAsia="MS Mincho" w:hAnsi="Garamond" w:cs="CG Times"/>
      <w:b/>
      <w:bCs/>
      <w:caps/>
      <w:sz w:val="24"/>
      <w:lang w:val="en-GB"/>
    </w:rPr>
  </w:style>
  <w:style w:type="character" w:customStyle="1" w:styleId="AktiChar">
    <w:name w:val="Akti Char"/>
    <w:basedOn w:val="DefaultParagraphFont"/>
    <w:link w:val="Akti"/>
    <w:rsid w:val="00DA78CB"/>
    <w:rPr>
      <w:rFonts w:ascii="Garamond" w:eastAsia="MS Mincho" w:hAnsi="Garamond" w:cs="CG Times"/>
      <w:b/>
      <w:bCs/>
      <w:caps/>
      <w:color w:val="000000"/>
      <w:sz w:val="24"/>
      <w:lang w:val="en-GB"/>
    </w:rPr>
  </w:style>
  <w:style w:type="paragraph" w:customStyle="1" w:styleId="Autoriteti">
    <w:name w:val="Autoriteti"/>
    <w:next w:val="Normal"/>
    <w:link w:val="AutoritetiChar"/>
    <w:rsid w:val="00DA78C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A78C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A78CB"/>
    <w:rPr>
      <w:rFonts w:ascii="Garamond" w:eastAsia="MS Mincho" w:hAnsi="Garamond" w:cs="CG Times"/>
      <w:caps/>
      <w:sz w:val="24"/>
      <w:lang w:val="en-GB"/>
    </w:rPr>
  </w:style>
  <w:style w:type="character" w:customStyle="1" w:styleId="AutoritetiEmerChar">
    <w:name w:val="Autoriteti_Emer Char"/>
    <w:link w:val="AutoritetiEmer"/>
    <w:locked/>
    <w:rsid w:val="00DA78CB"/>
    <w:rPr>
      <w:rFonts w:ascii="Garamond" w:eastAsia="MS Mincho" w:hAnsi="Garamond" w:cs="Times New Roman"/>
      <w:b/>
      <w:bCs/>
      <w:sz w:val="24"/>
      <w:lang w:val="en-GB"/>
    </w:rPr>
  </w:style>
  <w:style w:type="paragraph" w:customStyle="1" w:styleId="Vendosi">
    <w:name w:val="Vendosi"/>
    <w:basedOn w:val="Normal"/>
    <w:qFormat/>
    <w:rsid w:val="00DA78C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DA78CB"/>
    <w:rPr>
      <w:sz w:val="14"/>
      <w:szCs w:val="24"/>
    </w:rPr>
  </w:style>
  <w:style w:type="character" w:customStyle="1" w:styleId="Heading2Char1">
    <w:name w:val="Heading 2 Char1"/>
    <w:link w:val="Heading2"/>
    <w:locked/>
    <w:rsid w:val="00DA78CB"/>
    <w:rPr>
      <w:rFonts w:ascii="Cambria" w:eastAsia="MS Mincho" w:hAnsi="Cambria" w:cs="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4201</Characters>
  <Application>Microsoft Office Word</Application>
  <DocSecurity>4</DocSecurity>
  <Lines>35</Lines>
  <Paragraphs>9</Paragraphs>
  <ScaleCrop>false</ScaleCrop>
  <Company>Grizli777</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2019-01-29T11:02:00Z</dcterms:created>
  <dcterms:modified xsi:type="dcterms:W3CDTF">2019-01-29T11:02:00Z</dcterms:modified>
</cp:coreProperties>
</file>