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61F" w:rsidRPr="000C4807" w:rsidRDefault="004B061F" w:rsidP="004B061F">
      <w:pPr>
        <w:pStyle w:val="Akti"/>
        <w:rPr>
          <w:lang w:val="sq-AL"/>
        </w:rPr>
      </w:pPr>
      <w:r w:rsidRPr="000C4807">
        <w:rPr>
          <w:lang w:val="sq-AL"/>
        </w:rPr>
        <w:t>VENDIM</w:t>
      </w:r>
    </w:p>
    <w:p w:rsidR="004B061F" w:rsidRPr="000C4807" w:rsidRDefault="004B061F" w:rsidP="004B061F">
      <w:pPr>
        <w:pStyle w:val="NumriData"/>
        <w:rPr>
          <w:lang w:val="sq-AL"/>
        </w:rPr>
      </w:pPr>
      <w:r w:rsidRPr="000C4807">
        <w:rPr>
          <w:lang w:val="sq-AL"/>
        </w:rPr>
        <w:t>Nr.  175, datë 25.2.2015</w:t>
      </w:r>
    </w:p>
    <w:p w:rsidR="004B061F" w:rsidRPr="00ED5EF1" w:rsidRDefault="004B061F" w:rsidP="004B061F">
      <w:pPr>
        <w:pStyle w:val="Titulli"/>
        <w:rPr>
          <w:sz w:val="14"/>
          <w:lang w:val="sq-AL"/>
        </w:rPr>
      </w:pPr>
    </w:p>
    <w:p w:rsidR="004B061F" w:rsidRPr="000C4807" w:rsidRDefault="004B061F" w:rsidP="004B061F">
      <w:pPr>
        <w:pStyle w:val="Titulli"/>
        <w:rPr>
          <w:lang w:val="sq-AL"/>
        </w:rPr>
      </w:pPr>
      <w:r w:rsidRPr="000C4807">
        <w:rPr>
          <w:lang w:val="sq-AL"/>
        </w:rPr>
        <w:t>PËR SHPRONËSIMIN, PËR INTERES PUBLIK, TË PRONARËVE TË  PASURIVE TË PALUAJTSHME, PRONË PRIVATE, QË PREKEN NGA NDËRTIMI I SEGMENTIT RRUGOR “PORTO ROMANO-DURRËS, LOTI I”</w:t>
      </w:r>
    </w:p>
    <w:p w:rsidR="004B061F" w:rsidRPr="000C4807" w:rsidRDefault="004B061F" w:rsidP="004B061F">
      <w:pPr>
        <w:pStyle w:val="Paragrafi"/>
        <w:ind w:firstLine="0"/>
        <w:rPr>
          <w:sz w:val="14"/>
          <w:lang w:val="sq-AL"/>
        </w:rPr>
      </w:pPr>
    </w:p>
    <w:p w:rsidR="004B061F" w:rsidRPr="000C4807" w:rsidRDefault="004B061F" w:rsidP="004B061F">
      <w:pPr>
        <w:pStyle w:val="Paragrafi"/>
        <w:rPr>
          <w:lang w:val="sq-AL"/>
        </w:rPr>
      </w:pPr>
      <w:r w:rsidRPr="000C4807">
        <w:rPr>
          <w:lang w:val="sq-AL"/>
        </w:rPr>
        <w:t xml:space="preserve">Në mbështetje të nenit 100 të Kushtetutës, të neneve 5, pika 1, 20 e 21, të ligjit nr. 8561, datë 22.12.1999, “Për shpronësimet dhe marrjen në përdorim të përkohshëm të pasurisë, pronë private, për interes publik”, me propozimin e ministrit të Transportit dhe Infrastrukturës, Këshilli i Ministrave </w:t>
      </w:r>
    </w:p>
    <w:p w:rsidR="004B061F" w:rsidRPr="000C4807" w:rsidRDefault="004B061F" w:rsidP="004B061F">
      <w:pPr>
        <w:pStyle w:val="Vendosi"/>
        <w:rPr>
          <w:sz w:val="14"/>
          <w:lang w:val="sq-AL"/>
        </w:rPr>
      </w:pPr>
    </w:p>
    <w:p w:rsidR="004B061F" w:rsidRPr="000C4807" w:rsidRDefault="004B061F" w:rsidP="004B061F">
      <w:pPr>
        <w:pStyle w:val="Vendosi"/>
        <w:rPr>
          <w:lang w:val="sq-AL"/>
        </w:rPr>
      </w:pPr>
      <w:r w:rsidRPr="000C4807">
        <w:rPr>
          <w:lang w:val="sq-AL"/>
        </w:rPr>
        <w:t>VENDOSI:</w:t>
      </w:r>
    </w:p>
    <w:p w:rsidR="004B061F" w:rsidRPr="000C4807" w:rsidRDefault="004B061F" w:rsidP="004B061F">
      <w:pPr>
        <w:pStyle w:val="Paragrafi"/>
        <w:rPr>
          <w:sz w:val="14"/>
          <w:lang w:val="sq-AL"/>
        </w:rPr>
      </w:pPr>
    </w:p>
    <w:p w:rsidR="004B061F" w:rsidRPr="000C4807" w:rsidRDefault="004B061F" w:rsidP="004B061F">
      <w:pPr>
        <w:pStyle w:val="Paragrafi"/>
        <w:rPr>
          <w:lang w:val="sq-AL"/>
        </w:rPr>
      </w:pPr>
      <w:r w:rsidRPr="000C4807">
        <w:rPr>
          <w:lang w:val="sq-AL"/>
        </w:rPr>
        <w:t xml:space="preserve">1. Shpronësimin, për interes publik, të pronarëve të pasurive të paluajtshme, pronë private, që preken nga ndërtimi i segmentit rrugor “Porto Romano-Durrës, loti I”. </w:t>
      </w:r>
    </w:p>
    <w:p w:rsidR="004B061F" w:rsidRPr="000C4807" w:rsidRDefault="004B061F" w:rsidP="004B061F">
      <w:pPr>
        <w:pStyle w:val="Paragrafi"/>
        <w:rPr>
          <w:lang w:val="sq-AL"/>
        </w:rPr>
      </w:pPr>
      <w:r w:rsidRPr="000C4807">
        <w:rPr>
          <w:lang w:val="sq-AL"/>
        </w:rPr>
        <w:t xml:space="preserve">2. Shpronësimi të bëhet në favor të Autoritetit Rrugor Shqiptar. </w:t>
      </w:r>
    </w:p>
    <w:p w:rsidR="004B061F" w:rsidRPr="000C4807" w:rsidRDefault="004B061F" w:rsidP="004B061F">
      <w:pPr>
        <w:pStyle w:val="Paragrafi"/>
        <w:rPr>
          <w:lang w:val="sq-AL"/>
        </w:rPr>
      </w:pPr>
      <w:r w:rsidRPr="000C4807">
        <w:rPr>
          <w:lang w:val="sq-AL"/>
        </w:rPr>
        <w:t xml:space="preserve">3. Pronarët e pasurive të paluajtshme, që shpronësohen, të kompensohen në vlerë të plotë, sipas masës së kompensimit përkatës, që paraqitet në tabelën bashkëlidhur, me një vlerë të përgjithshme shpronësimi prej 4 478 606 (katër milionë e katërqind e shtatëdhjetë e tetë mijë e gjashtëqind e gjashtë) lekësh, nga të cilat: </w:t>
      </w:r>
    </w:p>
    <w:p w:rsidR="004B061F" w:rsidRPr="000C4807" w:rsidRDefault="004B061F" w:rsidP="004B061F">
      <w:pPr>
        <w:pStyle w:val="Paragrafi"/>
        <w:rPr>
          <w:lang w:val="sq-AL"/>
        </w:rPr>
      </w:pPr>
      <w:r w:rsidRPr="000C4807">
        <w:rPr>
          <w:lang w:val="sq-AL"/>
        </w:rPr>
        <w:t>a) për pasurinë “truall”, me sipërfaqe 868 (tetëqind e gjashtëdhjetë e tetë) m</w:t>
      </w:r>
      <w:r w:rsidRPr="00ED5EF1">
        <w:rPr>
          <w:vertAlign w:val="superscript"/>
          <w:lang w:val="sq-AL"/>
        </w:rPr>
        <w:t>2</w:t>
      </w:r>
      <w:r w:rsidRPr="000C4807">
        <w:rPr>
          <w:lang w:val="sq-AL"/>
        </w:rPr>
        <w:t xml:space="preserve"> me vlerën 2 867 004 (dy milionë e tetëqind e gjashtëdhjetë e shtatë mijë e katër) lekë; </w:t>
      </w:r>
    </w:p>
    <w:p w:rsidR="004B061F" w:rsidRPr="000C4807" w:rsidRDefault="004B061F" w:rsidP="004B061F">
      <w:pPr>
        <w:pStyle w:val="Paragrafi"/>
        <w:rPr>
          <w:lang w:val="sq-AL"/>
        </w:rPr>
      </w:pPr>
      <w:r w:rsidRPr="000C4807">
        <w:rPr>
          <w:lang w:val="sq-AL"/>
        </w:rPr>
        <w:t xml:space="preserve">b) për objekte, me vlerë shpronësimi 1 611 602 (një milion e gjashtëqind e njëmbëdhjetë mijë e gjashtëqind e dy) lekë. </w:t>
      </w:r>
    </w:p>
    <w:p w:rsidR="004B061F" w:rsidRPr="000C4807" w:rsidRDefault="004B061F" w:rsidP="004B061F">
      <w:pPr>
        <w:pStyle w:val="Paragrafi"/>
        <w:rPr>
          <w:lang w:val="sq-AL"/>
        </w:rPr>
      </w:pPr>
      <w:r w:rsidRPr="000C4807">
        <w:rPr>
          <w:lang w:val="sq-AL"/>
        </w:rPr>
        <w:t xml:space="preserve">4. Vlera e përgjithshme e shpronësimit, prej 4 478 606 (katër milionë e katërqind e shtatëdhjetë e tetë mijë e gjashtëqind e gjashtë) lekë të përballohet nga buxheti i vitit 2015, miratuar për Ministrinë e Transportit dhe Infrastrukturës, zëri “Shpronësime”, planifikuar për Autoritetin Rrugor Shqiptar. </w:t>
      </w:r>
    </w:p>
    <w:p w:rsidR="004B061F" w:rsidRPr="000C4807" w:rsidRDefault="004B061F" w:rsidP="004B061F">
      <w:pPr>
        <w:pStyle w:val="Paragrafi"/>
        <w:rPr>
          <w:lang w:val="sq-AL"/>
        </w:rPr>
      </w:pPr>
      <w:bookmarkStart w:id="0" w:name="_GoBack"/>
      <w:bookmarkEnd w:id="0"/>
      <w:r w:rsidRPr="000C4807">
        <w:rPr>
          <w:lang w:val="sq-AL"/>
        </w:rPr>
        <w:t xml:space="preserve">5. Shpenzimet procedurale, në vlerën 50 000 (pesëdhjetë mijë) lekë, të përballohen nga Autoriteti Rrugor Shqiptar. </w:t>
      </w:r>
    </w:p>
    <w:p w:rsidR="004B061F" w:rsidRPr="000C4807" w:rsidRDefault="004B061F" w:rsidP="004B061F">
      <w:pPr>
        <w:pStyle w:val="Paragrafi"/>
        <w:rPr>
          <w:lang w:val="sq-AL"/>
        </w:rPr>
      </w:pPr>
      <w:r w:rsidRPr="000C4807">
        <w:rPr>
          <w:lang w:val="sq-AL"/>
        </w:rPr>
        <w:t xml:space="preserve">6. Likuidimi i pronarëve të fillojë pas çeljes së fondit të përcaktuar në pikën 4, të këtij vendimi. </w:t>
      </w:r>
    </w:p>
    <w:p w:rsidR="004B061F" w:rsidRPr="000C4807" w:rsidRDefault="004B061F" w:rsidP="004B061F">
      <w:pPr>
        <w:pStyle w:val="Paragrafi"/>
        <w:rPr>
          <w:lang w:val="sq-AL"/>
        </w:rPr>
      </w:pPr>
      <w:r w:rsidRPr="000C4807">
        <w:rPr>
          <w:lang w:val="sq-AL"/>
        </w:rPr>
        <w:t xml:space="preserve">7. Pronarët e pasurive të listës që i bashkëlidhet këtij vendimi, për të cilat është bërë shënimi “Konfirmuar ZVRPP”, të likuidohen, për efekt shpronësimi, në bazë të dokumentacionit të plotë të pronësisë që do të dorëzojnë pranë Autoritetit Rrugor Shqiptar. </w:t>
      </w:r>
    </w:p>
    <w:p w:rsidR="004B061F" w:rsidRPr="000C4807" w:rsidRDefault="004B061F" w:rsidP="004B061F">
      <w:pPr>
        <w:pStyle w:val="Paragrafi"/>
        <w:rPr>
          <w:lang w:val="sq-AL"/>
        </w:rPr>
      </w:pPr>
      <w:r w:rsidRPr="000C4807">
        <w:rPr>
          <w:lang w:val="sq-AL"/>
        </w:rPr>
        <w:t xml:space="preserve">8. Autoriteti Rrugor Shqiptar të kryejë likuidimet, për efekt shpronësimi, në bazë të pikave 4, 5, 6 dhe 7, të këtij vendimi. </w:t>
      </w:r>
    </w:p>
    <w:p w:rsidR="004B061F" w:rsidRPr="000C4807" w:rsidRDefault="004B061F" w:rsidP="004B061F">
      <w:pPr>
        <w:pStyle w:val="Paragrafi"/>
        <w:rPr>
          <w:lang w:val="sq-AL"/>
        </w:rPr>
      </w:pPr>
      <w:r w:rsidRPr="000C4807">
        <w:rPr>
          <w:lang w:val="sq-AL"/>
        </w:rPr>
        <w:t xml:space="preserve">9. Brenda 30 ditëve nga data e miratimit të këtij vendimi, Zyra Qendrore e Regjistrimit të Pasurive të Paluajtshme dhe Zyra Vendore e Regjistrimit të Pasurive të Paluajtshme Durrës, në bashkëpunim me Autoritetin Rrugor Shqiptar, të fillojnë procedurat për hedhjen e trupit të rrugës mbi hartat kadastrale, sipas planimetrisë së shpronësimit që do t’u vihet në dispozicion nga Autoriteti Rrugor Shqiptar dhe, me fillimin e procesit të likuidimit, të fillojë edhe procesi i kalimit të pronësisë, për pasuritë e shpronësuara, në favor të shtetit. </w:t>
      </w:r>
    </w:p>
    <w:p w:rsidR="004B061F" w:rsidRPr="000C4807" w:rsidRDefault="004B061F" w:rsidP="004B061F">
      <w:pPr>
        <w:pStyle w:val="Paragrafi"/>
        <w:rPr>
          <w:lang w:val="sq-AL"/>
        </w:rPr>
      </w:pPr>
      <w:r w:rsidRPr="000C4807">
        <w:rPr>
          <w:lang w:val="sq-AL"/>
        </w:rPr>
        <w:t xml:space="preserve">10. Zyra Qendrore e Regjistrimit të Pasurive të Paluajtshme dhe Zyra Vendore e Regjistrimit të Pasurive të Paluajtshme Durrës të pezullojnë të gjitha transaksionet  me pasuritë e shpronësuara deri në momentin që do të realizohet procesi i hedhjes së trupit të rrugës mbi hartat kadastrale si dhe kalimi i pronësisë për pasuritë e shpronësuara. </w:t>
      </w:r>
    </w:p>
    <w:p w:rsidR="004B061F" w:rsidRPr="000C4807" w:rsidRDefault="004B061F" w:rsidP="004B061F">
      <w:pPr>
        <w:pStyle w:val="Paragrafi"/>
        <w:rPr>
          <w:lang w:val="sq-AL"/>
        </w:rPr>
      </w:pPr>
      <w:r w:rsidRPr="000C4807">
        <w:rPr>
          <w:lang w:val="sq-AL"/>
        </w:rPr>
        <w:t>11. Ngarkohen Ministria e Transportit dhe Infrastrukturës, Ministria e Financave, Autoriteti Rrugor Shqiptar, Zyra Qendrore e Regjistrimit të Pasurive të Paluajtshme dhe Zyra Vendore e Regjistrimit të Pasurive të  Paluajtshme Durrës për zbatimin e këtij vendimi.</w:t>
      </w:r>
    </w:p>
    <w:p w:rsidR="004B061F" w:rsidRPr="000C4807" w:rsidRDefault="004B061F" w:rsidP="004B061F">
      <w:pPr>
        <w:pStyle w:val="Paragrafi"/>
        <w:rPr>
          <w:lang w:val="sq-AL"/>
        </w:rPr>
      </w:pPr>
      <w:r w:rsidRPr="000C4807">
        <w:rPr>
          <w:lang w:val="sq-AL"/>
        </w:rPr>
        <w:t xml:space="preserve"> Ky vendim hyn në fuqi menjëherë dhe botohet në Fletoren Zyrtare.  </w:t>
      </w:r>
    </w:p>
    <w:p w:rsidR="004B061F" w:rsidRPr="000C4807" w:rsidRDefault="004B061F" w:rsidP="004B061F">
      <w:pPr>
        <w:pStyle w:val="Paragrafi"/>
        <w:rPr>
          <w:lang w:val="sq-AL"/>
        </w:rPr>
      </w:pPr>
    </w:p>
    <w:p w:rsidR="004B061F" w:rsidRPr="000C4807" w:rsidRDefault="004B061F" w:rsidP="004B061F">
      <w:pPr>
        <w:pStyle w:val="Autoriteti"/>
        <w:rPr>
          <w:lang w:val="sq-AL"/>
        </w:rPr>
      </w:pPr>
      <w:r w:rsidRPr="000C4807">
        <w:rPr>
          <w:lang w:val="sq-AL"/>
        </w:rPr>
        <w:t>KRYEMINISTRI</w:t>
      </w:r>
    </w:p>
    <w:p w:rsidR="004B061F" w:rsidRPr="000C4807" w:rsidRDefault="004B061F" w:rsidP="004B061F">
      <w:pPr>
        <w:pStyle w:val="AutoritetiEmer"/>
        <w:rPr>
          <w:lang w:val="sq-AL"/>
        </w:rPr>
      </w:pPr>
      <w:r w:rsidRPr="000C4807">
        <w:rPr>
          <w:lang w:val="sq-AL"/>
        </w:rPr>
        <w:t>Edi Rama</w:t>
      </w:r>
    </w:p>
    <w:p w:rsidR="004B061F" w:rsidRPr="000C4807" w:rsidRDefault="004B061F" w:rsidP="004B061F">
      <w:pPr>
        <w:rPr>
          <w:lang w:val="sq-AL"/>
        </w:rPr>
      </w:pPr>
    </w:p>
    <w:p w:rsidR="004B061F" w:rsidRPr="000C4807" w:rsidRDefault="004B061F" w:rsidP="004B061F">
      <w:pPr>
        <w:rPr>
          <w:lang w:val="sq-AL"/>
        </w:rPr>
      </w:pPr>
    </w:p>
    <w:p w:rsidR="004B061F" w:rsidRPr="000C4807" w:rsidRDefault="004B061F" w:rsidP="004B061F">
      <w:pPr>
        <w:spacing w:after="0" w:line="240" w:lineRule="auto"/>
        <w:ind w:firstLine="0"/>
        <w:jc w:val="left"/>
        <w:rPr>
          <w:rFonts w:ascii="Garamond" w:eastAsia="Times New Roman" w:hAnsi="Garamond" w:cs="Arial"/>
          <w:b/>
          <w:bCs/>
          <w:color w:val="000000"/>
          <w:sz w:val="14"/>
          <w:szCs w:val="14"/>
          <w:lang w:val="sq-AL"/>
        </w:rPr>
      </w:pPr>
    </w:p>
    <w:p w:rsidR="004B061F" w:rsidRPr="000C4807" w:rsidRDefault="004B061F" w:rsidP="004B061F">
      <w:pPr>
        <w:spacing w:after="0" w:line="240" w:lineRule="auto"/>
        <w:ind w:firstLine="0"/>
        <w:jc w:val="left"/>
        <w:rPr>
          <w:rFonts w:ascii="Garamond" w:eastAsia="Times New Roman" w:hAnsi="Garamond" w:cs="Arial"/>
          <w:b/>
          <w:bCs/>
          <w:color w:val="000000"/>
          <w:sz w:val="14"/>
          <w:szCs w:val="14"/>
          <w:lang w:val="sq-AL"/>
        </w:rPr>
      </w:pPr>
    </w:p>
    <w:p w:rsidR="004B061F" w:rsidRPr="000C4807" w:rsidRDefault="004B061F" w:rsidP="004B061F">
      <w:pPr>
        <w:spacing w:after="0" w:line="240" w:lineRule="auto"/>
        <w:ind w:firstLine="0"/>
        <w:jc w:val="left"/>
        <w:rPr>
          <w:rFonts w:ascii="Garamond" w:eastAsia="Times New Roman" w:hAnsi="Garamond" w:cs="Arial"/>
          <w:b/>
          <w:bCs/>
          <w:color w:val="000000"/>
          <w:sz w:val="14"/>
          <w:szCs w:val="14"/>
          <w:lang w:val="sq-AL"/>
        </w:rPr>
        <w:sectPr w:rsidR="004B061F" w:rsidRPr="000C4807" w:rsidSect="002358EF">
          <w:headerReference w:type="even" r:id="rId7"/>
          <w:pgSz w:w="11907" w:h="16840" w:code="9"/>
          <w:pgMar w:top="720" w:right="1134" w:bottom="720" w:left="1134" w:header="851" w:footer="851" w:gutter="0"/>
          <w:pgNumType w:start="1390"/>
          <w:cols w:space="454"/>
          <w:docGrid w:linePitch="360"/>
        </w:sectPr>
      </w:pPr>
    </w:p>
    <w:tbl>
      <w:tblPr>
        <w:tblW w:w="5000" w:type="pct"/>
        <w:tblLayout w:type="fixed"/>
        <w:tblLook w:val="04A0" w:firstRow="1" w:lastRow="0" w:firstColumn="1" w:lastColumn="0" w:noHBand="0" w:noVBand="1"/>
      </w:tblPr>
      <w:tblGrid>
        <w:gridCol w:w="422"/>
        <w:gridCol w:w="716"/>
        <w:gridCol w:w="772"/>
        <w:gridCol w:w="272"/>
        <w:gridCol w:w="280"/>
        <w:gridCol w:w="186"/>
        <w:gridCol w:w="504"/>
        <w:gridCol w:w="190"/>
        <w:gridCol w:w="496"/>
        <w:gridCol w:w="65"/>
        <w:gridCol w:w="402"/>
        <w:gridCol w:w="609"/>
        <w:gridCol w:w="714"/>
        <w:gridCol w:w="124"/>
        <w:gridCol w:w="699"/>
        <w:gridCol w:w="103"/>
        <w:gridCol w:w="720"/>
        <w:gridCol w:w="157"/>
        <w:gridCol w:w="668"/>
        <w:gridCol w:w="165"/>
        <w:gridCol w:w="1312"/>
      </w:tblGrid>
      <w:tr w:rsidR="004B061F" w:rsidRPr="000C4807" w:rsidTr="00E50F4C">
        <w:trPr>
          <w:trHeight w:val="139"/>
        </w:trPr>
        <w:tc>
          <w:tcPr>
            <w:tcW w:w="5000" w:type="pct"/>
            <w:gridSpan w:val="21"/>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lastRenderedPageBreak/>
              <w:t>REPUBLIKA E SHQIPËRISË</w:t>
            </w:r>
          </w:p>
        </w:tc>
      </w:tr>
      <w:tr w:rsidR="004B061F" w:rsidRPr="000C4807" w:rsidTr="00E50F4C">
        <w:trPr>
          <w:trHeight w:val="139"/>
        </w:trPr>
        <w:tc>
          <w:tcPr>
            <w:tcW w:w="2036" w:type="pct"/>
            <w:gridSpan w:val="10"/>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MINISTRIA E TRANSPORTIT DHE INFRASTRUKTURËS</w:t>
            </w:r>
          </w:p>
        </w:tc>
        <w:tc>
          <w:tcPr>
            <w:tcW w:w="210" w:type="pct"/>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318" w:type="pct"/>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438"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419"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458"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435"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686" w:type="pct"/>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center"/>
              <w:rPr>
                <w:rFonts w:ascii="Garamond" w:eastAsia="Times New Roman" w:hAnsi="Garamond" w:cs="Arial"/>
                <w:b/>
                <w:bCs/>
                <w:color w:val="000000"/>
                <w:sz w:val="14"/>
                <w:szCs w:val="14"/>
                <w:lang w:val="sq-AL"/>
              </w:rPr>
            </w:pPr>
          </w:p>
        </w:tc>
      </w:tr>
      <w:tr w:rsidR="004B061F" w:rsidRPr="000C4807" w:rsidTr="00E50F4C">
        <w:trPr>
          <w:trHeight w:val="139"/>
        </w:trPr>
        <w:tc>
          <w:tcPr>
            <w:tcW w:w="1139" w:type="pct"/>
            <w:gridSpan w:val="4"/>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 xml:space="preserve">SEKTORI I SHPRONËSIMEVE </w:t>
            </w:r>
          </w:p>
        </w:tc>
        <w:tc>
          <w:tcPr>
            <w:tcW w:w="243"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362"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293"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210" w:type="pct"/>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318" w:type="pct"/>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438"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419"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458"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435"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p>
        </w:tc>
        <w:tc>
          <w:tcPr>
            <w:tcW w:w="686" w:type="pct"/>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center"/>
              <w:rPr>
                <w:rFonts w:ascii="Garamond" w:eastAsia="Times New Roman" w:hAnsi="Garamond" w:cs="Arial"/>
                <w:b/>
                <w:bCs/>
                <w:color w:val="000000"/>
                <w:sz w:val="14"/>
                <w:szCs w:val="14"/>
                <w:lang w:val="sq-AL"/>
              </w:rPr>
            </w:pPr>
          </w:p>
        </w:tc>
      </w:tr>
      <w:tr w:rsidR="004B061F" w:rsidRPr="000C4807" w:rsidTr="00E50F4C">
        <w:trPr>
          <w:trHeight w:val="139"/>
        </w:trPr>
        <w:tc>
          <w:tcPr>
            <w:tcW w:w="5000" w:type="pct"/>
            <w:gridSpan w:val="21"/>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lef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AUTORITETI  RRUGOR  SHQIPTAR</w:t>
            </w:r>
          </w:p>
        </w:tc>
      </w:tr>
      <w:tr w:rsidR="004B061F" w:rsidRPr="000C4807" w:rsidTr="00E50F4C">
        <w:trPr>
          <w:trHeight w:val="139"/>
        </w:trPr>
        <w:tc>
          <w:tcPr>
            <w:tcW w:w="5000" w:type="pct"/>
            <w:gridSpan w:val="21"/>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center"/>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Lista emërore e pronarëve që shpronësohen nga ndërtimi i segmentit  rrugor</w:t>
            </w:r>
          </w:p>
        </w:tc>
      </w:tr>
      <w:tr w:rsidR="004B061F" w:rsidRPr="000C4807" w:rsidTr="00E50F4C">
        <w:trPr>
          <w:trHeight w:val="139"/>
        </w:trPr>
        <w:tc>
          <w:tcPr>
            <w:tcW w:w="5000" w:type="pct"/>
            <w:gridSpan w:val="21"/>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center"/>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“Porto Romano Durrës" Loti  I</w:t>
            </w:r>
          </w:p>
        </w:tc>
      </w:tr>
      <w:tr w:rsidR="004B061F" w:rsidRPr="000C4807" w:rsidTr="00E50F4C">
        <w:trPr>
          <w:trHeight w:val="139"/>
        </w:trPr>
        <w:tc>
          <w:tcPr>
            <w:tcW w:w="220" w:type="pct"/>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p>
        </w:tc>
        <w:tc>
          <w:tcPr>
            <w:tcW w:w="374" w:type="pct"/>
            <w:tcBorders>
              <w:top w:val="nil"/>
              <w:left w:val="nil"/>
              <w:bottom w:val="double" w:sz="6" w:space="0" w:color="auto"/>
              <w:right w:val="nil"/>
            </w:tcBorders>
            <w:shd w:val="clear" w:color="auto" w:fill="auto"/>
            <w:noWrap/>
            <w:vAlign w:val="bottom"/>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 </w:t>
            </w:r>
          </w:p>
        </w:tc>
        <w:tc>
          <w:tcPr>
            <w:tcW w:w="403" w:type="pct"/>
            <w:tcBorders>
              <w:top w:val="nil"/>
              <w:left w:val="nil"/>
              <w:bottom w:val="double" w:sz="6" w:space="0" w:color="auto"/>
              <w:right w:val="nil"/>
            </w:tcBorders>
            <w:shd w:val="clear" w:color="auto" w:fill="auto"/>
            <w:noWrap/>
            <w:vAlign w:val="bottom"/>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 </w:t>
            </w:r>
          </w:p>
        </w:tc>
        <w:tc>
          <w:tcPr>
            <w:tcW w:w="288"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p>
        </w:tc>
        <w:tc>
          <w:tcPr>
            <w:tcW w:w="360"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p>
        </w:tc>
        <w:tc>
          <w:tcPr>
            <w:tcW w:w="358"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p>
        </w:tc>
        <w:tc>
          <w:tcPr>
            <w:tcW w:w="244" w:type="pct"/>
            <w:gridSpan w:val="2"/>
            <w:tcBorders>
              <w:top w:val="nil"/>
              <w:left w:val="nil"/>
              <w:bottom w:val="double" w:sz="6" w:space="0" w:color="auto"/>
              <w:right w:val="nil"/>
            </w:tcBorders>
            <w:shd w:val="clear" w:color="auto" w:fill="auto"/>
            <w:noWrap/>
            <w:vAlign w:val="bottom"/>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 </w:t>
            </w:r>
          </w:p>
        </w:tc>
        <w:tc>
          <w:tcPr>
            <w:tcW w:w="318" w:type="pct"/>
            <w:tcBorders>
              <w:top w:val="nil"/>
              <w:left w:val="nil"/>
              <w:bottom w:val="double" w:sz="6" w:space="0" w:color="auto"/>
              <w:right w:val="nil"/>
            </w:tcBorders>
            <w:shd w:val="clear" w:color="auto" w:fill="auto"/>
            <w:noWrap/>
            <w:vAlign w:val="bottom"/>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 </w:t>
            </w:r>
          </w:p>
        </w:tc>
        <w:tc>
          <w:tcPr>
            <w:tcW w:w="438" w:type="pct"/>
            <w:gridSpan w:val="2"/>
            <w:tcBorders>
              <w:top w:val="nil"/>
              <w:left w:val="nil"/>
              <w:bottom w:val="double" w:sz="6" w:space="0" w:color="auto"/>
              <w:right w:val="nil"/>
            </w:tcBorders>
            <w:shd w:val="clear" w:color="auto" w:fill="auto"/>
            <w:noWrap/>
            <w:vAlign w:val="bottom"/>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 </w:t>
            </w:r>
          </w:p>
        </w:tc>
        <w:tc>
          <w:tcPr>
            <w:tcW w:w="419" w:type="pct"/>
            <w:gridSpan w:val="2"/>
            <w:tcBorders>
              <w:top w:val="nil"/>
              <w:left w:val="nil"/>
              <w:bottom w:val="double" w:sz="6" w:space="0" w:color="auto"/>
              <w:right w:val="nil"/>
            </w:tcBorders>
            <w:shd w:val="clear" w:color="auto" w:fill="auto"/>
            <w:noWrap/>
            <w:vAlign w:val="bottom"/>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 </w:t>
            </w:r>
          </w:p>
        </w:tc>
        <w:tc>
          <w:tcPr>
            <w:tcW w:w="376" w:type="pct"/>
            <w:tcBorders>
              <w:top w:val="nil"/>
              <w:left w:val="nil"/>
              <w:bottom w:val="double" w:sz="6" w:space="0" w:color="auto"/>
              <w:right w:val="nil"/>
            </w:tcBorders>
            <w:shd w:val="clear" w:color="auto" w:fill="auto"/>
            <w:noWrap/>
            <w:vAlign w:val="bottom"/>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 </w:t>
            </w:r>
          </w:p>
        </w:tc>
        <w:tc>
          <w:tcPr>
            <w:tcW w:w="431"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p>
        </w:tc>
        <w:tc>
          <w:tcPr>
            <w:tcW w:w="772" w:type="pct"/>
            <w:gridSpan w:val="2"/>
            <w:tcBorders>
              <w:top w:val="nil"/>
              <w:left w:val="nil"/>
              <w:bottom w:val="nil"/>
              <w:right w:val="nil"/>
            </w:tcBorders>
            <w:shd w:val="clear" w:color="auto" w:fill="auto"/>
            <w:noWrap/>
            <w:vAlign w:val="bottom"/>
            <w:hideMark/>
          </w:tcPr>
          <w:p w:rsidR="004B061F" w:rsidRPr="000C4807" w:rsidRDefault="004B061F" w:rsidP="00E50F4C">
            <w:pPr>
              <w:spacing w:after="0" w:line="240" w:lineRule="auto"/>
              <w:ind w:firstLine="0"/>
              <w:jc w:val="center"/>
              <w:rPr>
                <w:rFonts w:ascii="Garamond" w:eastAsia="Times New Roman" w:hAnsi="Garamond" w:cs="Arial"/>
                <w:b/>
                <w:bCs/>
                <w:color w:val="000000"/>
                <w:sz w:val="14"/>
                <w:szCs w:val="14"/>
                <w:lang w:val="sq-AL"/>
              </w:rPr>
            </w:pPr>
          </w:p>
        </w:tc>
      </w:tr>
      <w:tr w:rsidR="004B061F" w:rsidRPr="000C4807" w:rsidTr="00E50F4C">
        <w:trPr>
          <w:trHeight w:val="210"/>
        </w:trPr>
        <w:tc>
          <w:tcPr>
            <w:tcW w:w="220" w:type="pct"/>
            <w:vMerge w:val="restart"/>
            <w:tcBorders>
              <w:top w:val="double" w:sz="6" w:space="0" w:color="auto"/>
              <w:left w:val="double" w:sz="6" w:space="0" w:color="auto"/>
              <w:bottom w:val="single" w:sz="8" w:space="0" w:color="000000"/>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xml:space="preserve">Nr. </w:t>
            </w:r>
          </w:p>
        </w:tc>
        <w:tc>
          <w:tcPr>
            <w:tcW w:w="374" w:type="pct"/>
            <w:vMerge w:val="restart"/>
            <w:tcBorders>
              <w:top w:val="nil"/>
              <w:left w:val="double" w:sz="6" w:space="0" w:color="auto"/>
              <w:bottom w:val="single" w:sz="8" w:space="0" w:color="000000"/>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xml:space="preserve">Emri </w:t>
            </w:r>
          </w:p>
        </w:tc>
        <w:tc>
          <w:tcPr>
            <w:tcW w:w="403" w:type="pct"/>
            <w:vMerge w:val="restart"/>
            <w:tcBorders>
              <w:top w:val="nil"/>
              <w:left w:val="double" w:sz="6" w:space="0" w:color="auto"/>
              <w:bottom w:val="single" w:sz="8" w:space="0" w:color="000000"/>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Mbiemri</w:t>
            </w:r>
          </w:p>
        </w:tc>
        <w:tc>
          <w:tcPr>
            <w:tcW w:w="288" w:type="pct"/>
            <w:gridSpan w:val="2"/>
            <w:vMerge w:val="restart"/>
            <w:tcBorders>
              <w:top w:val="double" w:sz="6" w:space="0" w:color="auto"/>
              <w:left w:val="double" w:sz="6" w:space="0" w:color="auto"/>
              <w:bottom w:val="single" w:sz="8" w:space="0" w:color="000000"/>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Z. K</w:t>
            </w:r>
          </w:p>
        </w:tc>
        <w:tc>
          <w:tcPr>
            <w:tcW w:w="360" w:type="pct"/>
            <w:gridSpan w:val="2"/>
            <w:vMerge w:val="restart"/>
            <w:tcBorders>
              <w:top w:val="double" w:sz="6" w:space="0" w:color="auto"/>
              <w:left w:val="double" w:sz="6" w:space="0" w:color="auto"/>
              <w:bottom w:val="single" w:sz="8" w:space="0" w:color="000000"/>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xml:space="preserve">Nr.  Pas  </w:t>
            </w:r>
          </w:p>
        </w:tc>
        <w:tc>
          <w:tcPr>
            <w:tcW w:w="358" w:type="pct"/>
            <w:gridSpan w:val="2"/>
            <w:vMerge w:val="restart"/>
            <w:tcBorders>
              <w:top w:val="double" w:sz="6" w:space="0" w:color="auto"/>
              <w:left w:val="nil"/>
              <w:bottom w:val="single" w:sz="8" w:space="0" w:color="000000"/>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xml:space="preserve">Sip. Përgj. </w:t>
            </w:r>
            <w:r w:rsidRPr="000C4807">
              <w:rPr>
                <w:rFonts w:ascii="Garamond" w:eastAsia="Times New Roman" w:hAnsi="Garamond" w:cs="Arial"/>
                <w:b/>
                <w:bCs/>
                <w:sz w:val="14"/>
                <w:szCs w:val="14"/>
                <w:lang w:val="sq-AL"/>
              </w:rPr>
              <w:br/>
              <w:t>m</w:t>
            </w:r>
            <w:r w:rsidRPr="000C4807">
              <w:rPr>
                <w:rFonts w:ascii="Garamond" w:eastAsia="Times New Roman" w:hAnsi="Garamond" w:cs="Arial"/>
                <w:b/>
                <w:bCs/>
                <w:sz w:val="14"/>
                <w:szCs w:val="14"/>
                <w:vertAlign w:val="superscript"/>
                <w:lang w:val="sq-AL"/>
              </w:rPr>
              <w:t>2</w:t>
            </w:r>
          </w:p>
        </w:tc>
        <w:tc>
          <w:tcPr>
            <w:tcW w:w="1795" w:type="pct"/>
            <w:gridSpan w:val="8"/>
            <w:tcBorders>
              <w:top w:val="double" w:sz="6" w:space="0" w:color="auto"/>
              <w:left w:val="nil"/>
              <w:bottom w:val="double" w:sz="6" w:space="0" w:color="auto"/>
              <w:right w:val="double" w:sz="6" w:space="0" w:color="000000"/>
            </w:tcBorders>
            <w:shd w:val="clear" w:color="auto" w:fill="auto"/>
            <w:noWrap/>
            <w:vAlign w:val="bottom"/>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xml:space="preserve">Lloji i Pasurisë </w:t>
            </w:r>
          </w:p>
        </w:tc>
        <w:tc>
          <w:tcPr>
            <w:tcW w:w="431" w:type="pct"/>
            <w:gridSpan w:val="2"/>
            <w:vMerge w:val="restart"/>
            <w:tcBorders>
              <w:top w:val="double" w:sz="6" w:space="0" w:color="auto"/>
              <w:left w:val="double" w:sz="6" w:space="0" w:color="auto"/>
              <w:bottom w:val="single" w:sz="8" w:space="0" w:color="000000"/>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xml:space="preserve">Shuma </w:t>
            </w:r>
            <w:r w:rsidRPr="000C4807">
              <w:rPr>
                <w:rFonts w:ascii="Garamond" w:eastAsia="Times New Roman" w:hAnsi="Garamond" w:cs="Arial"/>
                <w:b/>
                <w:bCs/>
                <w:sz w:val="14"/>
                <w:szCs w:val="14"/>
                <w:lang w:val="sq-AL"/>
              </w:rPr>
              <w:br/>
              <w:t>(Lekë)</w:t>
            </w:r>
          </w:p>
        </w:tc>
        <w:tc>
          <w:tcPr>
            <w:tcW w:w="772" w:type="pct"/>
            <w:gridSpan w:val="2"/>
            <w:vMerge w:val="restart"/>
            <w:tcBorders>
              <w:top w:val="double" w:sz="6" w:space="0" w:color="auto"/>
              <w:left w:val="double" w:sz="6" w:space="0" w:color="auto"/>
              <w:bottom w:val="single" w:sz="8" w:space="0" w:color="000000"/>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Shënime</w:t>
            </w:r>
          </w:p>
        </w:tc>
      </w:tr>
      <w:tr w:rsidR="004B061F" w:rsidRPr="000C4807" w:rsidTr="00E50F4C">
        <w:trPr>
          <w:trHeight w:val="195"/>
        </w:trPr>
        <w:tc>
          <w:tcPr>
            <w:tcW w:w="220" w:type="pct"/>
            <w:vMerge/>
            <w:tcBorders>
              <w:top w:val="double" w:sz="6" w:space="0" w:color="auto"/>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374" w:type="pct"/>
            <w:vMerge/>
            <w:tcBorders>
              <w:top w:val="nil"/>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403" w:type="pct"/>
            <w:vMerge/>
            <w:tcBorders>
              <w:top w:val="nil"/>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288" w:type="pct"/>
            <w:gridSpan w:val="2"/>
            <w:vMerge/>
            <w:tcBorders>
              <w:top w:val="double" w:sz="6" w:space="0" w:color="auto"/>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360" w:type="pct"/>
            <w:gridSpan w:val="2"/>
            <w:vMerge/>
            <w:tcBorders>
              <w:top w:val="double" w:sz="6" w:space="0" w:color="auto"/>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358" w:type="pct"/>
            <w:gridSpan w:val="2"/>
            <w:vMerge/>
            <w:tcBorders>
              <w:top w:val="double" w:sz="6" w:space="0" w:color="auto"/>
              <w:left w:val="nil"/>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935" w:type="pct"/>
            <w:gridSpan w:val="4"/>
            <w:tcBorders>
              <w:top w:val="nil"/>
              <w:left w:val="nil"/>
              <w:bottom w:val="double" w:sz="6" w:space="0" w:color="auto"/>
              <w:right w:val="double" w:sz="6" w:space="0" w:color="000000"/>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xml:space="preserve">TRUALL </w:t>
            </w:r>
          </w:p>
        </w:tc>
        <w:tc>
          <w:tcPr>
            <w:tcW w:w="859" w:type="pct"/>
            <w:gridSpan w:val="4"/>
            <w:tcBorders>
              <w:top w:val="double" w:sz="6" w:space="0" w:color="auto"/>
              <w:left w:val="nil"/>
              <w:bottom w:val="double" w:sz="6" w:space="0" w:color="auto"/>
              <w:right w:val="double" w:sz="6" w:space="0" w:color="000000"/>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OBJEKTE</w:t>
            </w:r>
          </w:p>
        </w:tc>
        <w:tc>
          <w:tcPr>
            <w:tcW w:w="431" w:type="pct"/>
            <w:gridSpan w:val="2"/>
            <w:vMerge/>
            <w:tcBorders>
              <w:top w:val="double" w:sz="6" w:space="0" w:color="auto"/>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772" w:type="pct"/>
            <w:gridSpan w:val="2"/>
            <w:vMerge/>
            <w:tcBorders>
              <w:top w:val="double" w:sz="6" w:space="0" w:color="auto"/>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r>
      <w:tr w:rsidR="004B061F" w:rsidRPr="000C4807" w:rsidTr="00E50F4C">
        <w:trPr>
          <w:trHeight w:val="270"/>
        </w:trPr>
        <w:tc>
          <w:tcPr>
            <w:tcW w:w="220" w:type="pct"/>
            <w:vMerge/>
            <w:tcBorders>
              <w:top w:val="double" w:sz="6" w:space="0" w:color="auto"/>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374" w:type="pct"/>
            <w:vMerge/>
            <w:tcBorders>
              <w:top w:val="nil"/>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403" w:type="pct"/>
            <w:vMerge/>
            <w:tcBorders>
              <w:top w:val="nil"/>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288" w:type="pct"/>
            <w:gridSpan w:val="2"/>
            <w:vMerge/>
            <w:tcBorders>
              <w:top w:val="double" w:sz="6" w:space="0" w:color="auto"/>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360" w:type="pct"/>
            <w:gridSpan w:val="2"/>
            <w:vMerge/>
            <w:tcBorders>
              <w:top w:val="double" w:sz="6" w:space="0" w:color="auto"/>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358" w:type="pct"/>
            <w:gridSpan w:val="2"/>
            <w:vMerge/>
            <w:tcBorders>
              <w:top w:val="double" w:sz="6" w:space="0" w:color="auto"/>
              <w:left w:val="nil"/>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244" w:type="pct"/>
            <w:gridSpan w:val="2"/>
            <w:tcBorders>
              <w:top w:val="nil"/>
              <w:left w:val="nil"/>
              <w:bottom w:val="single" w:sz="8"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m</w:t>
            </w:r>
            <w:r w:rsidRPr="000C4807">
              <w:rPr>
                <w:rFonts w:ascii="Garamond" w:eastAsia="Times New Roman" w:hAnsi="Garamond" w:cs="Arial"/>
                <w:b/>
                <w:bCs/>
                <w:sz w:val="14"/>
                <w:szCs w:val="14"/>
                <w:vertAlign w:val="superscript"/>
                <w:lang w:val="sq-AL"/>
              </w:rPr>
              <w:t>2</w:t>
            </w:r>
          </w:p>
        </w:tc>
        <w:tc>
          <w:tcPr>
            <w:tcW w:w="318" w:type="pct"/>
            <w:tcBorders>
              <w:top w:val="nil"/>
              <w:left w:val="nil"/>
              <w:bottom w:val="single" w:sz="8"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Çmimi</w:t>
            </w:r>
          </w:p>
        </w:tc>
        <w:tc>
          <w:tcPr>
            <w:tcW w:w="373" w:type="pct"/>
            <w:tcBorders>
              <w:top w:val="nil"/>
              <w:left w:val="nil"/>
              <w:bottom w:val="single" w:sz="8"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Vlera lekë</w:t>
            </w:r>
          </w:p>
        </w:tc>
        <w:tc>
          <w:tcPr>
            <w:tcW w:w="430" w:type="pct"/>
            <w:gridSpan w:val="2"/>
            <w:tcBorders>
              <w:top w:val="nil"/>
              <w:left w:val="nil"/>
              <w:bottom w:val="single" w:sz="8"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Lloji</w:t>
            </w:r>
          </w:p>
        </w:tc>
        <w:tc>
          <w:tcPr>
            <w:tcW w:w="430" w:type="pct"/>
            <w:gridSpan w:val="2"/>
            <w:tcBorders>
              <w:top w:val="nil"/>
              <w:left w:val="nil"/>
              <w:bottom w:val="single" w:sz="8"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Vlera lekë</w:t>
            </w:r>
          </w:p>
        </w:tc>
        <w:tc>
          <w:tcPr>
            <w:tcW w:w="431" w:type="pct"/>
            <w:gridSpan w:val="2"/>
            <w:vMerge/>
            <w:tcBorders>
              <w:top w:val="double" w:sz="6" w:space="0" w:color="auto"/>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c>
          <w:tcPr>
            <w:tcW w:w="772" w:type="pct"/>
            <w:gridSpan w:val="2"/>
            <w:vMerge/>
            <w:tcBorders>
              <w:top w:val="double" w:sz="6" w:space="0" w:color="auto"/>
              <w:left w:val="double" w:sz="6" w:space="0" w:color="auto"/>
              <w:bottom w:val="single" w:sz="8" w:space="0" w:color="000000"/>
              <w:right w:val="double" w:sz="6" w:space="0" w:color="auto"/>
            </w:tcBorders>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p>
        </w:tc>
      </w:tr>
      <w:tr w:rsidR="004B061F" w:rsidRPr="000C4807" w:rsidTr="00E50F4C">
        <w:trPr>
          <w:trHeight w:val="139"/>
        </w:trPr>
        <w:tc>
          <w:tcPr>
            <w:tcW w:w="220" w:type="pct"/>
            <w:tcBorders>
              <w:top w:val="nil"/>
              <w:left w:val="double" w:sz="6" w:space="0" w:color="auto"/>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1</w:t>
            </w:r>
          </w:p>
        </w:tc>
        <w:tc>
          <w:tcPr>
            <w:tcW w:w="374" w:type="pct"/>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xml:space="preserve">Vladimir </w:t>
            </w:r>
          </w:p>
        </w:tc>
        <w:tc>
          <w:tcPr>
            <w:tcW w:w="403" w:type="pct"/>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Bruci</w:t>
            </w:r>
          </w:p>
        </w:tc>
        <w:tc>
          <w:tcPr>
            <w:tcW w:w="288"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8517</w:t>
            </w:r>
          </w:p>
        </w:tc>
        <w:tc>
          <w:tcPr>
            <w:tcW w:w="360"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152/233</w:t>
            </w:r>
          </w:p>
        </w:tc>
        <w:tc>
          <w:tcPr>
            <w:tcW w:w="358"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left"/>
              <w:rPr>
                <w:rFonts w:ascii="Garamond" w:eastAsia="Times New Roman" w:hAnsi="Garamond" w:cs="Arial"/>
                <w:sz w:val="14"/>
                <w:szCs w:val="14"/>
                <w:lang w:val="sq-AL"/>
              </w:rPr>
            </w:pPr>
            <w:r w:rsidRPr="000C4807">
              <w:rPr>
                <w:rFonts w:ascii="Garamond" w:eastAsia="Times New Roman" w:hAnsi="Garamond" w:cs="Arial"/>
                <w:sz w:val="14"/>
                <w:szCs w:val="14"/>
                <w:lang w:val="sq-AL"/>
              </w:rPr>
              <w:t>247.2</w:t>
            </w:r>
          </w:p>
        </w:tc>
        <w:tc>
          <w:tcPr>
            <w:tcW w:w="244" w:type="pct"/>
            <w:gridSpan w:val="2"/>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26</w:t>
            </w:r>
          </w:p>
        </w:tc>
        <w:tc>
          <w:tcPr>
            <w:tcW w:w="318" w:type="pct"/>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3303</w:t>
            </w:r>
          </w:p>
        </w:tc>
        <w:tc>
          <w:tcPr>
            <w:tcW w:w="373" w:type="pct"/>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85878</w:t>
            </w:r>
          </w:p>
        </w:tc>
        <w:tc>
          <w:tcPr>
            <w:tcW w:w="430" w:type="pct"/>
            <w:gridSpan w:val="2"/>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b/>
                <w:bCs/>
                <w:color w:val="FF0000"/>
                <w:sz w:val="14"/>
                <w:szCs w:val="14"/>
                <w:lang w:val="sq-AL"/>
              </w:rPr>
            </w:pPr>
            <w:r w:rsidRPr="000C4807">
              <w:rPr>
                <w:rFonts w:ascii="Garamond" w:eastAsia="Times New Roman" w:hAnsi="Garamond" w:cs="Arial"/>
                <w:b/>
                <w:bCs/>
                <w:color w:val="FF0000"/>
                <w:sz w:val="14"/>
                <w:szCs w:val="14"/>
                <w:lang w:val="sq-AL"/>
              </w:rPr>
              <w:t> </w:t>
            </w:r>
          </w:p>
        </w:tc>
        <w:tc>
          <w:tcPr>
            <w:tcW w:w="430" w:type="pct"/>
            <w:gridSpan w:val="2"/>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 </w:t>
            </w:r>
          </w:p>
        </w:tc>
        <w:tc>
          <w:tcPr>
            <w:tcW w:w="431" w:type="pct"/>
            <w:gridSpan w:val="2"/>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85878</w:t>
            </w:r>
          </w:p>
        </w:tc>
        <w:tc>
          <w:tcPr>
            <w:tcW w:w="772"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Konfirmuar  ZVRPP</w:t>
            </w:r>
          </w:p>
        </w:tc>
      </w:tr>
      <w:tr w:rsidR="004B061F" w:rsidRPr="000C4807" w:rsidTr="00E50F4C">
        <w:trPr>
          <w:trHeight w:val="139"/>
        </w:trPr>
        <w:tc>
          <w:tcPr>
            <w:tcW w:w="220" w:type="pct"/>
            <w:tcBorders>
              <w:top w:val="nil"/>
              <w:left w:val="double" w:sz="6" w:space="0" w:color="auto"/>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2</w:t>
            </w:r>
          </w:p>
        </w:tc>
        <w:tc>
          <w:tcPr>
            <w:tcW w:w="374" w:type="pct"/>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xml:space="preserve">Shpëtim </w:t>
            </w:r>
          </w:p>
        </w:tc>
        <w:tc>
          <w:tcPr>
            <w:tcW w:w="403" w:type="pct"/>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Aliaj</w:t>
            </w:r>
          </w:p>
        </w:tc>
        <w:tc>
          <w:tcPr>
            <w:tcW w:w="288"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8517</w:t>
            </w:r>
          </w:p>
        </w:tc>
        <w:tc>
          <w:tcPr>
            <w:tcW w:w="360"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152/21</w:t>
            </w:r>
          </w:p>
        </w:tc>
        <w:tc>
          <w:tcPr>
            <w:tcW w:w="358"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left"/>
              <w:rPr>
                <w:rFonts w:ascii="Garamond" w:eastAsia="Times New Roman" w:hAnsi="Garamond" w:cs="Arial"/>
                <w:sz w:val="14"/>
                <w:szCs w:val="14"/>
                <w:lang w:val="sq-AL"/>
              </w:rPr>
            </w:pPr>
            <w:r w:rsidRPr="000C4807">
              <w:rPr>
                <w:rFonts w:ascii="Garamond" w:eastAsia="Times New Roman" w:hAnsi="Garamond" w:cs="Arial"/>
                <w:sz w:val="14"/>
                <w:szCs w:val="14"/>
                <w:lang w:val="sq-AL"/>
              </w:rPr>
              <w:t>301.16</w:t>
            </w:r>
          </w:p>
        </w:tc>
        <w:tc>
          <w:tcPr>
            <w:tcW w:w="244" w:type="pct"/>
            <w:gridSpan w:val="2"/>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158</w:t>
            </w:r>
          </w:p>
        </w:tc>
        <w:tc>
          <w:tcPr>
            <w:tcW w:w="318" w:type="pct"/>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3303</w:t>
            </w:r>
          </w:p>
        </w:tc>
        <w:tc>
          <w:tcPr>
            <w:tcW w:w="373" w:type="pct"/>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521874</w:t>
            </w:r>
          </w:p>
        </w:tc>
        <w:tc>
          <w:tcPr>
            <w:tcW w:w="430" w:type="pct"/>
            <w:gridSpan w:val="2"/>
            <w:tcBorders>
              <w:top w:val="nil"/>
              <w:left w:val="nil"/>
              <w:bottom w:val="nil"/>
              <w:right w:val="nil"/>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color w:val="FF0000"/>
                <w:sz w:val="14"/>
                <w:szCs w:val="14"/>
                <w:lang w:val="sq-AL"/>
              </w:rPr>
            </w:pPr>
          </w:p>
        </w:tc>
        <w:tc>
          <w:tcPr>
            <w:tcW w:w="430" w:type="pct"/>
            <w:gridSpan w:val="2"/>
            <w:tcBorders>
              <w:top w:val="nil"/>
              <w:left w:val="double" w:sz="6" w:space="0" w:color="auto"/>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 </w:t>
            </w:r>
          </w:p>
        </w:tc>
        <w:tc>
          <w:tcPr>
            <w:tcW w:w="431" w:type="pct"/>
            <w:gridSpan w:val="2"/>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521874</w:t>
            </w:r>
          </w:p>
        </w:tc>
        <w:tc>
          <w:tcPr>
            <w:tcW w:w="772"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Konfirmuar  ZVRPP</w:t>
            </w:r>
          </w:p>
        </w:tc>
      </w:tr>
      <w:tr w:rsidR="004B061F" w:rsidRPr="000C4807" w:rsidTr="00E50F4C">
        <w:trPr>
          <w:trHeight w:val="139"/>
        </w:trPr>
        <w:tc>
          <w:tcPr>
            <w:tcW w:w="220" w:type="pct"/>
            <w:tcBorders>
              <w:top w:val="nil"/>
              <w:left w:val="double" w:sz="6" w:space="0" w:color="auto"/>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3</w:t>
            </w:r>
          </w:p>
        </w:tc>
        <w:tc>
          <w:tcPr>
            <w:tcW w:w="374" w:type="pct"/>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Adriatik</w:t>
            </w:r>
          </w:p>
        </w:tc>
        <w:tc>
          <w:tcPr>
            <w:tcW w:w="403" w:type="pct"/>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xml:space="preserve">Shahini </w:t>
            </w:r>
          </w:p>
        </w:tc>
        <w:tc>
          <w:tcPr>
            <w:tcW w:w="288"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8517</w:t>
            </w:r>
          </w:p>
        </w:tc>
        <w:tc>
          <w:tcPr>
            <w:tcW w:w="360"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152/238</w:t>
            </w:r>
          </w:p>
        </w:tc>
        <w:tc>
          <w:tcPr>
            <w:tcW w:w="358"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left"/>
              <w:rPr>
                <w:rFonts w:ascii="Garamond" w:eastAsia="Times New Roman" w:hAnsi="Garamond" w:cs="Arial"/>
                <w:sz w:val="14"/>
                <w:szCs w:val="14"/>
                <w:lang w:val="sq-AL"/>
              </w:rPr>
            </w:pPr>
            <w:r w:rsidRPr="000C4807">
              <w:rPr>
                <w:rFonts w:ascii="Garamond" w:eastAsia="Times New Roman" w:hAnsi="Garamond" w:cs="Arial"/>
                <w:sz w:val="14"/>
                <w:szCs w:val="14"/>
                <w:lang w:val="sq-AL"/>
              </w:rPr>
              <w:t>300</w:t>
            </w:r>
          </w:p>
        </w:tc>
        <w:tc>
          <w:tcPr>
            <w:tcW w:w="244"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300</w:t>
            </w:r>
          </w:p>
        </w:tc>
        <w:tc>
          <w:tcPr>
            <w:tcW w:w="318" w:type="pct"/>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3303</w:t>
            </w:r>
          </w:p>
        </w:tc>
        <w:tc>
          <w:tcPr>
            <w:tcW w:w="373" w:type="pct"/>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990900</w:t>
            </w:r>
          </w:p>
        </w:tc>
        <w:tc>
          <w:tcPr>
            <w:tcW w:w="430" w:type="pct"/>
            <w:gridSpan w:val="2"/>
            <w:tcBorders>
              <w:top w:val="double" w:sz="6" w:space="0" w:color="auto"/>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Banese 1 kt  18 m2</w:t>
            </w:r>
          </w:p>
        </w:tc>
        <w:tc>
          <w:tcPr>
            <w:tcW w:w="430" w:type="pct"/>
            <w:gridSpan w:val="2"/>
            <w:tcBorders>
              <w:top w:val="nil"/>
              <w:left w:val="nil"/>
              <w:bottom w:val="nil"/>
              <w:right w:val="nil"/>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203822</w:t>
            </w:r>
          </w:p>
        </w:tc>
        <w:tc>
          <w:tcPr>
            <w:tcW w:w="431" w:type="pct"/>
            <w:gridSpan w:val="2"/>
            <w:tcBorders>
              <w:top w:val="nil"/>
              <w:left w:val="double" w:sz="6" w:space="0" w:color="auto"/>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1194722</w:t>
            </w:r>
          </w:p>
        </w:tc>
        <w:tc>
          <w:tcPr>
            <w:tcW w:w="772"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Konfirmuar  ZVRPP</w:t>
            </w:r>
          </w:p>
        </w:tc>
      </w:tr>
      <w:tr w:rsidR="004B061F" w:rsidRPr="000C4807" w:rsidTr="00E50F4C">
        <w:trPr>
          <w:trHeight w:val="139"/>
        </w:trPr>
        <w:tc>
          <w:tcPr>
            <w:tcW w:w="220" w:type="pct"/>
            <w:tcBorders>
              <w:top w:val="nil"/>
              <w:left w:val="double" w:sz="6" w:space="0" w:color="auto"/>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4</w:t>
            </w:r>
          </w:p>
        </w:tc>
        <w:tc>
          <w:tcPr>
            <w:tcW w:w="374" w:type="pct"/>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xml:space="preserve">Tire </w:t>
            </w:r>
          </w:p>
        </w:tc>
        <w:tc>
          <w:tcPr>
            <w:tcW w:w="403" w:type="pct"/>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Kutrici</w:t>
            </w:r>
          </w:p>
        </w:tc>
        <w:tc>
          <w:tcPr>
            <w:tcW w:w="288"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8517</w:t>
            </w:r>
          </w:p>
        </w:tc>
        <w:tc>
          <w:tcPr>
            <w:tcW w:w="360"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152/61</w:t>
            </w:r>
          </w:p>
        </w:tc>
        <w:tc>
          <w:tcPr>
            <w:tcW w:w="358"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left"/>
              <w:rPr>
                <w:rFonts w:ascii="Garamond" w:eastAsia="Times New Roman" w:hAnsi="Garamond" w:cs="Arial"/>
                <w:sz w:val="14"/>
                <w:szCs w:val="14"/>
                <w:lang w:val="sq-AL"/>
              </w:rPr>
            </w:pPr>
            <w:r w:rsidRPr="000C4807">
              <w:rPr>
                <w:rFonts w:ascii="Garamond" w:eastAsia="Times New Roman" w:hAnsi="Garamond" w:cs="Arial"/>
                <w:sz w:val="14"/>
                <w:szCs w:val="14"/>
                <w:lang w:val="sq-AL"/>
              </w:rPr>
              <w:t>184</w:t>
            </w:r>
          </w:p>
        </w:tc>
        <w:tc>
          <w:tcPr>
            <w:tcW w:w="244"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184</w:t>
            </w:r>
          </w:p>
        </w:tc>
        <w:tc>
          <w:tcPr>
            <w:tcW w:w="318" w:type="pct"/>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3303</w:t>
            </w:r>
          </w:p>
        </w:tc>
        <w:tc>
          <w:tcPr>
            <w:tcW w:w="373" w:type="pct"/>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607752</w:t>
            </w:r>
          </w:p>
        </w:tc>
        <w:tc>
          <w:tcPr>
            <w:tcW w:w="430" w:type="pct"/>
            <w:gridSpan w:val="2"/>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Banese 1 kt 24 m2</w:t>
            </w:r>
          </w:p>
        </w:tc>
        <w:tc>
          <w:tcPr>
            <w:tcW w:w="430" w:type="pct"/>
            <w:gridSpan w:val="2"/>
            <w:tcBorders>
              <w:top w:val="double" w:sz="6" w:space="0" w:color="auto"/>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435726</w:t>
            </w:r>
          </w:p>
        </w:tc>
        <w:tc>
          <w:tcPr>
            <w:tcW w:w="431" w:type="pct"/>
            <w:gridSpan w:val="2"/>
            <w:tcBorders>
              <w:top w:val="nil"/>
              <w:left w:val="nil"/>
              <w:bottom w:val="double" w:sz="6"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1043478</w:t>
            </w:r>
          </w:p>
        </w:tc>
        <w:tc>
          <w:tcPr>
            <w:tcW w:w="772"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Konfirmuar  ZVRPP</w:t>
            </w:r>
          </w:p>
        </w:tc>
      </w:tr>
      <w:tr w:rsidR="004B061F" w:rsidRPr="000C4807" w:rsidTr="00E50F4C">
        <w:trPr>
          <w:trHeight w:val="139"/>
        </w:trPr>
        <w:tc>
          <w:tcPr>
            <w:tcW w:w="220" w:type="pct"/>
            <w:tcBorders>
              <w:top w:val="nil"/>
              <w:left w:val="double" w:sz="6" w:space="0" w:color="auto"/>
              <w:bottom w:val="single" w:sz="8"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5</w:t>
            </w:r>
          </w:p>
        </w:tc>
        <w:tc>
          <w:tcPr>
            <w:tcW w:w="374" w:type="pct"/>
            <w:tcBorders>
              <w:top w:val="nil"/>
              <w:left w:val="nil"/>
              <w:bottom w:val="single" w:sz="8"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left"/>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xml:space="preserve">Bege </w:t>
            </w:r>
          </w:p>
        </w:tc>
        <w:tc>
          <w:tcPr>
            <w:tcW w:w="403" w:type="pct"/>
            <w:tcBorders>
              <w:top w:val="nil"/>
              <w:left w:val="nil"/>
              <w:bottom w:val="single" w:sz="8"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Allaraji</w:t>
            </w:r>
          </w:p>
        </w:tc>
        <w:tc>
          <w:tcPr>
            <w:tcW w:w="288" w:type="pct"/>
            <w:gridSpan w:val="2"/>
            <w:tcBorders>
              <w:top w:val="nil"/>
              <w:left w:val="nil"/>
              <w:bottom w:val="single" w:sz="8"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8517</w:t>
            </w:r>
          </w:p>
        </w:tc>
        <w:tc>
          <w:tcPr>
            <w:tcW w:w="360" w:type="pct"/>
            <w:gridSpan w:val="2"/>
            <w:tcBorders>
              <w:top w:val="nil"/>
              <w:left w:val="nil"/>
              <w:bottom w:val="single" w:sz="8"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152/312</w:t>
            </w:r>
          </w:p>
        </w:tc>
        <w:tc>
          <w:tcPr>
            <w:tcW w:w="358" w:type="pct"/>
            <w:gridSpan w:val="2"/>
            <w:tcBorders>
              <w:top w:val="nil"/>
              <w:left w:val="nil"/>
              <w:bottom w:val="single" w:sz="8"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left"/>
              <w:rPr>
                <w:rFonts w:ascii="Garamond" w:eastAsia="Times New Roman" w:hAnsi="Garamond" w:cs="Arial"/>
                <w:sz w:val="14"/>
                <w:szCs w:val="14"/>
                <w:lang w:val="sq-AL"/>
              </w:rPr>
            </w:pPr>
            <w:r w:rsidRPr="000C4807">
              <w:rPr>
                <w:rFonts w:ascii="Garamond" w:eastAsia="Times New Roman" w:hAnsi="Garamond" w:cs="Arial"/>
                <w:sz w:val="14"/>
                <w:szCs w:val="14"/>
                <w:lang w:val="sq-AL"/>
              </w:rPr>
              <w:t>300</w:t>
            </w:r>
          </w:p>
        </w:tc>
        <w:tc>
          <w:tcPr>
            <w:tcW w:w="244" w:type="pct"/>
            <w:gridSpan w:val="2"/>
            <w:tcBorders>
              <w:top w:val="nil"/>
              <w:left w:val="nil"/>
              <w:bottom w:val="single" w:sz="8"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200</w:t>
            </w:r>
          </w:p>
        </w:tc>
        <w:tc>
          <w:tcPr>
            <w:tcW w:w="318" w:type="pct"/>
            <w:tcBorders>
              <w:top w:val="nil"/>
              <w:left w:val="nil"/>
              <w:bottom w:val="single" w:sz="8"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3303</w:t>
            </w:r>
          </w:p>
        </w:tc>
        <w:tc>
          <w:tcPr>
            <w:tcW w:w="373" w:type="pct"/>
            <w:tcBorders>
              <w:top w:val="nil"/>
              <w:left w:val="nil"/>
              <w:bottom w:val="single" w:sz="8"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660600</w:t>
            </w:r>
          </w:p>
        </w:tc>
        <w:tc>
          <w:tcPr>
            <w:tcW w:w="430" w:type="pct"/>
            <w:gridSpan w:val="2"/>
            <w:tcBorders>
              <w:top w:val="nil"/>
              <w:left w:val="nil"/>
              <w:bottom w:val="single" w:sz="8"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 xml:space="preserve">Objekt  1 kt </w:t>
            </w:r>
          </w:p>
        </w:tc>
        <w:tc>
          <w:tcPr>
            <w:tcW w:w="430" w:type="pct"/>
            <w:gridSpan w:val="2"/>
            <w:tcBorders>
              <w:top w:val="nil"/>
              <w:left w:val="nil"/>
              <w:bottom w:val="single" w:sz="8"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972054</w:t>
            </w:r>
          </w:p>
        </w:tc>
        <w:tc>
          <w:tcPr>
            <w:tcW w:w="431" w:type="pct"/>
            <w:gridSpan w:val="2"/>
            <w:tcBorders>
              <w:top w:val="nil"/>
              <w:left w:val="nil"/>
              <w:bottom w:val="single" w:sz="8" w:space="0" w:color="auto"/>
              <w:right w:val="double" w:sz="6" w:space="0" w:color="auto"/>
            </w:tcBorders>
            <w:shd w:val="clear" w:color="auto" w:fill="auto"/>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1632654</w:t>
            </w:r>
          </w:p>
        </w:tc>
        <w:tc>
          <w:tcPr>
            <w:tcW w:w="772"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sz w:val="14"/>
                <w:szCs w:val="14"/>
                <w:lang w:val="sq-AL"/>
              </w:rPr>
            </w:pPr>
            <w:r w:rsidRPr="000C4807">
              <w:rPr>
                <w:rFonts w:ascii="Garamond" w:eastAsia="Times New Roman" w:hAnsi="Garamond" w:cs="Arial"/>
                <w:sz w:val="14"/>
                <w:szCs w:val="14"/>
                <w:lang w:val="sq-AL"/>
              </w:rPr>
              <w:t>Konfirmuar  ZVRPP</w:t>
            </w:r>
          </w:p>
        </w:tc>
      </w:tr>
      <w:tr w:rsidR="004B061F" w:rsidRPr="000C4807" w:rsidTr="00E50F4C">
        <w:trPr>
          <w:trHeight w:val="139"/>
        </w:trPr>
        <w:tc>
          <w:tcPr>
            <w:tcW w:w="220" w:type="pct"/>
            <w:tcBorders>
              <w:top w:val="nil"/>
              <w:left w:val="double" w:sz="6" w:space="0" w:color="auto"/>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 </w:t>
            </w:r>
          </w:p>
        </w:tc>
        <w:tc>
          <w:tcPr>
            <w:tcW w:w="777" w:type="pct"/>
            <w:gridSpan w:val="2"/>
            <w:tcBorders>
              <w:top w:val="nil"/>
              <w:left w:val="nil"/>
              <w:bottom w:val="double" w:sz="6" w:space="0" w:color="auto"/>
              <w:right w:val="double" w:sz="6" w:space="0" w:color="000000"/>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xml:space="preserve">SHUMA </w:t>
            </w:r>
          </w:p>
        </w:tc>
        <w:tc>
          <w:tcPr>
            <w:tcW w:w="288"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 </w:t>
            </w:r>
          </w:p>
        </w:tc>
        <w:tc>
          <w:tcPr>
            <w:tcW w:w="360"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 </w:t>
            </w:r>
          </w:p>
        </w:tc>
        <w:tc>
          <w:tcPr>
            <w:tcW w:w="358"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 </w:t>
            </w:r>
          </w:p>
        </w:tc>
        <w:tc>
          <w:tcPr>
            <w:tcW w:w="244"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868</w:t>
            </w:r>
          </w:p>
        </w:tc>
        <w:tc>
          <w:tcPr>
            <w:tcW w:w="318" w:type="pct"/>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sz w:val="14"/>
                <w:szCs w:val="14"/>
                <w:lang w:val="sq-AL"/>
              </w:rPr>
            </w:pPr>
            <w:r w:rsidRPr="000C4807">
              <w:rPr>
                <w:rFonts w:ascii="Garamond" w:eastAsia="Times New Roman" w:hAnsi="Garamond" w:cs="Arial"/>
                <w:sz w:val="14"/>
                <w:szCs w:val="14"/>
                <w:lang w:val="sq-AL"/>
              </w:rPr>
              <w:t> </w:t>
            </w:r>
          </w:p>
        </w:tc>
        <w:tc>
          <w:tcPr>
            <w:tcW w:w="373" w:type="pct"/>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2867004</w:t>
            </w:r>
          </w:p>
        </w:tc>
        <w:tc>
          <w:tcPr>
            <w:tcW w:w="430"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w:t>
            </w:r>
          </w:p>
        </w:tc>
        <w:tc>
          <w:tcPr>
            <w:tcW w:w="430"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1611602</w:t>
            </w:r>
          </w:p>
        </w:tc>
        <w:tc>
          <w:tcPr>
            <w:tcW w:w="431"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right"/>
              <w:rPr>
                <w:rFonts w:ascii="Garamond" w:eastAsia="Times New Roman" w:hAnsi="Garamond" w:cs="Arial"/>
                <w:b/>
                <w:bCs/>
                <w:color w:val="000000"/>
                <w:sz w:val="14"/>
                <w:szCs w:val="14"/>
                <w:lang w:val="sq-AL"/>
              </w:rPr>
            </w:pPr>
            <w:r w:rsidRPr="000C4807">
              <w:rPr>
                <w:rFonts w:ascii="Garamond" w:eastAsia="Times New Roman" w:hAnsi="Garamond" w:cs="Arial"/>
                <w:b/>
                <w:bCs/>
                <w:color w:val="000000"/>
                <w:sz w:val="14"/>
                <w:szCs w:val="14"/>
                <w:lang w:val="sq-AL"/>
              </w:rPr>
              <w:t>4478606</w:t>
            </w:r>
          </w:p>
        </w:tc>
        <w:tc>
          <w:tcPr>
            <w:tcW w:w="772" w:type="pct"/>
            <w:gridSpan w:val="2"/>
            <w:tcBorders>
              <w:top w:val="nil"/>
              <w:left w:val="nil"/>
              <w:bottom w:val="double" w:sz="6" w:space="0" w:color="auto"/>
              <w:right w:val="double" w:sz="6" w:space="0" w:color="auto"/>
            </w:tcBorders>
            <w:shd w:val="clear" w:color="auto" w:fill="auto"/>
            <w:noWrap/>
            <w:vAlign w:val="center"/>
            <w:hideMark/>
          </w:tcPr>
          <w:p w:rsidR="004B061F" w:rsidRPr="000C4807" w:rsidRDefault="004B061F" w:rsidP="00E50F4C">
            <w:pPr>
              <w:spacing w:after="0" w:line="240" w:lineRule="auto"/>
              <w:ind w:firstLine="0"/>
              <w:jc w:val="center"/>
              <w:rPr>
                <w:rFonts w:ascii="Garamond" w:eastAsia="Times New Roman" w:hAnsi="Garamond" w:cs="Arial"/>
                <w:b/>
                <w:bCs/>
                <w:sz w:val="14"/>
                <w:szCs w:val="14"/>
                <w:lang w:val="sq-AL"/>
              </w:rPr>
            </w:pPr>
            <w:r w:rsidRPr="000C4807">
              <w:rPr>
                <w:rFonts w:ascii="Garamond" w:eastAsia="Times New Roman" w:hAnsi="Garamond" w:cs="Arial"/>
                <w:b/>
                <w:bCs/>
                <w:sz w:val="14"/>
                <w:szCs w:val="14"/>
                <w:lang w:val="sq-AL"/>
              </w:rPr>
              <w:t> </w:t>
            </w:r>
          </w:p>
        </w:tc>
      </w:tr>
    </w:tbl>
    <w:p w:rsidR="00FD57DC" w:rsidRDefault="002358EF"/>
    <w:sectPr w:rsidR="00FD57DC" w:rsidSect="002358E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358EF">
      <w:pPr>
        <w:spacing w:after="0" w:line="240" w:lineRule="auto"/>
      </w:pPr>
      <w:r>
        <w:separator/>
      </w:r>
    </w:p>
  </w:endnote>
  <w:endnote w:type="continuationSeparator" w:id="0">
    <w:p w:rsidR="00000000" w:rsidRDefault="00235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358EF">
      <w:pPr>
        <w:spacing w:after="0" w:line="240" w:lineRule="auto"/>
      </w:pPr>
      <w:r>
        <w:separator/>
      </w:r>
    </w:p>
  </w:footnote>
  <w:footnote w:type="continuationSeparator" w:id="0">
    <w:p w:rsidR="00000000" w:rsidRDefault="002358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034B68" w:rsidRPr="00EB260B" w:rsidTr="004D7F35">
      <w:trPr>
        <w:trHeight w:val="936"/>
        <w:jc w:val="center"/>
      </w:trPr>
      <w:tc>
        <w:tcPr>
          <w:tcW w:w="1392" w:type="pct"/>
          <w:shd w:val="pct5" w:color="auto" w:fill="F2F2F2"/>
          <w:vAlign w:val="center"/>
        </w:tcPr>
        <w:p w:rsidR="00034B68" w:rsidRPr="00EB260B" w:rsidRDefault="004B061F" w:rsidP="00A409DB">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034B68" w:rsidRPr="00EB260B" w:rsidRDefault="004B061F" w:rsidP="00A409DB">
          <w:pPr>
            <w:pStyle w:val="NoSpacing"/>
            <w:spacing w:before="100" w:after="100"/>
            <w:jc w:val="center"/>
            <w:rPr>
              <w:rFonts w:ascii="Garamond" w:hAnsi="Garamond"/>
              <w:b/>
              <w:sz w:val="28"/>
              <w:szCs w:val="28"/>
            </w:rPr>
          </w:pPr>
          <w:r>
            <w:rPr>
              <w:noProof/>
              <w:lang w:val="en-US"/>
            </w:rPr>
            <w:drawing>
              <wp:inline distT="0" distB="0" distL="0" distR="0" wp14:anchorId="39404519" wp14:editId="71A79F0E">
                <wp:extent cx="304524" cy="427512"/>
                <wp:effectExtent l="0" t="0" r="635" b="0"/>
                <wp:docPr id="24"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034B68" w:rsidRPr="00EB260B" w:rsidRDefault="004B061F" w:rsidP="00A409DB">
          <w:pPr>
            <w:pStyle w:val="NoSpacing"/>
            <w:spacing w:before="100" w:after="100"/>
            <w:jc w:val="center"/>
            <w:rPr>
              <w:rFonts w:ascii="Garamond" w:hAnsi="Garamond"/>
              <w:b/>
              <w:sz w:val="28"/>
              <w:szCs w:val="28"/>
            </w:rPr>
          </w:pPr>
          <w:r>
            <w:rPr>
              <w:rFonts w:ascii="Garamond" w:hAnsi="Garamond"/>
              <w:b/>
              <w:sz w:val="28"/>
              <w:szCs w:val="28"/>
            </w:rPr>
            <w:t xml:space="preserve"> Viti 2015 – Numri 30</w:t>
          </w:r>
        </w:p>
      </w:tc>
    </w:tr>
  </w:tbl>
  <w:p w:rsidR="00034B68" w:rsidRPr="00385E2C" w:rsidRDefault="002358EF" w:rsidP="00385E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61F"/>
    <w:rsid w:val="00013606"/>
    <w:rsid w:val="001D125B"/>
    <w:rsid w:val="002358EF"/>
    <w:rsid w:val="002C0AA4"/>
    <w:rsid w:val="002E7553"/>
    <w:rsid w:val="00332E0F"/>
    <w:rsid w:val="003A003B"/>
    <w:rsid w:val="00455FC5"/>
    <w:rsid w:val="004A4709"/>
    <w:rsid w:val="004B061F"/>
    <w:rsid w:val="00627136"/>
    <w:rsid w:val="007A33AA"/>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61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B061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B061F"/>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B0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61F"/>
    <w:rPr>
      <w:rFonts w:ascii="Calibri" w:eastAsia="Calibri" w:hAnsi="Calibri" w:cs="Times New Roman"/>
    </w:rPr>
  </w:style>
  <w:style w:type="paragraph" w:customStyle="1" w:styleId="Akti">
    <w:name w:val="Akti"/>
    <w:link w:val="AktiChar"/>
    <w:rsid w:val="004B061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B061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B061F"/>
    <w:rPr>
      <w:rFonts w:ascii="Garamond" w:eastAsia="MS Mincho" w:hAnsi="Garamond" w:cs="CG Times"/>
      <w:b/>
      <w:bCs/>
      <w:sz w:val="24"/>
      <w:lang w:val="en-GB"/>
    </w:rPr>
  </w:style>
  <w:style w:type="paragraph" w:customStyle="1" w:styleId="Paragrafi">
    <w:name w:val="Paragrafi"/>
    <w:link w:val="ParagrafiChar"/>
    <w:rsid w:val="004B061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B061F"/>
    <w:rPr>
      <w:rFonts w:ascii="Garamond" w:eastAsia="MS Mincho" w:hAnsi="Garamond" w:cs="CG Times"/>
      <w:sz w:val="24"/>
    </w:rPr>
  </w:style>
  <w:style w:type="paragraph" w:customStyle="1" w:styleId="Titulli">
    <w:name w:val="Titulli"/>
    <w:next w:val="Normal"/>
    <w:link w:val="TitulliChar"/>
    <w:rsid w:val="004B061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B061F"/>
    <w:rPr>
      <w:rFonts w:ascii="Garamond" w:eastAsia="MS Mincho" w:hAnsi="Garamond" w:cs="CG Times"/>
      <w:b/>
      <w:bCs/>
      <w:caps/>
      <w:sz w:val="24"/>
      <w:lang w:val="en-GB"/>
    </w:rPr>
  </w:style>
  <w:style w:type="character" w:customStyle="1" w:styleId="AktiChar">
    <w:name w:val="Akti Char"/>
    <w:basedOn w:val="DefaultParagraphFont"/>
    <w:link w:val="Akti"/>
    <w:rsid w:val="004B061F"/>
    <w:rPr>
      <w:rFonts w:ascii="Garamond" w:eastAsia="MS Mincho" w:hAnsi="Garamond" w:cs="CG Times"/>
      <w:b/>
      <w:bCs/>
      <w:caps/>
      <w:color w:val="000000"/>
      <w:sz w:val="24"/>
      <w:lang w:val="en-GB"/>
    </w:rPr>
  </w:style>
  <w:style w:type="paragraph" w:customStyle="1" w:styleId="Autoriteti">
    <w:name w:val="Autoriteti"/>
    <w:next w:val="Normal"/>
    <w:link w:val="AutoritetiChar"/>
    <w:rsid w:val="004B061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B061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B061F"/>
    <w:rPr>
      <w:rFonts w:ascii="Garamond" w:eastAsia="MS Mincho" w:hAnsi="Garamond" w:cs="CG Times"/>
      <w:caps/>
      <w:sz w:val="24"/>
      <w:lang w:val="en-GB"/>
    </w:rPr>
  </w:style>
  <w:style w:type="character" w:customStyle="1" w:styleId="AutoritetiEmerChar">
    <w:name w:val="Autoriteti_Emer Char"/>
    <w:link w:val="AutoritetiEmer"/>
    <w:locked/>
    <w:rsid w:val="004B061F"/>
    <w:rPr>
      <w:rFonts w:ascii="Garamond" w:eastAsia="MS Mincho" w:hAnsi="Garamond" w:cs="Times New Roman"/>
      <w:b/>
      <w:bCs/>
      <w:sz w:val="24"/>
      <w:lang w:val="en-GB"/>
    </w:rPr>
  </w:style>
  <w:style w:type="paragraph" w:customStyle="1" w:styleId="Vendosi">
    <w:name w:val="Vendosi"/>
    <w:basedOn w:val="Normal"/>
    <w:qFormat/>
    <w:rsid w:val="004B061F"/>
    <w:pPr>
      <w:widowControl w:val="0"/>
      <w:spacing w:after="0" w:line="240" w:lineRule="auto"/>
      <w:ind w:firstLine="0"/>
      <w:jc w:val="center"/>
    </w:pPr>
    <w:rPr>
      <w:rFonts w:ascii="Garamond" w:eastAsia="MS Mincho" w:hAnsi="Garamond" w:cs="CG Times"/>
      <w:caps/>
      <w:sz w:val="24"/>
      <w:szCs w:val="24"/>
    </w:rPr>
  </w:style>
  <w:style w:type="paragraph" w:styleId="BalloonText">
    <w:name w:val="Balloon Text"/>
    <w:basedOn w:val="Normal"/>
    <w:link w:val="BalloonTextChar"/>
    <w:uiPriority w:val="99"/>
    <w:semiHidden/>
    <w:unhideWhenUsed/>
    <w:rsid w:val="004B06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61F"/>
    <w:rPr>
      <w:rFonts w:ascii="Tahoma" w:eastAsia="Calibri" w:hAnsi="Tahoma" w:cs="Tahoma"/>
      <w:sz w:val="16"/>
      <w:szCs w:val="16"/>
    </w:rPr>
  </w:style>
  <w:style w:type="paragraph" w:styleId="Footer">
    <w:name w:val="footer"/>
    <w:basedOn w:val="Normal"/>
    <w:link w:val="FooterChar"/>
    <w:uiPriority w:val="99"/>
    <w:unhideWhenUsed/>
    <w:rsid w:val="002358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8EF"/>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61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B061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B061F"/>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B06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61F"/>
    <w:rPr>
      <w:rFonts w:ascii="Calibri" w:eastAsia="Calibri" w:hAnsi="Calibri" w:cs="Times New Roman"/>
    </w:rPr>
  </w:style>
  <w:style w:type="paragraph" w:customStyle="1" w:styleId="Akti">
    <w:name w:val="Akti"/>
    <w:link w:val="AktiChar"/>
    <w:rsid w:val="004B061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B061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B061F"/>
    <w:rPr>
      <w:rFonts w:ascii="Garamond" w:eastAsia="MS Mincho" w:hAnsi="Garamond" w:cs="CG Times"/>
      <w:b/>
      <w:bCs/>
      <w:sz w:val="24"/>
      <w:lang w:val="en-GB"/>
    </w:rPr>
  </w:style>
  <w:style w:type="paragraph" w:customStyle="1" w:styleId="Paragrafi">
    <w:name w:val="Paragrafi"/>
    <w:link w:val="ParagrafiChar"/>
    <w:rsid w:val="004B061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B061F"/>
    <w:rPr>
      <w:rFonts w:ascii="Garamond" w:eastAsia="MS Mincho" w:hAnsi="Garamond" w:cs="CG Times"/>
      <w:sz w:val="24"/>
    </w:rPr>
  </w:style>
  <w:style w:type="paragraph" w:customStyle="1" w:styleId="Titulli">
    <w:name w:val="Titulli"/>
    <w:next w:val="Normal"/>
    <w:link w:val="TitulliChar"/>
    <w:rsid w:val="004B061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B061F"/>
    <w:rPr>
      <w:rFonts w:ascii="Garamond" w:eastAsia="MS Mincho" w:hAnsi="Garamond" w:cs="CG Times"/>
      <w:b/>
      <w:bCs/>
      <w:caps/>
      <w:sz w:val="24"/>
      <w:lang w:val="en-GB"/>
    </w:rPr>
  </w:style>
  <w:style w:type="character" w:customStyle="1" w:styleId="AktiChar">
    <w:name w:val="Akti Char"/>
    <w:basedOn w:val="DefaultParagraphFont"/>
    <w:link w:val="Akti"/>
    <w:rsid w:val="004B061F"/>
    <w:rPr>
      <w:rFonts w:ascii="Garamond" w:eastAsia="MS Mincho" w:hAnsi="Garamond" w:cs="CG Times"/>
      <w:b/>
      <w:bCs/>
      <w:caps/>
      <w:color w:val="000000"/>
      <w:sz w:val="24"/>
      <w:lang w:val="en-GB"/>
    </w:rPr>
  </w:style>
  <w:style w:type="paragraph" w:customStyle="1" w:styleId="Autoriteti">
    <w:name w:val="Autoriteti"/>
    <w:next w:val="Normal"/>
    <w:link w:val="AutoritetiChar"/>
    <w:rsid w:val="004B061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B061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B061F"/>
    <w:rPr>
      <w:rFonts w:ascii="Garamond" w:eastAsia="MS Mincho" w:hAnsi="Garamond" w:cs="CG Times"/>
      <w:caps/>
      <w:sz w:val="24"/>
      <w:lang w:val="en-GB"/>
    </w:rPr>
  </w:style>
  <w:style w:type="character" w:customStyle="1" w:styleId="AutoritetiEmerChar">
    <w:name w:val="Autoriteti_Emer Char"/>
    <w:link w:val="AutoritetiEmer"/>
    <w:locked/>
    <w:rsid w:val="004B061F"/>
    <w:rPr>
      <w:rFonts w:ascii="Garamond" w:eastAsia="MS Mincho" w:hAnsi="Garamond" w:cs="Times New Roman"/>
      <w:b/>
      <w:bCs/>
      <w:sz w:val="24"/>
      <w:lang w:val="en-GB"/>
    </w:rPr>
  </w:style>
  <w:style w:type="paragraph" w:customStyle="1" w:styleId="Vendosi">
    <w:name w:val="Vendosi"/>
    <w:basedOn w:val="Normal"/>
    <w:qFormat/>
    <w:rsid w:val="004B061F"/>
    <w:pPr>
      <w:widowControl w:val="0"/>
      <w:spacing w:after="0" w:line="240" w:lineRule="auto"/>
      <w:ind w:firstLine="0"/>
      <w:jc w:val="center"/>
    </w:pPr>
    <w:rPr>
      <w:rFonts w:ascii="Garamond" w:eastAsia="MS Mincho" w:hAnsi="Garamond" w:cs="CG Times"/>
      <w:caps/>
      <w:sz w:val="24"/>
      <w:szCs w:val="24"/>
    </w:rPr>
  </w:style>
  <w:style w:type="paragraph" w:styleId="BalloonText">
    <w:name w:val="Balloon Text"/>
    <w:basedOn w:val="Normal"/>
    <w:link w:val="BalloonTextChar"/>
    <w:uiPriority w:val="99"/>
    <w:semiHidden/>
    <w:unhideWhenUsed/>
    <w:rsid w:val="004B06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61F"/>
    <w:rPr>
      <w:rFonts w:ascii="Tahoma" w:eastAsia="Calibri" w:hAnsi="Tahoma" w:cs="Tahoma"/>
      <w:sz w:val="16"/>
      <w:szCs w:val="16"/>
    </w:rPr>
  </w:style>
  <w:style w:type="paragraph" w:styleId="Footer">
    <w:name w:val="footer"/>
    <w:basedOn w:val="Normal"/>
    <w:link w:val="FooterChar"/>
    <w:uiPriority w:val="99"/>
    <w:unhideWhenUsed/>
    <w:rsid w:val="002358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58E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666</Words>
  <Characters>3799</Characters>
  <Application>Microsoft Office Word</Application>
  <DocSecurity>4</DocSecurity>
  <Lines>31</Lines>
  <Paragraphs>8</Paragraphs>
  <ScaleCrop>false</ScaleCrop>
  <Company>Grizli777</Company>
  <LinksUpToDate>false</LinksUpToDate>
  <CharactersWithSpaces>4457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dcterms:created xsi:type="dcterms:W3CDTF">2019-01-29T11:07:00Z</dcterms:created>
  <dcterms:modified xsi:type="dcterms:W3CDTF">2019-01-29T11:07:00Z</dcterms:modified>
</cp:coreProperties>
</file>