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21E" w:rsidRPr="0013557B" w:rsidRDefault="008E721E" w:rsidP="008E721E">
      <w:pPr>
        <w:pStyle w:val="Akti"/>
        <w:keepNext w:val="0"/>
        <w:rPr>
          <w:spacing w:val="-4"/>
          <w:lang w:val="sq-AL"/>
        </w:rPr>
      </w:pPr>
      <w:r w:rsidRPr="0013557B">
        <w:rPr>
          <w:spacing w:val="-4"/>
          <w:lang w:val="sq-AL"/>
        </w:rPr>
        <w:t>VENDIM</w:t>
      </w:r>
    </w:p>
    <w:p w:rsidR="008E721E" w:rsidRPr="0013557B" w:rsidRDefault="008E721E" w:rsidP="008E721E">
      <w:pPr>
        <w:pStyle w:val="NumriData"/>
        <w:keepNext w:val="0"/>
        <w:rPr>
          <w:spacing w:val="-4"/>
          <w:lang w:val="sq-AL"/>
        </w:rPr>
      </w:pPr>
      <w:r w:rsidRPr="0013557B">
        <w:rPr>
          <w:spacing w:val="-4"/>
          <w:lang w:val="sq-AL"/>
        </w:rPr>
        <w:t>Nr. 191, datë 4.3.2015</w:t>
      </w:r>
    </w:p>
    <w:p w:rsidR="008E721E" w:rsidRPr="0013557B" w:rsidRDefault="008E721E" w:rsidP="008E721E">
      <w:pPr>
        <w:pStyle w:val="Hapesira7"/>
        <w:rPr>
          <w:spacing w:val="-4"/>
          <w:lang w:val="sq-AL"/>
        </w:rPr>
      </w:pPr>
    </w:p>
    <w:p w:rsidR="008E721E" w:rsidRPr="0013557B" w:rsidRDefault="008E721E" w:rsidP="008E721E">
      <w:pPr>
        <w:pStyle w:val="Titulli"/>
        <w:keepNext w:val="0"/>
        <w:rPr>
          <w:spacing w:val="-4"/>
          <w:lang w:val="sq-AL"/>
        </w:rPr>
      </w:pPr>
      <w:r w:rsidRPr="0013557B">
        <w:rPr>
          <w:spacing w:val="-4"/>
          <w:lang w:val="sq-AL"/>
        </w:rPr>
        <w:t xml:space="preserve">PËR MIRATIMIN E STRATEGJISË AFATMESME TË MENAXHIMIT TË BORXHIT PUBLIK 2015-2017 </w:t>
      </w:r>
    </w:p>
    <w:p w:rsidR="008E721E" w:rsidRPr="00201949" w:rsidRDefault="008E721E" w:rsidP="008E721E">
      <w:pPr>
        <w:pStyle w:val="Hapesira7"/>
        <w:rPr>
          <w:spacing w:val="-4"/>
          <w:sz w:val="10"/>
          <w:lang w:val="sq-AL"/>
        </w:rPr>
      </w:pPr>
    </w:p>
    <w:p w:rsidR="008E721E" w:rsidRPr="0013557B" w:rsidRDefault="008E721E" w:rsidP="008E721E">
      <w:pPr>
        <w:pStyle w:val="Paragrafi"/>
        <w:rPr>
          <w:spacing w:val="-4"/>
          <w:lang w:val="sq-AL"/>
        </w:rPr>
      </w:pPr>
      <w:r w:rsidRPr="0013557B">
        <w:rPr>
          <w:spacing w:val="-4"/>
          <w:lang w:val="sq-AL"/>
        </w:rPr>
        <w:t>Në mbështetje të nenit 100 të Kushtetutës dhe të nenit 6, të ligjit nr. 9665, datë 18.12.2006, “Për huamarrjen shtetërore, borxhin shtetëror dhe garancitë shtetërore të huas në Republikën e Shqipërisë”, me propozimin e ministrit të Financave, Këshilli i Ministrave</w:t>
      </w:r>
      <w:bookmarkStart w:id="0" w:name="_GoBack"/>
      <w:bookmarkEnd w:id="0"/>
    </w:p>
    <w:p w:rsidR="008E721E" w:rsidRPr="0013557B" w:rsidRDefault="008E721E" w:rsidP="008E721E">
      <w:pPr>
        <w:pStyle w:val="Hapesira7"/>
        <w:rPr>
          <w:spacing w:val="-4"/>
          <w:sz w:val="12"/>
          <w:lang w:val="sq-AL"/>
        </w:rPr>
      </w:pPr>
    </w:p>
    <w:p w:rsidR="008E721E" w:rsidRPr="0013557B" w:rsidRDefault="008E721E" w:rsidP="008E721E">
      <w:pPr>
        <w:pStyle w:val="Vendosi"/>
        <w:rPr>
          <w:spacing w:val="-4"/>
          <w:lang w:val="sq-AL"/>
        </w:rPr>
      </w:pPr>
      <w:r w:rsidRPr="0013557B">
        <w:rPr>
          <w:spacing w:val="-4"/>
          <w:lang w:val="sq-AL"/>
        </w:rPr>
        <w:t>VENDOSI:</w:t>
      </w:r>
    </w:p>
    <w:p w:rsidR="008E721E" w:rsidRPr="00201949" w:rsidRDefault="008E721E" w:rsidP="008E721E">
      <w:pPr>
        <w:pStyle w:val="Hapesira7"/>
        <w:rPr>
          <w:spacing w:val="-4"/>
          <w:sz w:val="8"/>
          <w:lang w:val="sq-AL"/>
        </w:rPr>
      </w:pPr>
    </w:p>
    <w:p w:rsidR="008E721E" w:rsidRPr="0013557B" w:rsidRDefault="008E721E" w:rsidP="008E721E">
      <w:pPr>
        <w:pStyle w:val="Paragrafi"/>
        <w:rPr>
          <w:spacing w:val="-4"/>
          <w:lang w:val="sq-AL"/>
        </w:rPr>
      </w:pPr>
      <w:r w:rsidRPr="0013557B">
        <w:rPr>
          <w:spacing w:val="-4"/>
          <w:lang w:val="sq-AL"/>
        </w:rPr>
        <w:t>1. Miratimin e Strategjisë Afatmesme të Menaxhimit të Borxhit Publik 2015-2017, sipas tekstit që i bashkëlidhet këtij vendimi.</w:t>
      </w:r>
    </w:p>
    <w:p w:rsidR="008E721E" w:rsidRPr="0013557B" w:rsidRDefault="008E721E" w:rsidP="008E721E">
      <w:pPr>
        <w:pStyle w:val="Paragrafi"/>
        <w:rPr>
          <w:spacing w:val="-4"/>
          <w:lang w:val="sq-AL"/>
        </w:rPr>
      </w:pPr>
      <w:r w:rsidRPr="0013557B">
        <w:rPr>
          <w:spacing w:val="-4"/>
          <w:lang w:val="sq-AL"/>
        </w:rPr>
        <w:t>2. Ngarkohet Ministria e Financave për zbatimin e këtij vendimi.</w:t>
      </w:r>
    </w:p>
    <w:p w:rsidR="008E721E" w:rsidRPr="0013557B" w:rsidRDefault="008E721E" w:rsidP="008E721E">
      <w:pPr>
        <w:pStyle w:val="Paragrafi"/>
        <w:rPr>
          <w:spacing w:val="-4"/>
          <w:lang w:val="sq-AL"/>
        </w:rPr>
      </w:pPr>
      <w:r w:rsidRPr="0013557B">
        <w:rPr>
          <w:spacing w:val="-4"/>
          <w:lang w:val="sq-AL"/>
        </w:rPr>
        <w:t>Ky vendim hyn në fuqi pas botimit në Fletoren Zyrtare.</w:t>
      </w:r>
    </w:p>
    <w:p w:rsidR="008E721E" w:rsidRPr="0013557B" w:rsidRDefault="008E721E" w:rsidP="008E721E">
      <w:pPr>
        <w:pStyle w:val="Autoriteti"/>
        <w:keepNext w:val="0"/>
        <w:rPr>
          <w:spacing w:val="-4"/>
          <w:lang w:val="sq-AL"/>
        </w:rPr>
      </w:pPr>
      <w:r w:rsidRPr="0013557B">
        <w:rPr>
          <w:spacing w:val="-4"/>
          <w:lang w:val="sq-AL"/>
        </w:rPr>
        <w:t>KRYEMINISTRI</w:t>
      </w:r>
    </w:p>
    <w:p w:rsidR="008E721E" w:rsidRPr="0013557B" w:rsidRDefault="008E721E" w:rsidP="008E721E">
      <w:pPr>
        <w:pStyle w:val="AutoritetiEmer"/>
        <w:rPr>
          <w:spacing w:val="-4"/>
          <w:lang w:val="sq-AL"/>
        </w:rPr>
      </w:pPr>
      <w:r w:rsidRPr="0013557B">
        <w:rPr>
          <w:spacing w:val="-4"/>
          <w:lang w:val="sq-AL"/>
        </w:rPr>
        <w:t>Edi Rama</w:t>
      </w:r>
    </w:p>
    <w:p w:rsidR="008E721E" w:rsidRPr="00201949" w:rsidRDefault="008E721E" w:rsidP="008E721E">
      <w:pPr>
        <w:pStyle w:val="Paragrafi"/>
        <w:rPr>
          <w:spacing w:val="-4"/>
          <w:sz w:val="18"/>
          <w:lang w:val="sq-AL"/>
        </w:rPr>
      </w:pPr>
    </w:p>
    <w:p w:rsidR="008E721E" w:rsidRPr="0013557B" w:rsidRDefault="008E721E" w:rsidP="008E721E">
      <w:pPr>
        <w:pStyle w:val="Paragrafi"/>
        <w:rPr>
          <w:spacing w:val="-4"/>
          <w:lang w:val="sq-AL"/>
        </w:rPr>
      </w:pPr>
      <w:r w:rsidRPr="0013557B">
        <w:rPr>
          <w:spacing w:val="-4"/>
          <w:lang w:val="sq-AL"/>
        </w:rPr>
        <w:t>STRATEGJIA AFATMESME E MENAXHIMIT TË BORXHIT PUBLIK 2015-2017</w:t>
      </w:r>
    </w:p>
    <w:p w:rsidR="008E721E" w:rsidRPr="00201949" w:rsidRDefault="008E721E" w:rsidP="008E721E">
      <w:pPr>
        <w:pStyle w:val="Hapesira7"/>
        <w:rPr>
          <w:spacing w:val="-4"/>
          <w:sz w:val="2"/>
          <w:lang w:val="sq-AL"/>
        </w:rPr>
      </w:pPr>
    </w:p>
    <w:p w:rsidR="008E721E" w:rsidRPr="0013557B" w:rsidRDefault="008E721E" w:rsidP="008E721E">
      <w:pPr>
        <w:pStyle w:val="Paragrafi"/>
        <w:jc w:val="center"/>
        <w:rPr>
          <w:spacing w:val="-4"/>
          <w:sz w:val="22"/>
          <w:lang w:val="sq-AL"/>
        </w:rPr>
      </w:pPr>
      <w:r w:rsidRPr="0013557B">
        <w:rPr>
          <w:spacing w:val="-4"/>
          <w:sz w:val="22"/>
          <w:lang w:val="sq-AL"/>
        </w:rPr>
        <w:t>Akronime</w:t>
      </w:r>
    </w:p>
    <w:p w:rsidR="008E721E" w:rsidRPr="0013557B" w:rsidRDefault="008E721E" w:rsidP="008E721E">
      <w:pPr>
        <w:pStyle w:val="Paragrafi"/>
        <w:rPr>
          <w:spacing w:val="-4"/>
          <w:sz w:val="22"/>
          <w:lang w:val="sq-AL"/>
        </w:rPr>
      </w:pPr>
      <w:r w:rsidRPr="0013557B">
        <w:rPr>
          <w:spacing w:val="-4"/>
          <w:sz w:val="22"/>
          <w:lang w:val="sq-AL"/>
        </w:rPr>
        <w:t xml:space="preserve">ALL        </w:t>
      </w:r>
      <w:r w:rsidRPr="0013557B">
        <w:rPr>
          <w:spacing w:val="-4"/>
          <w:sz w:val="22"/>
          <w:lang w:val="sq-AL"/>
        </w:rPr>
        <w:tab/>
        <w:t>Monedha vendase (LEK)</w:t>
      </w:r>
    </w:p>
    <w:p w:rsidR="008E721E" w:rsidRPr="0013557B" w:rsidRDefault="008E721E" w:rsidP="008E721E">
      <w:pPr>
        <w:pStyle w:val="Paragrafi"/>
        <w:rPr>
          <w:spacing w:val="-4"/>
          <w:sz w:val="22"/>
          <w:lang w:val="sq-AL"/>
        </w:rPr>
      </w:pPr>
      <w:r w:rsidRPr="0013557B">
        <w:rPr>
          <w:spacing w:val="-4"/>
          <w:sz w:val="22"/>
          <w:lang w:val="sq-AL"/>
        </w:rPr>
        <w:t xml:space="preserve">BB           </w:t>
      </w:r>
      <w:r w:rsidRPr="0013557B">
        <w:rPr>
          <w:spacing w:val="-4"/>
          <w:sz w:val="22"/>
          <w:lang w:val="sq-AL"/>
        </w:rPr>
        <w:tab/>
        <w:t>Banka Botërore</w:t>
      </w:r>
    </w:p>
    <w:p w:rsidR="008E721E" w:rsidRPr="0013557B" w:rsidRDefault="008E721E" w:rsidP="008E721E">
      <w:pPr>
        <w:pStyle w:val="Paragrafi"/>
        <w:rPr>
          <w:spacing w:val="-4"/>
          <w:sz w:val="22"/>
          <w:lang w:val="sq-AL"/>
        </w:rPr>
      </w:pPr>
      <w:r w:rsidRPr="0013557B">
        <w:rPr>
          <w:spacing w:val="-4"/>
          <w:sz w:val="22"/>
          <w:lang w:val="sq-AL"/>
        </w:rPr>
        <w:t xml:space="preserve">BE           </w:t>
      </w:r>
      <w:r w:rsidRPr="0013557B">
        <w:rPr>
          <w:spacing w:val="-4"/>
          <w:sz w:val="22"/>
          <w:lang w:val="sq-AL"/>
        </w:rPr>
        <w:tab/>
        <w:t>Bashkimi Evropian</w:t>
      </w:r>
    </w:p>
    <w:p w:rsidR="008E721E" w:rsidRPr="0013557B" w:rsidRDefault="008E721E" w:rsidP="008E721E">
      <w:pPr>
        <w:pStyle w:val="Paragrafi"/>
        <w:rPr>
          <w:spacing w:val="-4"/>
          <w:sz w:val="22"/>
          <w:lang w:val="sq-AL"/>
        </w:rPr>
      </w:pPr>
      <w:r w:rsidRPr="0013557B">
        <w:rPr>
          <w:spacing w:val="-4"/>
          <w:sz w:val="22"/>
          <w:lang w:val="sq-AL"/>
        </w:rPr>
        <w:t>BKT</w:t>
      </w:r>
      <w:r w:rsidRPr="0013557B">
        <w:rPr>
          <w:spacing w:val="-4"/>
          <w:sz w:val="22"/>
          <w:lang w:val="sq-AL"/>
        </w:rPr>
        <w:tab/>
      </w:r>
      <w:r w:rsidRPr="0013557B">
        <w:rPr>
          <w:spacing w:val="-4"/>
          <w:sz w:val="22"/>
          <w:lang w:val="sq-AL"/>
        </w:rPr>
        <w:tab/>
        <w:t>Banka Kombëtare Tregtare</w:t>
      </w:r>
    </w:p>
    <w:p w:rsidR="008E721E" w:rsidRPr="0013557B" w:rsidRDefault="008E721E" w:rsidP="008E721E">
      <w:pPr>
        <w:pStyle w:val="Paragrafi"/>
        <w:rPr>
          <w:spacing w:val="-4"/>
          <w:sz w:val="22"/>
          <w:lang w:val="sq-AL"/>
        </w:rPr>
      </w:pPr>
      <w:r w:rsidRPr="0013557B">
        <w:rPr>
          <w:spacing w:val="-4"/>
          <w:sz w:val="22"/>
          <w:lang w:val="sq-AL"/>
        </w:rPr>
        <w:t>BQE</w:t>
      </w:r>
      <w:r w:rsidRPr="0013557B">
        <w:rPr>
          <w:spacing w:val="-4"/>
          <w:sz w:val="22"/>
          <w:lang w:val="sq-AL"/>
        </w:rPr>
        <w:tab/>
        <w:t>Banka Qendrore Evropiane</w:t>
      </w:r>
    </w:p>
    <w:p w:rsidR="008E721E" w:rsidRPr="0013557B" w:rsidRDefault="008E721E" w:rsidP="008E721E">
      <w:pPr>
        <w:pStyle w:val="Paragrafi"/>
        <w:rPr>
          <w:spacing w:val="-4"/>
          <w:sz w:val="22"/>
          <w:lang w:val="sq-AL"/>
        </w:rPr>
      </w:pPr>
      <w:r w:rsidRPr="0013557B">
        <w:rPr>
          <w:spacing w:val="-4"/>
          <w:sz w:val="22"/>
          <w:lang w:val="sq-AL"/>
        </w:rPr>
        <w:t>BSH</w:t>
      </w:r>
      <w:r w:rsidRPr="0013557B">
        <w:rPr>
          <w:spacing w:val="-4"/>
          <w:sz w:val="22"/>
          <w:lang w:val="sq-AL"/>
        </w:rPr>
        <w:tab/>
        <w:t xml:space="preserve">Banka e Shqipërisë </w:t>
      </w:r>
    </w:p>
    <w:p w:rsidR="008E721E" w:rsidRPr="0013557B" w:rsidRDefault="008E721E" w:rsidP="008E721E">
      <w:pPr>
        <w:pStyle w:val="Paragrafi"/>
        <w:rPr>
          <w:spacing w:val="-4"/>
          <w:sz w:val="22"/>
          <w:lang w:val="sq-AL"/>
        </w:rPr>
      </w:pPr>
      <w:r w:rsidRPr="0013557B">
        <w:rPr>
          <w:spacing w:val="-4"/>
          <w:sz w:val="22"/>
          <w:lang w:val="sq-AL"/>
        </w:rPr>
        <w:t xml:space="preserve">EUR          </w:t>
      </w:r>
      <w:r w:rsidRPr="0013557B">
        <w:rPr>
          <w:spacing w:val="-4"/>
          <w:sz w:val="22"/>
          <w:lang w:val="sq-AL"/>
        </w:rPr>
        <w:tab/>
        <w:t>Monedha e Bashkimit Evropian</w:t>
      </w:r>
    </w:p>
    <w:p w:rsidR="008E721E" w:rsidRPr="0013557B" w:rsidRDefault="008E721E" w:rsidP="008E721E">
      <w:pPr>
        <w:pStyle w:val="Paragrafi"/>
        <w:rPr>
          <w:spacing w:val="-4"/>
          <w:sz w:val="22"/>
          <w:lang w:val="sq-AL"/>
        </w:rPr>
      </w:pPr>
      <w:r w:rsidRPr="0013557B">
        <w:rPr>
          <w:spacing w:val="-4"/>
          <w:sz w:val="22"/>
          <w:lang w:val="sq-AL"/>
        </w:rPr>
        <w:t>FMN</w:t>
      </w:r>
      <w:r w:rsidRPr="0013557B">
        <w:rPr>
          <w:spacing w:val="-4"/>
          <w:sz w:val="22"/>
          <w:lang w:val="sq-AL"/>
        </w:rPr>
        <w:tab/>
        <w:t>Fondi Monetar Ndërkombëtar</w:t>
      </w:r>
    </w:p>
    <w:p w:rsidR="008E721E" w:rsidRPr="0013557B" w:rsidRDefault="008E721E" w:rsidP="008E721E">
      <w:pPr>
        <w:pStyle w:val="Paragrafi"/>
        <w:rPr>
          <w:spacing w:val="-4"/>
          <w:sz w:val="22"/>
          <w:lang w:val="sq-AL"/>
        </w:rPr>
      </w:pPr>
      <w:r w:rsidRPr="0013557B">
        <w:rPr>
          <w:spacing w:val="-4"/>
          <w:sz w:val="22"/>
          <w:lang w:val="sq-AL"/>
        </w:rPr>
        <w:t>KMM</w:t>
      </w:r>
      <w:r w:rsidRPr="0013557B">
        <w:rPr>
          <w:spacing w:val="-4"/>
          <w:sz w:val="22"/>
          <w:lang w:val="sq-AL"/>
        </w:rPr>
        <w:tab/>
        <w:t xml:space="preserve">Koha Mesatare në Maturim  </w:t>
      </w:r>
    </w:p>
    <w:p w:rsidR="008E721E" w:rsidRPr="0013557B" w:rsidRDefault="008E721E" w:rsidP="008E721E">
      <w:pPr>
        <w:pStyle w:val="Paragrafi"/>
        <w:rPr>
          <w:spacing w:val="-4"/>
          <w:sz w:val="22"/>
          <w:lang w:val="sq-AL"/>
        </w:rPr>
      </w:pPr>
      <w:r w:rsidRPr="0013557B">
        <w:rPr>
          <w:spacing w:val="-4"/>
          <w:sz w:val="22"/>
          <w:lang w:val="sq-AL"/>
        </w:rPr>
        <w:t>KMR</w:t>
      </w:r>
      <w:r w:rsidRPr="0013557B">
        <w:rPr>
          <w:spacing w:val="-4"/>
          <w:sz w:val="22"/>
          <w:lang w:val="sq-AL"/>
        </w:rPr>
        <w:tab/>
        <w:t xml:space="preserve">Koha Mesatare në Rifiksim </w:t>
      </w:r>
    </w:p>
    <w:p w:rsidR="008E721E" w:rsidRPr="0013557B" w:rsidRDefault="008E721E" w:rsidP="008E721E">
      <w:pPr>
        <w:pStyle w:val="Paragrafi"/>
        <w:rPr>
          <w:spacing w:val="-4"/>
          <w:sz w:val="22"/>
          <w:lang w:val="sq-AL"/>
        </w:rPr>
      </w:pPr>
      <w:r w:rsidRPr="0013557B">
        <w:rPr>
          <w:spacing w:val="-4"/>
          <w:sz w:val="22"/>
          <w:lang w:val="sq-AL"/>
        </w:rPr>
        <w:t xml:space="preserve">NPL            </w:t>
      </w:r>
      <w:r w:rsidRPr="0013557B">
        <w:rPr>
          <w:i/>
          <w:spacing w:val="-4"/>
          <w:sz w:val="22"/>
          <w:lang w:val="sq-AL"/>
        </w:rPr>
        <w:t>Non Performing Loans</w:t>
      </w:r>
      <w:r w:rsidRPr="0013557B">
        <w:rPr>
          <w:spacing w:val="-4"/>
          <w:sz w:val="22"/>
          <w:lang w:val="sq-AL"/>
        </w:rPr>
        <w:t xml:space="preserve"> </w:t>
      </w:r>
    </w:p>
    <w:p w:rsidR="008E721E" w:rsidRPr="0013557B" w:rsidRDefault="008E721E" w:rsidP="008E721E">
      <w:pPr>
        <w:pStyle w:val="Paragrafi"/>
        <w:rPr>
          <w:spacing w:val="-4"/>
          <w:sz w:val="22"/>
          <w:lang w:val="sq-AL"/>
        </w:rPr>
      </w:pPr>
      <w:r w:rsidRPr="0013557B">
        <w:rPr>
          <w:spacing w:val="-4"/>
          <w:sz w:val="22"/>
          <w:lang w:val="sq-AL"/>
        </w:rPr>
        <w:t xml:space="preserve">                  (Kredi me performancë jo të mirë)</w:t>
      </w:r>
    </w:p>
    <w:p w:rsidR="008E721E" w:rsidRPr="0013557B" w:rsidRDefault="008E721E" w:rsidP="008E721E">
      <w:pPr>
        <w:pStyle w:val="Paragrafi"/>
        <w:rPr>
          <w:spacing w:val="-4"/>
          <w:sz w:val="22"/>
          <w:lang w:val="sq-AL"/>
        </w:rPr>
      </w:pPr>
      <w:r w:rsidRPr="0013557B">
        <w:rPr>
          <w:spacing w:val="-4"/>
          <w:sz w:val="22"/>
          <w:lang w:val="sq-AL"/>
        </w:rPr>
        <w:t>PBB</w:t>
      </w:r>
      <w:r w:rsidRPr="0013557B">
        <w:rPr>
          <w:spacing w:val="-4"/>
          <w:sz w:val="22"/>
          <w:lang w:val="sq-AL"/>
        </w:rPr>
        <w:tab/>
      </w:r>
      <w:r w:rsidRPr="0013557B">
        <w:rPr>
          <w:spacing w:val="-4"/>
          <w:sz w:val="22"/>
          <w:lang w:val="sq-AL"/>
        </w:rPr>
        <w:tab/>
        <w:t>Prodhimi i Brendshëm Bruto</w:t>
      </w:r>
    </w:p>
    <w:p w:rsidR="008E721E" w:rsidRPr="0013557B" w:rsidRDefault="008E721E" w:rsidP="008E721E">
      <w:pPr>
        <w:pStyle w:val="Paragrafi"/>
        <w:rPr>
          <w:spacing w:val="-4"/>
          <w:sz w:val="22"/>
          <w:lang w:val="sq-AL"/>
        </w:rPr>
      </w:pPr>
      <w:r w:rsidRPr="0013557B">
        <w:rPr>
          <w:spacing w:val="-4"/>
          <w:sz w:val="22"/>
          <w:lang w:val="sq-AL"/>
        </w:rPr>
        <w:t xml:space="preserve">PBG  </w:t>
      </w:r>
      <w:r w:rsidRPr="0013557B">
        <w:rPr>
          <w:spacing w:val="-4"/>
          <w:sz w:val="22"/>
          <w:lang w:val="sq-AL"/>
        </w:rPr>
        <w:tab/>
      </w:r>
      <w:r w:rsidRPr="0013557B">
        <w:rPr>
          <w:i/>
          <w:spacing w:val="-4"/>
          <w:sz w:val="22"/>
          <w:lang w:val="sq-AL"/>
        </w:rPr>
        <w:t>Policy Based Guarantee</w:t>
      </w:r>
      <w:r w:rsidRPr="0013557B">
        <w:rPr>
          <w:spacing w:val="-4"/>
          <w:sz w:val="22"/>
          <w:lang w:val="sq-AL"/>
        </w:rPr>
        <w:t xml:space="preserve"> </w:t>
      </w:r>
    </w:p>
    <w:p w:rsidR="008E721E" w:rsidRPr="0013557B" w:rsidRDefault="008E721E" w:rsidP="008E721E">
      <w:pPr>
        <w:pStyle w:val="Paragrafi"/>
        <w:rPr>
          <w:spacing w:val="-4"/>
          <w:sz w:val="22"/>
          <w:lang w:val="sq-AL"/>
        </w:rPr>
      </w:pPr>
      <w:r w:rsidRPr="0013557B">
        <w:rPr>
          <w:spacing w:val="-4"/>
          <w:sz w:val="22"/>
          <w:lang w:val="sq-AL"/>
        </w:rPr>
        <w:t xml:space="preserve">pb            </w:t>
      </w:r>
      <w:r w:rsidRPr="0013557B">
        <w:rPr>
          <w:spacing w:val="-4"/>
          <w:sz w:val="22"/>
          <w:lang w:val="sq-AL"/>
        </w:rPr>
        <w:tab/>
        <w:t>Pikë bazë</w:t>
      </w:r>
    </w:p>
    <w:p w:rsidR="008E721E" w:rsidRPr="0013557B" w:rsidRDefault="008E721E" w:rsidP="008E721E">
      <w:pPr>
        <w:pStyle w:val="Paragrafi"/>
        <w:rPr>
          <w:spacing w:val="-4"/>
          <w:sz w:val="22"/>
          <w:lang w:val="sq-AL"/>
        </w:rPr>
      </w:pPr>
      <w:r w:rsidRPr="0013557B">
        <w:rPr>
          <w:spacing w:val="-4"/>
          <w:sz w:val="22"/>
          <w:lang w:val="sq-AL"/>
        </w:rPr>
        <w:t xml:space="preserve">pp            </w:t>
      </w:r>
      <w:r w:rsidRPr="0013557B">
        <w:rPr>
          <w:spacing w:val="-4"/>
          <w:sz w:val="22"/>
          <w:lang w:val="sq-AL"/>
        </w:rPr>
        <w:tab/>
        <w:t>Pikë përqindje</w:t>
      </w:r>
    </w:p>
    <w:p w:rsidR="008E721E" w:rsidRPr="0013557B" w:rsidRDefault="008E721E" w:rsidP="008E721E">
      <w:pPr>
        <w:pStyle w:val="Paragrafi"/>
        <w:rPr>
          <w:spacing w:val="-4"/>
          <w:sz w:val="22"/>
          <w:lang w:val="sq-AL"/>
        </w:rPr>
      </w:pPr>
      <w:r w:rsidRPr="0013557B">
        <w:rPr>
          <w:spacing w:val="-4"/>
          <w:sz w:val="22"/>
          <w:lang w:val="sq-AL"/>
        </w:rPr>
        <w:t>SAMB</w:t>
      </w:r>
      <w:r w:rsidRPr="0013557B">
        <w:rPr>
          <w:spacing w:val="-4"/>
          <w:sz w:val="22"/>
          <w:lang w:val="sq-AL"/>
        </w:rPr>
        <w:tab/>
        <w:t xml:space="preserve">Strategjia Afatmesme </w:t>
      </w:r>
    </w:p>
    <w:p w:rsidR="008E721E" w:rsidRPr="0013557B" w:rsidRDefault="008E721E" w:rsidP="008E721E">
      <w:pPr>
        <w:pStyle w:val="Paragrafi"/>
        <w:rPr>
          <w:spacing w:val="-4"/>
          <w:sz w:val="22"/>
          <w:lang w:val="sq-AL"/>
        </w:rPr>
      </w:pPr>
      <w:r w:rsidRPr="0013557B">
        <w:rPr>
          <w:spacing w:val="-4"/>
          <w:sz w:val="22"/>
          <w:lang w:val="sq-AL"/>
        </w:rPr>
        <w:t xml:space="preserve">                   e Menaxhimit  të Borxhit</w:t>
      </w:r>
    </w:p>
    <w:p w:rsidR="008E721E" w:rsidRPr="0013557B" w:rsidRDefault="008E721E" w:rsidP="008E721E">
      <w:pPr>
        <w:pStyle w:val="Paragrafi"/>
        <w:rPr>
          <w:spacing w:val="-4"/>
          <w:sz w:val="22"/>
          <w:lang w:val="sq-AL"/>
        </w:rPr>
      </w:pPr>
      <w:r w:rsidRPr="0013557B">
        <w:rPr>
          <w:spacing w:val="-4"/>
          <w:sz w:val="22"/>
          <w:lang w:val="sq-AL"/>
        </w:rPr>
        <w:t xml:space="preserve">USD           Monedha kombëtare e Shteteve </w:t>
      </w:r>
    </w:p>
    <w:p w:rsidR="008E721E" w:rsidRPr="0013557B" w:rsidRDefault="008E721E" w:rsidP="008E721E">
      <w:pPr>
        <w:pStyle w:val="Paragrafi"/>
        <w:rPr>
          <w:spacing w:val="-4"/>
          <w:sz w:val="22"/>
          <w:lang w:val="sq-AL"/>
        </w:rPr>
      </w:pPr>
      <w:r w:rsidRPr="0013557B">
        <w:rPr>
          <w:spacing w:val="-4"/>
          <w:sz w:val="22"/>
          <w:lang w:val="sq-AL"/>
        </w:rPr>
        <w:t xml:space="preserve">                  të Bashkuara të Amerikës</w:t>
      </w:r>
    </w:p>
    <w:p w:rsidR="008E721E" w:rsidRPr="0013557B" w:rsidRDefault="008E721E" w:rsidP="008E721E">
      <w:pPr>
        <w:pStyle w:val="Paragrafi"/>
        <w:rPr>
          <w:spacing w:val="-4"/>
          <w:sz w:val="22"/>
          <w:lang w:val="sq-AL"/>
        </w:rPr>
      </w:pPr>
      <w:r w:rsidRPr="0013557B">
        <w:rPr>
          <w:spacing w:val="-4"/>
          <w:sz w:val="22"/>
          <w:lang w:val="sq-AL"/>
        </w:rPr>
        <w:t xml:space="preserve">YEN           Monedha kombëtare e Japonisë </w:t>
      </w:r>
    </w:p>
    <w:p w:rsidR="008E721E" w:rsidRPr="00201949" w:rsidRDefault="008E721E" w:rsidP="008E721E">
      <w:pPr>
        <w:pStyle w:val="Paragrafi"/>
        <w:rPr>
          <w:spacing w:val="-4"/>
          <w:sz w:val="22"/>
          <w:lang w:val="sq-AL"/>
        </w:rPr>
      </w:pPr>
      <w:r w:rsidRPr="0013557B">
        <w:rPr>
          <w:spacing w:val="-4"/>
          <w:sz w:val="22"/>
          <w:lang w:val="sq-AL"/>
        </w:rPr>
        <w:t>YMP</w:t>
      </w:r>
      <w:r w:rsidRPr="0013557B">
        <w:rPr>
          <w:spacing w:val="-4"/>
          <w:sz w:val="22"/>
          <w:lang w:val="sq-AL"/>
        </w:rPr>
        <w:tab/>
        <w:t xml:space="preserve">Yieldi Mesatar i Ponderuar </w:t>
      </w:r>
    </w:p>
    <w:p w:rsidR="008E721E" w:rsidRPr="0013557B" w:rsidRDefault="008E721E" w:rsidP="008E721E">
      <w:pPr>
        <w:pStyle w:val="Paragrafi"/>
        <w:rPr>
          <w:b/>
          <w:spacing w:val="-4"/>
          <w:lang w:val="sq-AL"/>
        </w:rPr>
      </w:pPr>
      <w:r w:rsidRPr="0013557B">
        <w:rPr>
          <w:b/>
          <w:spacing w:val="-4"/>
          <w:lang w:val="sq-AL"/>
        </w:rPr>
        <w:t>Fjalor teknik</w:t>
      </w:r>
    </w:p>
    <w:p w:rsidR="008E721E" w:rsidRPr="0013557B" w:rsidRDefault="008E721E" w:rsidP="008E721E">
      <w:pPr>
        <w:pStyle w:val="Paragrafi"/>
        <w:rPr>
          <w:spacing w:val="-4"/>
          <w:lang w:val="sq-AL"/>
        </w:rPr>
      </w:pPr>
      <w:r w:rsidRPr="0013557B">
        <w:rPr>
          <w:b/>
          <w:spacing w:val="-4"/>
          <w:lang w:val="sq-AL"/>
        </w:rPr>
        <w:t>Benchmark</w:t>
      </w:r>
      <w:r w:rsidRPr="0013557B">
        <w:rPr>
          <w:spacing w:val="-4"/>
          <w:lang w:val="sq-AL"/>
        </w:rPr>
        <w:t xml:space="preserve"> – Një instrument i tregtueshëm në frekuenca të shpeshta kohore dhe në vlera të konsiderueshme. Norma e këtij instrumenti shërben si referencë për vlerësimin e normave të instrumenteve të tjera (P.sh. bono thesari 12- mujore).</w:t>
      </w:r>
    </w:p>
    <w:p w:rsidR="008E721E" w:rsidRPr="0013557B" w:rsidRDefault="008E721E" w:rsidP="008E721E">
      <w:pPr>
        <w:pStyle w:val="Paragrafi"/>
        <w:rPr>
          <w:spacing w:val="-4"/>
          <w:lang w:val="sq-AL"/>
        </w:rPr>
      </w:pPr>
      <w:r w:rsidRPr="0013557B">
        <w:rPr>
          <w:b/>
          <w:spacing w:val="-4"/>
          <w:lang w:val="sq-AL"/>
        </w:rPr>
        <w:t>KMM</w:t>
      </w:r>
      <w:r w:rsidRPr="0013557B">
        <w:rPr>
          <w:spacing w:val="-4"/>
          <w:lang w:val="sq-AL"/>
        </w:rPr>
        <w:t xml:space="preserve"> (Koha mesatare në maturim) – Tregues i riskut të rifinancimit për borxhin. KMM është periudha mesatare e shprehur në vite ose në ditë që i duhet portofolit të borxhit të emetuar për t’u maturuar. Sa më larg në kohë të jetë e projektuar data e maturimit të një instrumenti, aq më i ulët është risku i rifinancimit dhe aq më e lartë është vlera e këtij treguesi. KMM për instrumentet financiarë të borxhit përllogaritet sipas formulës së mëposhtme:</w:t>
      </w:r>
    </w:p>
    <w:p w:rsidR="008E721E" w:rsidRPr="0013557B" w:rsidRDefault="008E721E" w:rsidP="008E721E">
      <w:pPr>
        <w:pStyle w:val="Paragrafi"/>
        <w:rPr>
          <w:spacing w:val="-4"/>
          <w:lang w:val="sq-AL"/>
        </w:rPr>
      </w:pPr>
      <m:oMathPara>
        <m:oMath>
          <m:r>
            <m:rPr>
              <m:sty m:val="p"/>
            </m:rPr>
            <w:rPr>
              <w:rFonts w:ascii="Cambria Math" w:hAnsi="Cambria Math"/>
              <w:spacing w:val="-4"/>
              <w:lang w:val="sq-AL"/>
            </w:rPr>
            <m:t>KMM=</m:t>
          </m:r>
          <m:f>
            <m:fPr>
              <m:ctrlPr>
                <w:rPr>
                  <w:rFonts w:ascii="Cambria Math" w:hAnsi="Cambria Math"/>
                  <w:spacing w:val="-4"/>
                  <w:lang w:val="sq-AL"/>
                </w:rPr>
              </m:ctrlPr>
            </m:fPr>
            <m:num>
              <m:r>
                <m:rPr>
                  <m:sty m:val="p"/>
                </m:rPr>
                <w:rPr>
                  <w:rFonts w:ascii="Cambria Math" w:hAnsi="Cambria Math"/>
                  <w:spacing w:val="-4"/>
                  <w:lang w:val="sq-AL"/>
                </w:rPr>
                <m:t xml:space="preserve">  </m:t>
              </m:r>
              <m:nary>
                <m:naryPr>
                  <m:chr m:val="∑"/>
                  <m:grow m:val="1"/>
                  <m:ctrlPr>
                    <w:rPr>
                      <w:rFonts w:ascii="Cambria Math" w:hAnsi="Cambria Math"/>
                      <w:spacing w:val="-4"/>
                      <w:lang w:val="sq-AL"/>
                    </w:rPr>
                  </m:ctrlPr>
                </m:naryPr>
                <m:sub>
                  <m:r>
                    <w:rPr>
                      <w:rFonts w:ascii="Cambria Math" w:hAnsi="Cambria Math"/>
                      <w:spacing w:val="-4"/>
                      <w:lang w:val="sq-AL"/>
                    </w:rPr>
                    <m:t>t</m:t>
                  </m:r>
                  <m:r>
                    <m:rPr>
                      <m:sty m:val="p"/>
                    </m:rPr>
                    <w:rPr>
                      <w:rFonts w:ascii="Cambria Math" w:hAnsi="Cambria Math"/>
                      <w:spacing w:val="-4"/>
                      <w:lang w:val="sq-AL"/>
                    </w:rPr>
                    <m:t>∈</m:t>
                  </m:r>
                  <m:r>
                    <w:rPr>
                      <w:rFonts w:ascii="Cambria Math" w:hAnsi="Cambria Math"/>
                      <w:spacing w:val="-4"/>
                      <w:lang w:val="sq-AL"/>
                    </w:rPr>
                    <m:t>T</m:t>
                  </m:r>
                </m:sub>
                <m:sup/>
                <m:e>
                  <m:r>
                    <m:rPr>
                      <m:sty m:val="p"/>
                    </m:rPr>
                    <w:rPr>
                      <w:rFonts w:ascii="Cambria Math" w:hAnsi="Cambria Math"/>
                      <w:spacing w:val="-4"/>
                      <w:lang w:val="sq-AL"/>
                    </w:rPr>
                    <m:t xml:space="preserve"> </m:t>
                  </m:r>
                </m:e>
              </m:nary>
              <m:r>
                <w:rPr>
                  <w:rFonts w:ascii="Cambria Math" w:hAnsi="Cambria Math"/>
                  <w:spacing w:val="-4"/>
                  <w:lang w:val="sq-AL"/>
                </w:rPr>
                <m:t>t</m:t>
              </m:r>
              <m:r>
                <m:rPr>
                  <m:sty m:val="p"/>
                </m:rPr>
                <w:rPr>
                  <w:rFonts w:ascii="Cambria Math" w:hAnsi="Cambria Math"/>
                  <w:spacing w:val="-4"/>
                  <w:lang w:val="sq-AL"/>
                </w:rPr>
                <m:t xml:space="preserve"> </m:t>
              </m:r>
              <m:r>
                <w:rPr>
                  <w:rFonts w:ascii="Cambria Math" w:hAnsi="Cambria Math"/>
                  <w:spacing w:val="-4"/>
                  <w:lang w:val="sq-AL"/>
                </w:rPr>
                <m:t>Nt</m:t>
              </m:r>
            </m:num>
            <m:den>
              <m:nary>
                <m:naryPr>
                  <m:chr m:val="∑"/>
                  <m:grow m:val="1"/>
                  <m:ctrlPr>
                    <w:rPr>
                      <w:rFonts w:ascii="Cambria Math" w:hAnsi="Cambria Math"/>
                      <w:spacing w:val="-4"/>
                      <w:lang w:val="sq-AL"/>
                    </w:rPr>
                  </m:ctrlPr>
                </m:naryPr>
                <m:sub>
                  <m:r>
                    <w:rPr>
                      <w:rFonts w:ascii="Cambria Math" w:hAnsi="Cambria Math"/>
                      <w:spacing w:val="-4"/>
                      <w:lang w:val="sq-AL"/>
                    </w:rPr>
                    <m:t>t</m:t>
                  </m:r>
                  <m:r>
                    <m:rPr>
                      <m:sty m:val="p"/>
                    </m:rPr>
                    <w:rPr>
                      <w:rFonts w:ascii="Cambria Math" w:hAnsi="Cambria Math"/>
                      <w:spacing w:val="-4"/>
                      <w:lang w:val="sq-AL"/>
                    </w:rPr>
                    <m:t>∈</m:t>
                  </m:r>
                  <m:r>
                    <w:rPr>
                      <w:rFonts w:ascii="Cambria Math" w:hAnsi="Cambria Math"/>
                      <w:spacing w:val="-4"/>
                      <w:lang w:val="sq-AL"/>
                    </w:rPr>
                    <m:t>T</m:t>
                  </m:r>
                </m:sub>
                <m:sup/>
                <m:e>
                  <m:r>
                    <m:rPr>
                      <m:sty m:val="p"/>
                    </m:rPr>
                    <w:rPr>
                      <w:rFonts w:ascii="Cambria Math" w:hAnsi="Cambria Math"/>
                      <w:spacing w:val="-4"/>
                      <w:lang w:val="sq-AL"/>
                    </w:rPr>
                    <m:t xml:space="preserve"> </m:t>
                  </m:r>
                </m:e>
              </m:nary>
              <m:r>
                <w:rPr>
                  <w:rFonts w:ascii="Cambria Math" w:hAnsi="Cambria Math"/>
                  <w:spacing w:val="-4"/>
                  <w:lang w:val="sq-AL"/>
                </w:rPr>
                <m:t>Nt</m:t>
              </m:r>
            </m:den>
          </m:f>
        </m:oMath>
      </m:oMathPara>
    </w:p>
    <w:p w:rsidR="008E721E" w:rsidRPr="0013557B" w:rsidRDefault="008E721E" w:rsidP="008E721E">
      <w:pPr>
        <w:pStyle w:val="Paragrafi"/>
        <w:rPr>
          <w:spacing w:val="-4"/>
          <w:lang w:val="sq-AL"/>
        </w:rPr>
      </w:pPr>
      <w:r w:rsidRPr="0013557B">
        <w:rPr>
          <w:spacing w:val="-4"/>
          <w:lang w:val="sq-AL"/>
        </w:rPr>
        <w:t>Nga ku:</w:t>
      </w:r>
    </w:p>
    <w:p w:rsidR="008E721E" w:rsidRPr="0013557B" w:rsidRDefault="008E721E" w:rsidP="008E721E">
      <w:pPr>
        <w:pStyle w:val="Paragrafi"/>
        <w:rPr>
          <w:spacing w:val="-4"/>
          <w:lang w:val="sq-AL"/>
        </w:rPr>
      </w:pPr>
      <w:r w:rsidRPr="0013557B">
        <w:rPr>
          <w:spacing w:val="-4"/>
          <w:lang w:val="sq-AL"/>
        </w:rPr>
        <w:t xml:space="preserve">t – data e maturimit; </w:t>
      </w:r>
    </w:p>
    <w:p w:rsidR="008E721E" w:rsidRPr="0013557B" w:rsidRDefault="008E721E" w:rsidP="008E721E">
      <w:pPr>
        <w:pStyle w:val="Paragrafi"/>
        <w:rPr>
          <w:spacing w:val="-4"/>
          <w:lang w:val="sq-AL"/>
        </w:rPr>
      </w:pPr>
      <w:r w:rsidRPr="0013557B">
        <w:rPr>
          <w:spacing w:val="-4"/>
          <w:lang w:val="sq-AL"/>
        </w:rPr>
        <w:t>T – bashkësia e të gjitha datave të maturimit;</w:t>
      </w:r>
    </w:p>
    <w:p w:rsidR="008E721E" w:rsidRPr="0013557B" w:rsidRDefault="008E721E" w:rsidP="008E721E">
      <w:pPr>
        <w:pStyle w:val="Paragrafi"/>
        <w:rPr>
          <w:spacing w:val="-4"/>
          <w:lang w:val="sq-AL"/>
        </w:rPr>
      </w:pPr>
      <w:r w:rsidRPr="0013557B">
        <w:rPr>
          <w:spacing w:val="-4"/>
          <w:lang w:val="sq-AL"/>
        </w:rPr>
        <w:t>N</w:t>
      </w:r>
      <w:r w:rsidRPr="0013557B">
        <w:rPr>
          <w:spacing w:val="-4"/>
          <w:vertAlign w:val="subscript"/>
          <w:lang w:val="sq-AL"/>
        </w:rPr>
        <w:t>t</w:t>
      </w:r>
      <w:r w:rsidRPr="0013557B">
        <w:rPr>
          <w:spacing w:val="-4"/>
          <w:lang w:val="sq-AL"/>
        </w:rPr>
        <w:t xml:space="preserve"> – Vlera nominale që do të paguhet në datën t.</w:t>
      </w:r>
    </w:p>
    <w:p w:rsidR="008E721E" w:rsidRPr="00FF4234" w:rsidRDefault="008E721E" w:rsidP="008E721E">
      <w:pPr>
        <w:pStyle w:val="Paragrafi"/>
        <w:rPr>
          <w:lang w:val="sq-AL"/>
        </w:rPr>
      </w:pPr>
      <w:r w:rsidRPr="0013557B">
        <w:rPr>
          <w:b/>
          <w:spacing w:val="-4"/>
          <w:lang w:val="sq-AL"/>
        </w:rPr>
        <w:t>KMR</w:t>
      </w:r>
      <w:r w:rsidRPr="0013557B">
        <w:rPr>
          <w:spacing w:val="-4"/>
          <w:lang w:val="sq-AL"/>
        </w:rPr>
        <w:t xml:space="preserve"> (Koha mesatare në rifiksim) – Tregues i riskut të normave të interesit për borxhin. Jep </w:t>
      </w:r>
      <w:r w:rsidRPr="0013557B">
        <w:rPr>
          <w:spacing w:val="-4"/>
          <w:lang w:val="sq-AL"/>
        </w:rPr>
        <w:lastRenderedPageBreak/>
        <w:t>informacion lidhur me ekspozimin e portofolit të borxhit kundrejt ndryshimit të normave të interesit. KMR interpretohet si koha mesatare (në vite) që i duhet portofolit të borxhit për të ripërcaktuar normën e interesit. Sa më e madhe të jetë sasia e instrumenteve afatshkurtër dhe sasia e instrumen</w:t>
      </w:r>
      <w:r>
        <w:rPr>
          <w:spacing w:val="-4"/>
          <w:lang w:val="sq-AL"/>
        </w:rPr>
        <w:t>-</w:t>
      </w:r>
      <w:r w:rsidRPr="0013557B">
        <w:rPr>
          <w:spacing w:val="-4"/>
          <w:lang w:val="sq-AL"/>
        </w:rPr>
        <w:t>teve me norma interesi të ndryshueshëm në portofolin e borxhit, aq më i madh është risku i normave të interesit dhe aq më i vogël ky tregues dhe anasjelltas. Ky tregues</w:t>
      </w:r>
      <w:r w:rsidRPr="00FF4234">
        <w:rPr>
          <w:lang w:val="sq-AL"/>
        </w:rPr>
        <w:t xml:space="preserve"> u prezantua për herë të parë në vitin 2005 për të zëvendësuar duration, i cili është një indikator që jep informacion për riskun e </w:t>
      </w:r>
      <w:r>
        <w:rPr>
          <w:lang w:val="sq-AL"/>
        </w:rPr>
        <w:t>rifinancim</w:t>
      </w:r>
      <w:r w:rsidRPr="00FF4234">
        <w:rPr>
          <w:lang w:val="sq-AL"/>
        </w:rPr>
        <w:t>it dhe të normave të interesit në të njëjtën kohë. KMR për instrumentet financiarë të borxhit përllogaritet sipas formulës së mëposhtme:</w:t>
      </w:r>
    </w:p>
    <w:p w:rsidR="008E721E" w:rsidRPr="00FF4234" w:rsidRDefault="008E721E" w:rsidP="008E721E">
      <w:pPr>
        <w:pStyle w:val="Paragrafi"/>
        <w:rPr>
          <w:lang w:val="sq-AL"/>
        </w:rPr>
      </w:pPr>
      <m:oMathPara>
        <m:oMath>
          <m:r>
            <m:rPr>
              <m:sty m:val="p"/>
            </m:rPr>
            <w:rPr>
              <w:rFonts w:ascii="Cambria Math" w:hAnsi="Cambria Math"/>
              <w:lang w:val="sq-AL"/>
            </w:rPr>
            <m:t>KMR=</m:t>
          </m:r>
          <m:f>
            <m:fPr>
              <m:ctrlPr>
                <w:rPr>
                  <w:rFonts w:ascii="Cambria Math" w:hAnsi="Cambria Math"/>
                  <w:lang w:val="sq-AL"/>
                </w:rPr>
              </m:ctrlPr>
            </m:fPr>
            <m:num>
              <m:r>
                <m:rPr>
                  <m:sty m:val="p"/>
                </m:rPr>
                <w:rPr>
                  <w:rFonts w:ascii="Cambria Math" w:hAnsi="Cambria Math"/>
                  <w:lang w:val="sq-AL"/>
                </w:rPr>
                <m:t xml:space="preserve">  </m:t>
              </m:r>
              <m:nary>
                <m:naryPr>
                  <m:chr m:val="∑"/>
                  <m:grow m:val="1"/>
                  <m:ctrlPr>
                    <w:rPr>
                      <w:rFonts w:ascii="Cambria Math" w:hAnsi="Cambria Math"/>
                      <w:lang w:val="sq-AL"/>
                    </w:rPr>
                  </m:ctrlPr>
                </m:naryPr>
                <m:sub>
                  <m:r>
                    <w:rPr>
                      <w:rFonts w:ascii="Cambria Math" w:hAnsi="Cambria Math"/>
                      <w:lang w:val="sq-AL"/>
                    </w:rPr>
                    <m:t>r</m:t>
                  </m:r>
                  <m:r>
                    <m:rPr>
                      <m:sty m:val="p"/>
                    </m:rPr>
                    <w:rPr>
                      <w:rFonts w:ascii="Cambria Math" w:hAnsi="Cambria Math"/>
                      <w:lang w:val="sq-AL"/>
                    </w:rPr>
                    <m:t>∈</m:t>
                  </m:r>
                  <m:r>
                    <w:rPr>
                      <w:rFonts w:ascii="Cambria Math" w:hAnsi="Cambria Math"/>
                      <w:lang w:val="sq-AL"/>
                    </w:rPr>
                    <m:t>R</m:t>
                  </m:r>
                </m:sub>
                <m:sup/>
                <m:e>
                  <m:r>
                    <m:rPr>
                      <m:sty m:val="p"/>
                    </m:rPr>
                    <w:rPr>
                      <w:rFonts w:ascii="Cambria Math" w:hAnsi="Cambria Math"/>
                      <w:lang w:val="sq-AL"/>
                    </w:rPr>
                    <m:t xml:space="preserve">  </m:t>
                  </m:r>
                  <m:r>
                    <w:rPr>
                      <w:rFonts w:ascii="Cambria Math" w:hAnsi="Cambria Math"/>
                      <w:lang w:val="sq-AL"/>
                    </w:rPr>
                    <m:t>r</m:t>
                  </m:r>
                  <m:r>
                    <m:rPr>
                      <m:sty m:val="p"/>
                    </m:rPr>
                    <w:rPr>
                      <w:rFonts w:ascii="Cambria Math" w:hAnsi="Cambria Math"/>
                      <w:lang w:val="sq-AL"/>
                    </w:rPr>
                    <m:t xml:space="preserve"> </m:t>
                  </m:r>
                  <m:r>
                    <w:rPr>
                      <w:rFonts w:ascii="Cambria Math" w:hAnsi="Cambria Math"/>
                      <w:lang w:val="sq-AL"/>
                    </w:rPr>
                    <m:t>Nr</m:t>
                  </m:r>
                </m:e>
              </m:nary>
              <m:r>
                <m:rPr>
                  <m:sty m:val="p"/>
                </m:rPr>
                <w:rPr>
                  <w:rFonts w:ascii="Cambria Math" w:hAnsi="Cambria Math"/>
                  <w:lang w:val="sq-AL"/>
                </w:rPr>
                <m:t>+</m:t>
              </m:r>
              <m:nary>
                <m:naryPr>
                  <m:chr m:val="∑"/>
                  <m:grow m:val="1"/>
                  <m:ctrlPr>
                    <w:rPr>
                      <w:rFonts w:ascii="Cambria Math" w:hAnsi="Cambria Math"/>
                      <w:lang w:val="sq-AL"/>
                    </w:rPr>
                  </m:ctrlPr>
                </m:naryPr>
                <m:sub>
                  <m:r>
                    <w:rPr>
                      <w:rFonts w:ascii="Cambria Math" w:hAnsi="Cambria Math"/>
                      <w:lang w:val="sq-AL"/>
                    </w:rPr>
                    <m:t>t</m:t>
                  </m:r>
                  <m:r>
                    <m:rPr>
                      <m:sty m:val="p"/>
                    </m:rPr>
                    <w:rPr>
                      <w:rFonts w:ascii="Cambria Math" w:hAnsi="Cambria Math"/>
                      <w:lang w:val="sq-AL"/>
                    </w:rPr>
                    <m:t>∈</m:t>
                  </m:r>
                  <m:r>
                    <w:rPr>
                      <w:rFonts w:ascii="Cambria Math" w:hAnsi="Cambria Math"/>
                      <w:lang w:val="sq-AL"/>
                    </w:rPr>
                    <m:t>T</m:t>
                  </m:r>
                </m:sub>
                <m:sup/>
                <m:e>
                  <m:r>
                    <m:rPr>
                      <m:sty m:val="p"/>
                    </m:rPr>
                    <w:rPr>
                      <w:rFonts w:ascii="Cambria Math" w:hAnsi="Cambria Math"/>
                      <w:lang w:val="sq-AL"/>
                    </w:rPr>
                    <m:t xml:space="preserve"> </m:t>
                  </m:r>
                </m:e>
              </m:nary>
              <m:r>
                <w:rPr>
                  <w:rFonts w:ascii="Cambria Math" w:hAnsi="Cambria Math"/>
                  <w:lang w:val="sq-AL"/>
                </w:rPr>
                <m:t>t</m:t>
              </m:r>
              <m:r>
                <m:rPr>
                  <m:sty m:val="p"/>
                </m:rPr>
                <w:rPr>
                  <w:rFonts w:ascii="Cambria Math" w:hAnsi="Cambria Math"/>
                  <w:lang w:val="sq-AL"/>
                </w:rPr>
                <m:t xml:space="preserve"> </m:t>
              </m:r>
              <m:r>
                <w:rPr>
                  <w:rFonts w:ascii="Cambria Math" w:hAnsi="Cambria Math"/>
                  <w:lang w:val="sq-AL"/>
                </w:rPr>
                <m:t>Nt</m:t>
              </m:r>
            </m:num>
            <m:den>
              <m:nary>
                <m:naryPr>
                  <m:chr m:val="∑"/>
                  <m:grow m:val="1"/>
                  <m:ctrlPr>
                    <w:rPr>
                      <w:rFonts w:ascii="Cambria Math" w:hAnsi="Cambria Math"/>
                      <w:lang w:val="sq-AL"/>
                    </w:rPr>
                  </m:ctrlPr>
                </m:naryPr>
                <m:sub>
                  <m:r>
                    <w:rPr>
                      <w:rFonts w:ascii="Cambria Math" w:hAnsi="Cambria Math"/>
                      <w:lang w:val="sq-AL"/>
                    </w:rPr>
                    <m:t>r</m:t>
                  </m:r>
                  <m:r>
                    <m:rPr>
                      <m:sty m:val="p"/>
                    </m:rPr>
                    <w:rPr>
                      <w:rFonts w:ascii="Cambria Math" w:hAnsi="Cambria Math"/>
                      <w:lang w:val="sq-AL"/>
                    </w:rPr>
                    <m:t>∈</m:t>
                  </m:r>
                  <m:r>
                    <w:rPr>
                      <w:rFonts w:ascii="Cambria Math" w:hAnsi="Cambria Math"/>
                      <w:lang w:val="sq-AL"/>
                    </w:rPr>
                    <m:t>R</m:t>
                  </m:r>
                </m:sub>
                <m:sup/>
                <m:e>
                  <m:r>
                    <m:rPr>
                      <m:sty m:val="p"/>
                    </m:rPr>
                    <w:rPr>
                      <w:rFonts w:ascii="Cambria Math" w:hAnsi="Cambria Math"/>
                      <w:lang w:val="sq-AL"/>
                    </w:rPr>
                    <m:t xml:space="preserve"> </m:t>
                  </m:r>
                  <m:r>
                    <w:rPr>
                      <w:rFonts w:ascii="Cambria Math" w:hAnsi="Cambria Math"/>
                      <w:lang w:val="sq-AL"/>
                    </w:rPr>
                    <m:t>Nr</m:t>
                  </m:r>
                </m:e>
              </m:nary>
              <m:r>
                <m:rPr>
                  <m:sty m:val="p"/>
                </m:rPr>
                <w:rPr>
                  <w:rFonts w:ascii="Cambria Math" w:hAnsi="Cambria Math"/>
                  <w:lang w:val="sq-AL"/>
                </w:rPr>
                <m:t>+</m:t>
              </m:r>
              <m:nary>
                <m:naryPr>
                  <m:chr m:val="∑"/>
                  <m:grow m:val="1"/>
                  <m:ctrlPr>
                    <w:rPr>
                      <w:rFonts w:ascii="Cambria Math" w:hAnsi="Cambria Math"/>
                      <w:lang w:val="sq-AL"/>
                    </w:rPr>
                  </m:ctrlPr>
                </m:naryPr>
                <m:sub>
                  <m:r>
                    <w:rPr>
                      <w:rFonts w:ascii="Cambria Math" w:hAnsi="Cambria Math"/>
                      <w:lang w:val="sq-AL"/>
                    </w:rPr>
                    <m:t>t</m:t>
                  </m:r>
                  <m:r>
                    <m:rPr>
                      <m:sty m:val="p"/>
                    </m:rPr>
                    <w:rPr>
                      <w:rFonts w:ascii="Cambria Math" w:hAnsi="Cambria Math"/>
                      <w:lang w:val="sq-AL"/>
                    </w:rPr>
                    <m:t>∈</m:t>
                  </m:r>
                  <m:r>
                    <w:rPr>
                      <w:rFonts w:ascii="Cambria Math" w:hAnsi="Cambria Math"/>
                      <w:lang w:val="sq-AL"/>
                    </w:rPr>
                    <m:t>T</m:t>
                  </m:r>
                </m:sub>
                <m:sup/>
                <m:e>
                  <m:r>
                    <m:rPr>
                      <m:sty m:val="p"/>
                    </m:rPr>
                    <w:rPr>
                      <w:rFonts w:ascii="Cambria Math" w:hAnsi="Cambria Math"/>
                      <w:lang w:val="sq-AL"/>
                    </w:rPr>
                    <m:t xml:space="preserve"> </m:t>
                  </m:r>
                </m:e>
              </m:nary>
              <m:r>
                <w:rPr>
                  <w:rFonts w:ascii="Cambria Math" w:hAnsi="Cambria Math"/>
                  <w:lang w:val="sq-AL"/>
                </w:rPr>
                <m:t>Nt</m:t>
              </m:r>
            </m:den>
          </m:f>
        </m:oMath>
      </m:oMathPara>
    </w:p>
    <w:p w:rsidR="008E721E" w:rsidRPr="0013557B" w:rsidRDefault="008E721E" w:rsidP="008E721E">
      <w:pPr>
        <w:pStyle w:val="Paragrafi"/>
        <w:rPr>
          <w:spacing w:val="-4"/>
          <w:lang w:val="sq-AL"/>
        </w:rPr>
      </w:pPr>
      <w:r w:rsidRPr="0013557B">
        <w:rPr>
          <w:spacing w:val="-4"/>
          <w:lang w:val="sq-AL"/>
        </w:rPr>
        <w:t>Nga ku:</w:t>
      </w:r>
    </w:p>
    <w:p w:rsidR="008E721E" w:rsidRPr="0013557B" w:rsidRDefault="008E721E" w:rsidP="008E721E">
      <w:pPr>
        <w:pStyle w:val="Paragrafi"/>
        <w:rPr>
          <w:spacing w:val="-4"/>
          <w:lang w:val="sq-AL"/>
        </w:rPr>
      </w:pPr>
      <w:r w:rsidRPr="0013557B">
        <w:rPr>
          <w:spacing w:val="-4"/>
          <w:lang w:val="sq-AL"/>
        </w:rPr>
        <w:t>r- data e pagesës së kuponit të instrumentit me norma interesi të lëvizshme;</w:t>
      </w:r>
    </w:p>
    <w:p w:rsidR="008E721E" w:rsidRPr="0013557B" w:rsidRDefault="008E721E" w:rsidP="008E721E">
      <w:pPr>
        <w:pStyle w:val="Paragrafi"/>
        <w:rPr>
          <w:spacing w:val="-4"/>
          <w:lang w:val="sq-AL"/>
        </w:rPr>
      </w:pPr>
      <w:r w:rsidRPr="0013557B">
        <w:rPr>
          <w:spacing w:val="-4"/>
          <w:lang w:val="sq-AL"/>
        </w:rPr>
        <w:t>t- data e maturimit të instrumentit me norma interesi fiks;</w:t>
      </w:r>
    </w:p>
    <w:p w:rsidR="008E721E" w:rsidRPr="0013557B" w:rsidRDefault="008E721E" w:rsidP="008E721E">
      <w:pPr>
        <w:pStyle w:val="Paragrafi"/>
        <w:rPr>
          <w:spacing w:val="-4"/>
          <w:lang w:val="sq-AL"/>
        </w:rPr>
      </w:pPr>
      <w:r w:rsidRPr="0013557B">
        <w:rPr>
          <w:spacing w:val="-4"/>
          <w:lang w:val="sq-AL"/>
        </w:rPr>
        <w:t>N</w:t>
      </w:r>
      <w:r w:rsidRPr="0013557B">
        <w:rPr>
          <w:spacing w:val="-4"/>
          <w:vertAlign w:val="subscript"/>
          <w:lang w:val="sq-AL"/>
        </w:rPr>
        <w:t>r</w:t>
      </w:r>
      <w:r w:rsidRPr="0013557B">
        <w:rPr>
          <w:spacing w:val="-4"/>
          <w:lang w:val="sq-AL"/>
        </w:rPr>
        <w:t xml:space="preserve"> – vlera nominale e instrumentit me norma interesi të lëvizshme;</w:t>
      </w:r>
    </w:p>
    <w:p w:rsidR="008E721E" w:rsidRPr="0013557B" w:rsidRDefault="008E721E" w:rsidP="008E721E">
      <w:pPr>
        <w:pStyle w:val="Paragrafi"/>
        <w:rPr>
          <w:spacing w:val="-4"/>
          <w:lang w:val="sq-AL"/>
        </w:rPr>
      </w:pPr>
      <w:r w:rsidRPr="0013557B">
        <w:rPr>
          <w:spacing w:val="-4"/>
          <w:lang w:val="sq-AL"/>
        </w:rPr>
        <w:t>N</w:t>
      </w:r>
      <w:r w:rsidRPr="0013557B">
        <w:rPr>
          <w:spacing w:val="-4"/>
          <w:vertAlign w:val="subscript"/>
          <w:lang w:val="sq-AL"/>
        </w:rPr>
        <w:t>t</w:t>
      </w:r>
      <w:r w:rsidRPr="0013557B">
        <w:rPr>
          <w:spacing w:val="-4"/>
          <w:lang w:val="sq-AL"/>
        </w:rPr>
        <w:t xml:space="preserve"> – vlera nominale e instrumentit me norma interesi fiks;</w:t>
      </w:r>
    </w:p>
    <w:p w:rsidR="008E721E" w:rsidRPr="0013557B" w:rsidRDefault="008E721E" w:rsidP="008E721E">
      <w:pPr>
        <w:pStyle w:val="Paragrafi"/>
        <w:rPr>
          <w:spacing w:val="-4"/>
          <w:lang w:val="sq-AL"/>
        </w:rPr>
      </w:pPr>
      <w:r w:rsidRPr="0013557B">
        <w:rPr>
          <w:spacing w:val="-4"/>
          <w:lang w:val="sq-AL"/>
        </w:rPr>
        <w:t>R – bashkësia e të gjitha datave të maturimit për instrumente me norma interesi të lëvizshme;</w:t>
      </w:r>
    </w:p>
    <w:p w:rsidR="008E721E" w:rsidRPr="0013557B" w:rsidRDefault="008E721E" w:rsidP="008E721E">
      <w:pPr>
        <w:pStyle w:val="Paragrafi"/>
        <w:rPr>
          <w:spacing w:val="-4"/>
          <w:lang w:val="sq-AL"/>
        </w:rPr>
      </w:pPr>
      <w:r w:rsidRPr="0013557B">
        <w:rPr>
          <w:spacing w:val="-4"/>
          <w:lang w:val="sq-AL"/>
        </w:rPr>
        <w:t>T – bashkësia e të gjitha datave të maturimit për instrumente me norma interesi fiks.</w:t>
      </w:r>
    </w:p>
    <w:p w:rsidR="008E721E" w:rsidRPr="00201949" w:rsidRDefault="008E721E" w:rsidP="008E721E">
      <w:pPr>
        <w:pStyle w:val="Paragrafi"/>
        <w:rPr>
          <w:lang w:val="sq-AL"/>
        </w:rPr>
      </w:pPr>
      <w:r w:rsidRPr="00201949">
        <w:rPr>
          <w:b/>
          <w:lang w:val="sq-AL"/>
        </w:rPr>
        <w:t>PBG</w:t>
      </w:r>
      <w:r w:rsidRPr="00201949">
        <w:rPr>
          <w:lang w:val="sq-AL"/>
        </w:rPr>
        <w:t xml:space="preserve"> (</w:t>
      </w:r>
      <w:r w:rsidRPr="00201949">
        <w:rPr>
          <w:i/>
          <w:lang w:val="sq-AL"/>
        </w:rPr>
        <w:t>Policy base guarantee</w:t>
      </w:r>
      <w:r w:rsidRPr="00201949">
        <w:rPr>
          <w:lang w:val="sq-AL"/>
        </w:rPr>
        <w:t>) – Është një garanci e cila emetohet nga Banka Botërore dhe garanton  pjesërisht një hua që planifikon të marrë shteti shqiptar me qëllim mundësimin e një kostoje më të favorshme se tregu.</w:t>
      </w:r>
    </w:p>
    <w:p w:rsidR="008E721E" w:rsidRPr="00201949" w:rsidRDefault="008E721E" w:rsidP="008E721E">
      <w:pPr>
        <w:pStyle w:val="Paragrafi"/>
        <w:rPr>
          <w:lang w:val="sq-AL"/>
        </w:rPr>
      </w:pPr>
      <w:r w:rsidRPr="00201949">
        <w:rPr>
          <w:b/>
          <w:lang w:val="sq-AL"/>
        </w:rPr>
        <w:t>Raport mbulimi</w:t>
      </w:r>
      <w:r w:rsidRPr="00201949">
        <w:rPr>
          <w:lang w:val="sq-AL"/>
        </w:rPr>
        <w:t xml:space="preserve"> – Raporti ndërmjet shumës së kërkuar (nga investitorët) dhe shumës së ofruar (nga shteti) në ankandet e instrumenteve financiarë shtetërorë. Shërben për të vlerësuar nivelin e plotësimit të ankandeve dhe gjendjen e likuiditetit. </w:t>
      </w:r>
    </w:p>
    <w:p w:rsidR="008E721E" w:rsidRPr="00201949" w:rsidRDefault="008E721E" w:rsidP="008E721E">
      <w:pPr>
        <w:pStyle w:val="Paragrafi"/>
        <w:rPr>
          <w:lang w:val="sq-AL"/>
        </w:rPr>
      </w:pPr>
      <w:r w:rsidRPr="00201949">
        <w:rPr>
          <w:b/>
          <w:lang w:val="sq-AL"/>
        </w:rPr>
        <w:t>Risku i kreditit</w:t>
      </w:r>
      <w:r w:rsidRPr="00201949">
        <w:rPr>
          <w:lang w:val="sq-AL"/>
        </w:rPr>
        <w:t xml:space="preserve"> – Risku që njëra nga palët që është pjesë e një transaksioni do të dështojë në përmbushjen e plotë ose të pjesshme të detyrimeve. Në këndvështrimin e menaxhimit të borxhit një risk i tillë zakonisht është prezent gjatë transaksioneve SWAP, kur shteti është mbajtës i instrumenteve financiarë ose kur ka depozita në bankat e nivelit të dytë.</w:t>
      </w:r>
    </w:p>
    <w:p w:rsidR="008E721E" w:rsidRPr="00201949" w:rsidRDefault="008E721E" w:rsidP="008E721E">
      <w:pPr>
        <w:pStyle w:val="Paragrafi"/>
        <w:rPr>
          <w:lang w:val="sq-AL"/>
        </w:rPr>
      </w:pPr>
      <w:r w:rsidRPr="00201949">
        <w:rPr>
          <w:b/>
          <w:lang w:val="sq-AL"/>
        </w:rPr>
        <w:t>Risku i kursit të këmbimit</w:t>
      </w:r>
      <w:r w:rsidRPr="00201949">
        <w:rPr>
          <w:lang w:val="sq-AL"/>
        </w:rPr>
        <w:t xml:space="preserve"> – I referohet ndikimit të lëvizjes së kursit të këmbimit të një monedhe mbi nivelin e borxhit dhe shërbimin e tij në një masë të caktuar mbi pritshmëritë.</w:t>
      </w:r>
    </w:p>
    <w:p w:rsidR="008E721E" w:rsidRPr="0013557B" w:rsidRDefault="008E721E" w:rsidP="008E721E">
      <w:pPr>
        <w:pStyle w:val="Paragrafi"/>
        <w:rPr>
          <w:spacing w:val="-4"/>
          <w:lang w:val="sq-AL"/>
        </w:rPr>
      </w:pPr>
      <w:r w:rsidRPr="00201949">
        <w:rPr>
          <w:b/>
          <w:lang w:val="sq-AL"/>
        </w:rPr>
        <w:t>Risku i likuiditetit</w:t>
      </w:r>
      <w:r w:rsidRPr="00201949">
        <w:rPr>
          <w:lang w:val="sq-AL"/>
        </w:rPr>
        <w:t xml:space="preserve"> – Risk i asociuar me humbjen e aftësisë së buxhetit të shtetit për të likuiduar detyrimet korrente dhe të ekzekutojë në kohë shpenzimet buxhetore. Me qëllim minimizimin e këtij risku, shteti duhet të ketë akses mbi një sasi të caktuar asetesh likuide me qëllim garantimin e fondeve në raste krizash të përkohshme, ku gjatë të cilave bëhet e vështirë ose</w:t>
      </w:r>
      <w:r w:rsidRPr="0013557B">
        <w:rPr>
          <w:spacing w:val="-4"/>
          <w:lang w:val="sq-AL"/>
        </w:rPr>
        <w:t xml:space="preserve"> me kosto të lartë, sigurimi i tyre. </w:t>
      </w:r>
    </w:p>
    <w:p w:rsidR="008E721E" w:rsidRPr="0013557B" w:rsidRDefault="008E721E" w:rsidP="008E721E">
      <w:pPr>
        <w:pStyle w:val="Paragrafi"/>
        <w:rPr>
          <w:spacing w:val="-4"/>
          <w:lang w:val="sq-AL"/>
        </w:rPr>
      </w:pPr>
      <w:r w:rsidRPr="0013557B">
        <w:rPr>
          <w:b/>
          <w:spacing w:val="-4"/>
          <w:lang w:val="sq-AL"/>
        </w:rPr>
        <w:t>Risku i normave të interesit</w:t>
      </w:r>
      <w:r w:rsidRPr="0013557B">
        <w:rPr>
          <w:spacing w:val="-4"/>
          <w:lang w:val="sq-AL"/>
        </w:rPr>
        <w:t xml:space="preserve"> – Risku që pagesat e shërbimit të borxhit të ndryshojnë si rrjedhojë e lëvizjes së normave të interesit. Ky risk krijohet nga nevoja për të shërbyer borxhin që maturohet dhe pagesat e kuponëve të instrumenteve me norma të ndryshueshme në të ardhmen. </w:t>
      </w:r>
    </w:p>
    <w:p w:rsidR="008E721E" w:rsidRPr="0013557B" w:rsidRDefault="008E721E" w:rsidP="008E721E">
      <w:pPr>
        <w:pStyle w:val="Paragrafi"/>
        <w:rPr>
          <w:spacing w:val="-4"/>
          <w:lang w:val="sq-AL"/>
        </w:rPr>
      </w:pPr>
      <w:r w:rsidRPr="0013557B">
        <w:rPr>
          <w:b/>
          <w:spacing w:val="-4"/>
          <w:lang w:val="sq-AL"/>
        </w:rPr>
        <w:t>Risku operacional</w:t>
      </w:r>
      <w:r w:rsidRPr="0013557B">
        <w:rPr>
          <w:spacing w:val="-4"/>
          <w:lang w:val="sq-AL"/>
        </w:rPr>
        <w:t xml:space="preserve"> – Risku i asociuar me rritjen e kostos së menaxhimit të borxhit ose me rritjen e nivelit të risqeve të tjera si rezultat i gabimeve njerëzore, prishjes së pajisjeve elektronike, dëmeve natyrore, etj. </w:t>
      </w:r>
    </w:p>
    <w:p w:rsidR="008E721E" w:rsidRPr="0013557B" w:rsidRDefault="008E721E" w:rsidP="008E721E">
      <w:pPr>
        <w:pStyle w:val="Paragrafi"/>
        <w:rPr>
          <w:spacing w:val="-4"/>
          <w:lang w:val="sq-AL"/>
        </w:rPr>
      </w:pPr>
      <w:r w:rsidRPr="0013557B">
        <w:rPr>
          <w:b/>
          <w:spacing w:val="-4"/>
          <w:lang w:val="sq-AL"/>
        </w:rPr>
        <w:t>Risku i rifinancimit</w:t>
      </w:r>
      <w:r w:rsidRPr="0013557B">
        <w:rPr>
          <w:spacing w:val="-4"/>
          <w:lang w:val="sq-AL"/>
        </w:rPr>
        <w:t xml:space="preserve"> – Risku i asociuar me aftësinë për të emetuar instrumente ose marrë hua me qëllim rifinancimin dhe shërbimin e borxhit aktual. Sa më i madh të jetë volumi i shumave që maturohen dhe sa më i afërt në kohë, aq më i lartë është risku i rifinancimit dhe anasjelltas. Risku i rifinancimit ndikohet nga niveli i borxhit ekzistues dhe profili i maturimeve. Rritja e maturitetit të borxhit dhe shpërndarja në kohë e maturimeve kontribuon në reduktimin e riskut të rifinancimit. </w:t>
      </w:r>
    </w:p>
    <w:p w:rsidR="008E721E" w:rsidRPr="0013557B" w:rsidRDefault="008E721E" w:rsidP="008E721E">
      <w:pPr>
        <w:pStyle w:val="Paragrafi"/>
        <w:rPr>
          <w:spacing w:val="-4"/>
          <w:lang w:val="sq-AL"/>
        </w:rPr>
      </w:pPr>
      <w:r w:rsidRPr="0013557B">
        <w:rPr>
          <w:b/>
          <w:spacing w:val="-4"/>
          <w:lang w:val="sq-AL"/>
        </w:rPr>
        <w:t>Transaksion SWAP</w:t>
      </w:r>
      <w:r w:rsidRPr="0013557B">
        <w:rPr>
          <w:spacing w:val="-4"/>
          <w:lang w:val="sq-AL"/>
        </w:rPr>
        <w:t xml:space="preserve"> – Marrëveshje shkëmbimi ndërmjet dy palëve, të cilat bien dakord që të shkëmbejnë flukset monetare të një instrumenti (fiks) me flukset monetare të një instrumenti tjetër me terma dhe kushte të përcaktuara në avancë. SWAP përfshihet në grupin e instrumenteve të quajtura derivativë financiarë.</w:t>
      </w:r>
    </w:p>
    <w:p w:rsidR="008E721E" w:rsidRPr="0013557B" w:rsidRDefault="008E721E" w:rsidP="008E721E">
      <w:pPr>
        <w:pStyle w:val="Paragrafi"/>
        <w:rPr>
          <w:spacing w:val="-4"/>
          <w:lang w:val="sq-AL"/>
        </w:rPr>
      </w:pPr>
      <w:r w:rsidRPr="0013557B">
        <w:rPr>
          <w:b/>
          <w:spacing w:val="-4"/>
          <w:lang w:val="sq-AL"/>
        </w:rPr>
        <w:t>Tregu primar</w:t>
      </w:r>
      <w:r w:rsidRPr="0013557B">
        <w:rPr>
          <w:spacing w:val="-4"/>
          <w:lang w:val="sq-AL"/>
        </w:rPr>
        <w:t xml:space="preserve"> – Tregu në të cilin emetohen për herë të parë instrumentet financiare shtetërore.</w:t>
      </w:r>
    </w:p>
    <w:p w:rsidR="008E721E" w:rsidRPr="0013557B" w:rsidRDefault="008E721E" w:rsidP="008E721E">
      <w:pPr>
        <w:pStyle w:val="Paragrafi"/>
        <w:rPr>
          <w:b/>
          <w:spacing w:val="-4"/>
          <w:lang w:val="sq-AL"/>
        </w:rPr>
      </w:pPr>
      <w:r w:rsidRPr="0013557B">
        <w:rPr>
          <w:b/>
          <w:spacing w:val="-4"/>
          <w:lang w:val="sq-AL"/>
        </w:rPr>
        <w:t>1. Parathënie</w:t>
      </w:r>
    </w:p>
    <w:p w:rsidR="008E721E" w:rsidRPr="0013557B" w:rsidRDefault="008E721E" w:rsidP="008E721E">
      <w:pPr>
        <w:pStyle w:val="Paragrafi"/>
        <w:rPr>
          <w:spacing w:val="-4"/>
          <w:lang w:val="sq-AL"/>
        </w:rPr>
      </w:pPr>
      <w:r w:rsidRPr="0013557B">
        <w:rPr>
          <w:spacing w:val="-4"/>
          <w:lang w:val="sq-AL"/>
        </w:rPr>
        <w:t xml:space="preserve">Strategjia Afatmesme e Menaxhimit të Borxhit (SAMB) orienton planet e Qeverisë për financimin e borxhit në vitet e ardhshme; në rastin konkret për periudhën 2015-2017. Objektivi kyç i strategjisë është që të sigurojë realizimin e nevojave të Qeverisë për financim, si edhe nevojat për të shërbyer borxhin aktual me koston më ulët të mundshme kundrejt një shkalle të pranueshme risku. Gjithashtu, strategjia synon ruajtjen </w:t>
      </w:r>
      <w:r w:rsidRPr="0013557B">
        <w:rPr>
          <w:spacing w:val="-4"/>
          <w:lang w:val="sq-AL"/>
        </w:rPr>
        <w:lastRenderedPageBreak/>
        <w:t>dhe zhvillimin e mëtejshëm të tregut primar dhe sekondar të instrumenteve financiare shtetërore.</w:t>
      </w:r>
    </w:p>
    <w:p w:rsidR="008E721E" w:rsidRPr="0013557B" w:rsidRDefault="008E721E" w:rsidP="008E721E">
      <w:pPr>
        <w:pStyle w:val="Paragrafi"/>
        <w:rPr>
          <w:spacing w:val="-4"/>
          <w:lang w:val="sq-AL"/>
        </w:rPr>
      </w:pPr>
      <w:r w:rsidRPr="0013557B">
        <w:rPr>
          <w:spacing w:val="-4"/>
          <w:lang w:val="sq-AL"/>
        </w:rPr>
        <w:t>Strategjia</w:t>
      </w:r>
      <w:r w:rsidRPr="00201949">
        <w:rPr>
          <w:spacing w:val="-4"/>
          <w:sz w:val="18"/>
          <w:lang w:val="sq-AL"/>
        </w:rPr>
        <w:t xml:space="preserve"> </w:t>
      </w:r>
      <w:r w:rsidRPr="0013557B">
        <w:rPr>
          <w:spacing w:val="-4"/>
          <w:lang w:val="sq-AL"/>
        </w:rPr>
        <w:t>prezanton</w:t>
      </w:r>
      <w:r w:rsidRPr="00201949">
        <w:rPr>
          <w:spacing w:val="-4"/>
          <w:sz w:val="18"/>
          <w:lang w:val="sq-AL"/>
        </w:rPr>
        <w:t xml:space="preserve"> </w:t>
      </w:r>
      <w:r w:rsidRPr="0013557B">
        <w:rPr>
          <w:spacing w:val="-4"/>
          <w:lang w:val="sq-AL"/>
        </w:rPr>
        <w:t>objektivat</w:t>
      </w:r>
      <w:r w:rsidRPr="00201949">
        <w:rPr>
          <w:spacing w:val="-4"/>
          <w:sz w:val="18"/>
          <w:lang w:val="sq-AL"/>
        </w:rPr>
        <w:t xml:space="preserve"> </w:t>
      </w:r>
      <w:r w:rsidRPr="0013557B">
        <w:rPr>
          <w:spacing w:val="-4"/>
          <w:lang w:val="sq-AL"/>
        </w:rPr>
        <w:t>strategjikë</w:t>
      </w:r>
      <w:r w:rsidRPr="00201949">
        <w:rPr>
          <w:spacing w:val="-4"/>
          <w:sz w:val="18"/>
          <w:lang w:val="sq-AL"/>
        </w:rPr>
        <w:t xml:space="preserve"> </w:t>
      </w:r>
      <w:r w:rsidRPr="0013557B">
        <w:rPr>
          <w:spacing w:val="-4"/>
          <w:lang w:val="sq-AL"/>
        </w:rPr>
        <w:t>afatmesëm</w:t>
      </w:r>
      <w:r w:rsidRPr="00201949">
        <w:rPr>
          <w:spacing w:val="-4"/>
          <w:sz w:val="18"/>
          <w:lang w:val="sq-AL"/>
        </w:rPr>
        <w:t xml:space="preserve"> </w:t>
      </w:r>
      <w:r w:rsidRPr="0013557B">
        <w:rPr>
          <w:spacing w:val="-4"/>
          <w:lang w:val="sq-AL"/>
        </w:rPr>
        <w:t>të</w:t>
      </w:r>
      <w:r w:rsidRPr="00201949">
        <w:rPr>
          <w:spacing w:val="-4"/>
          <w:sz w:val="18"/>
          <w:lang w:val="sq-AL"/>
        </w:rPr>
        <w:t xml:space="preserve"> </w:t>
      </w:r>
      <w:r w:rsidRPr="0013557B">
        <w:rPr>
          <w:spacing w:val="-4"/>
          <w:lang w:val="sq-AL"/>
        </w:rPr>
        <w:t>menaxhimit</w:t>
      </w:r>
      <w:r w:rsidRPr="00201949">
        <w:rPr>
          <w:spacing w:val="-4"/>
          <w:sz w:val="18"/>
          <w:lang w:val="sq-AL"/>
        </w:rPr>
        <w:t xml:space="preserve"> </w:t>
      </w:r>
      <w:r w:rsidRPr="0013557B">
        <w:rPr>
          <w:spacing w:val="-4"/>
          <w:lang w:val="sq-AL"/>
        </w:rPr>
        <w:t>të</w:t>
      </w:r>
      <w:r w:rsidRPr="00201949">
        <w:rPr>
          <w:spacing w:val="-4"/>
          <w:sz w:val="18"/>
          <w:lang w:val="sq-AL"/>
        </w:rPr>
        <w:t xml:space="preserve"> </w:t>
      </w:r>
      <w:r w:rsidRPr="0013557B">
        <w:rPr>
          <w:spacing w:val="-4"/>
          <w:lang w:val="sq-AL"/>
        </w:rPr>
        <w:t>borxhit</w:t>
      </w:r>
      <w:r w:rsidRPr="00201949">
        <w:rPr>
          <w:spacing w:val="-4"/>
          <w:sz w:val="18"/>
          <w:lang w:val="sq-AL"/>
        </w:rPr>
        <w:t xml:space="preserve"> </w:t>
      </w:r>
      <w:r w:rsidRPr="0013557B">
        <w:rPr>
          <w:spacing w:val="-4"/>
          <w:lang w:val="sq-AL"/>
        </w:rPr>
        <w:t>dhe</w:t>
      </w:r>
      <w:r w:rsidRPr="00201949">
        <w:rPr>
          <w:spacing w:val="-4"/>
          <w:sz w:val="18"/>
          <w:lang w:val="sq-AL"/>
        </w:rPr>
        <w:t xml:space="preserve"> </w:t>
      </w:r>
      <w:r w:rsidRPr="0013557B">
        <w:rPr>
          <w:spacing w:val="-4"/>
          <w:lang w:val="sq-AL"/>
        </w:rPr>
        <w:t>instrumentet</w:t>
      </w:r>
      <w:r w:rsidRPr="00201949">
        <w:rPr>
          <w:spacing w:val="-4"/>
          <w:sz w:val="18"/>
          <w:lang w:val="sq-AL"/>
        </w:rPr>
        <w:t xml:space="preserve"> </w:t>
      </w:r>
      <w:r w:rsidRPr="0013557B">
        <w:rPr>
          <w:spacing w:val="-4"/>
          <w:lang w:val="sq-AL"/>
        </w:rPr>
        <w:t>që</w:t>
      </w:r>
      <w:r w:rsidRPr="00201949">
        <w:rPr>
          <w:spacing w:val="-4"/>
          <w:sz w:val="18"/>
          <w:lang w:val="sq-AL"/>
        </w:rPr>
        <w:t xml:space="preserve"> </w:t>
      </w:r>
      <w:r w:rsidRPr="0013557B">
        <w:rPr>
          <w:spacing w:val="-4"/>
          <w:lang w:val="sq-AL"/>
        </w:rPr>
        <w:t>duhen</w:t>
      </w:r>
      <w:r w:rsidRPr="00201949">
        <w:rPr>
          <w:spacing w:val="-4"/>
          <w:sz w:val="18"/>
          <w:lang w:val="sq-AL"/>
        </w:rPr>
        <w:t xml:space="preserve"> </w:t>
      </w:r>
      <w:r w:rsidRPr="0013557B">
        <w:rPr>
          <w:spacing w:val="-4"/>
          <w:lang w:val="sq-AL"/>
        </w:rPr>
        <w:t>përdorur</w:t>
      </w:r>
      <w:r w:rsidRPr="00201949">
        <w:rPr>
          <w:spacing w:val="-4"/>
          <w:sz w:val="18"/>
          <w:lang w:val="sq-AL"/>
        </w:rPr>
        <w:t xml:space="preserve"> </w:t>
      </w:r>
      <w:r w:rsidRPr="0013557B">
        <w:rPr>
          <w:spacing w:val="-4"/>
          <w:lang w:val="sq-AL"/>
        </w:rPr>
        <w:t>për</w:t>
      </w:r>
      <w:r w:rsidRPr="00201949">
        <w:rPr>
          <w:spacing w:val="-4"/>
          <w:sz w:val="18"/>
          <w:lang w:val="sq-AL"/>
        </w:rPr>
        <w:t xml:space="preserve"> </w:t>
      </w:r>
      <w:r w:rsidRPr="0013557B">
        <w:rPr>
          <w:spacing w:val="-4"/>
          <w:lang w:val="sq-AL"/>
        </w:rPr>
        <w:t>ta</w:t>
      </w:r>
      <w:r w:rsidRPr="00201949">
        <w:rPr>
          <w:sz w:val="18"/>
          <w:lang w:val="sq-AL"/>
        </w:rPr>
        <w:t xml:space="preserve"> </w:t>
      </w:r>
      <w:r w:rsidRPr="0013557B">
        <w:rPr>
          <w:spacing w:val="-4"/>
          <w:lang w:val="sq-AL"/>
        </w:rPr>
        <w:t>implementuar,</w:t>
      </w:r>
      <w:r w:rsidRPr="00201949">
        <w:rPr>
          <w:spacing w:val="-4"/>
          <w:sz w:val="18"/>
          <w:lang w:val="sq-AL"/>
        </w:rPr>
        <w:t xml:space="preserve"> </w:t>
      </w:r>
      <w:r w:rsidRPr="0013557B">
        <w:rPr>
          <w:spacing w:val="-4"/>
          <w:lang w:val="sq-AL"/>
        </w:rPr>
        <w:t>duke</w:t>
      </w:r>
      <w:r w:rsidRPr="00201949">
        <w:rPr>
          <w:spacing w:val="-4"/>
          <w:sz w:val="18"/>
          <w:lang w:val="sq-AL"/>
        </w:rPr>
        <w:t xml:space="preserve"> </w:t>
      </w:r>
      <w:r w:rsidRPr="0013557B">
        <w:rPr>
          <w:spacing w:val="-4"/>
          <w:lang w:val="sq-AL"/>
        </w:rPr>
        <w:t>marrë</w:t>
      </w:r>
      <w:r w:rsidRPr="00201949">
        <w:rPr>
          <w:spacing w:val="-4"/>
          <w:sz w:val="18"/>
          <w:lang w:val="sq-AL"/>
        </w:rPr>
        <w:t xml:space="preserve"> </w:t>
      </w:r>
      <w:r w:rsidRPr="0013557B">
        <w:rPr>
          <w:spacing w:val="-4"/>
          <w:lang w:val="sq-AL"/>
        </w:rPr>
        <w:t>në</w:t>
      </w:r>
      <w:r w:rsidRPr="00201949">
        <w:rPr>
          <w:spacing w:val="-4"/>
          <w:sz w:val="18"/>
          <w:lang w:val="sq-AL"/>
        </w:rPr>
        <w:t xml:space="preserve"> </w:t>
      </w:r>
      <w:r w:rsidRPr="0013557B">
        <w:rPr>
          <w:spacing w:val="-4"/>
          <w:lang w:val="sq-AL"/>
        </w:rPr>
        <w:t>konsideratë</w:t>
      </w:r>
      <w:r w:rsidRPr="00201949">
        <w:rPr>
          <w:spacing w:val="-4"/>
          <w:sz w:val="18"/>
          <w:lang w:val="sq-AL"/>
        </w:rPr>
        <w:t xml:space="preserve"> </w:t>
      </w:r>
      <w:r w:rsidRPr="0013557B">
        <w:rPr>
          <w:spacing w:val="-4"/>
          <w:lang w:val="sq-AL"/>
        </w:rPr>
        <w:t>zhvillimin</w:t>
      </w:r>
      <w:r w:rsidRPr="00201949">
        <w:rPr>
          <w:spacing w:val="-4"/>
          <w:sz w:val="18"/>
          <w:lang w:val="sq-AL"/>
        </w:rPr>
        <w:t xml:space="preserve"> </w:t>
      </w:r>
      <w:r w:rsidRPr="0013557B">
        <w:rPr>
          <w:spacing w:val="-4"/>
          <w:lang w:val="sq-AL"/>
        </w:rPr>
        <w:t>makroekonomik</w:t>
      </w:r>
      <w:r w:rsidRPr="00201949">
        <w:rPr>
          <w:spacing w:val="-4"/>
          <w:sz w:val="18"/>
          <w:lang w:val="sq-AL"/>
        </w:rPr>
        <w:t xml:space="preserve"> </w:t>
      </w:r>
      <w:r w:rsidRPr="0013557B">
        <w:rPr>
          <w:spacing w:val="-4"/>
          <w:lang w:val="sq-AL"/>
        </w:rPr>
        <w:t>dhe</w:t>
      </w:r>
      <w:r w:rsidRPr="00201949">
        <w:rPr>
          <w:spacing w:val="-4"/>
          <w:sz w:val="18"/>
          <w:lang w:val="sq-AL"/>
        </w:rPr>
        <w:t xml:space="preserve"> </w:t>
      </w:r>
      <w:r w:rsidRPr="0013557B">
        <w:rPr>
          <w:spacing w:val="-4"/>
          <w:lang w:val="sq-AL"/>
        </w:rPr>
        <w:t>financiare</w:t>
      </w:r>
      <w:r w:rsidRPr="00201949">
        <w:rPr>
          <w:spacing w:val="-4"/>
          <w:sz w:val="18"/>
          <w:lang w:val="sq-AL"/>
        </w:rPr>
        <w:t xml:space="preserve"> </w:t>
      </w:r>
      <w:r w:rsidRPr="0013557B">
        <w:rPr>
          <w:spacing w:val="-4"/>
          <w:lang w:val="sq-AL"/>
        </w:rPr>
        <w:t>të</w:t>
      </w:r>
      <w:r w:rsidRPr="00201949">
        <w:rPr>
          <w:spacing w:val="-4"/>
          <w:sz w:val="18"/>
          <w:lang w:val="sq-AL"/>
        </w:rPr>
        <w:t xml:space="preserve"> </w:t>
      </w:r>
      <w:r w:rsidRPr="0013557B">
        <w:rPr>
          <w:spacing w:val="-4"/>
          <w:lang w:val="sq-AL"/>
        </w:rPr>
        <w:t>tregjeve.</w:t>
      </w:r>
    </w:p>
    <w:p w:rsidR="008E721E" w:rsidRPr="0013557B" w:rsidRDefault="008E721E" w:rsidP="008E721E">
      <w:pPr>
        <w:pStyle w:val="Paragrafi"/>
        <w:rPr>
          <w:spacing w:val="-4"/>
          <w:lang w:val="sq-AL"/>
        </w:rPr>
      </w:pPr>
      <w:r w:rsidRPr="0013557B">
        <w:rPr>
          <w:spacing w:val="-4"/>
          <w:lang w:val="sq-AL"/>
        </w:rPr>
        <w:t>Në linjë me dispozitat ligjore në fuqi dhe me qëllim rritjen e transparencës dhe parashikueshmërisë,  Strategjia e Menaxhimit të Borxhit përditësohet dhe publikohet çdo vit nga Ministria e Financave, së bashku me objektivat e saj afatmesme dhe detajet lidhur me planin e financimit të vitit korrent.</w:t>
      </w:r>
    </w:p>
    <w:p w:rsidR="008E721E" w:rsidRPr="0013557B" w:rsidRDefault="008E721E" w:rsidP="008E721E">
      <w:pPr>
        <w:pStyle w:val="Paragrafi"/>
        <w:rPr>
          <w:spacing w:val="-4"/>
          <w:lang w:val="sq-AL"/>
        </w:rPr>
      </w:pPr>
      <w:r w:rsidRPr="0013557B">
        <w:rPr>
          <w:spacing w:val="-4"/>
          <w:lang w:val="sq-AL"/>
        </w:rPr>
        <w:t>Strategjia e Menaxhimit të Borxhit Publik 2015-2017 është kryesisht një vazhdimësi e strategjisë paraardhëse 2014-2016.</w:t>
      </w:r>
    </w:p>
    <w:p w:rsidR="008E721E" w:rsidRPr="0013557B" w:rsidRDefault="008E721E" w:rsidP="008E721E">
      <w:pPr>
        <w:pStyle w:val="Paragrafi"/>
        <w:rPr>
          <w:spacing w:val="-4"/>
          <w:lang w:val="sq-AL"/>
        </w:rPr>
      </w:pPr>
      <w:r w:rsidRPr="0013557B">
        <w:rPr>
          <w:spacing w:val="-4"/>
          <w:lang w:val="sq-AL"/>
        </w:rPr>
        <w:t>Një menaxhim i kujdesshëm dhe eficient i borxhit duhet të marrë në konsideratë profilin e maturimeve të instrumenteve të borxhit, si edhe faktorët e riskut me qëllim që të kontribuojë në qëndrueshmërinë e buxhetit dhe  kuadrit makroekonomik.</w:t>
      </w:r>
    </w:p>
    <w:p w:rsidR="008E721E" w:rsidRPr="0013557B" w:rsidRDefault="008E721E" w:rsidP="008E721E">
      <w:pPr>
        <w:pStyle w:val="Paragrafi"/>
        <w:rPr>
          <w:spacing w:val="-4"/>
          <w:lang w:val="sq-AL"/>
        </w:rPr>
      </w:pPr>
      <w:r w:rsidRPr="0013557B">
        <w:rPr>
          <w:spacing w:val="-4"/>
          <w:lang w:val="sq-AL"/>
        </w:rPr>
        <w:t>Gjithashtu, implementimi i një strategjie të mirëfilltë kërkon kordinim me politikat makro-fiskale, politikat monetare, si edhe dialog ndërinstitucional me institucionet qeveritare, të cilat kanë role mbikëqyrëse.</w:t>
      </w:r>
    </w:p>
    <w:p w:rsidR="008E721E" w:rsidRPr="0013557B" w:rsidRDefault="008E721E" w:rsidP="008E721E">
      <w:pPr>
        <w:pStyle w:val="Paragrafi"/>
        <w:rPr>
          <w:spacing w:val="-4"/>
          <w:lang w:val="sq-AL"/>
        </w:rPr>
      </w:pPr>
      <w:r w:rsidRPr="0013557B">
        <w:rPr>
          <w:spacing w:val="-4"/>
          <w:lang w:val="sq-AL"/>
        </w:rPr>
        <w:t>Konsolidimi fiskal gjatë periudhës afatmesme 2015-2017 do të ishte një faktor shumë i rëndësishëm, për sa i përket realizimit me sukses të objektivave të kësaj strategjie.</w:t>
      </w:r>
    </w:p>
    <w:p w:rsidR="008E721E" w:rsidRPr="0013557B" w:rsidRDefault="008E721E" w:rsidP="008E721E">
      <w:pPr>
        <w:pStyle w:val="Paragrafi"/>
        <w:rPr>
          <w:spacing w:val="-4"/>
          <w:lang w:val="sq-AL"/>
        </w:rPr>
      </w:pPr>
      <w:r w:rsidRPr="0013557B">
        <w:rPr>
          <w:spacing w:val="-4"/>
          <w:lang w:val="sq-AL"/>
        </w:rPr>
        <w:t xml:space="preserve">SAMB (2015-2017) është në linjë me kuadrin makro-fiskal 2015-2018 duke marrë në konsideratë të ardhurat dhe shpenzimet e projektuara për këtë periudhë dhe angazhimet ndaj marrëveshjeve më partnerët ndërkombëtarë (FMN, BB, BE). </w:t>
      </w:r>
    </w:p>
    <w:p w:rsidR="008E721E" w:rsidRPr="0013557B" w:rsidRDefault="008E721E" w:rsidP="008E721E">
      <w:pPr>
        <w:pStyle w:val="Paragrafi"/>
        <w:rPr>
          <w:spacing w:val="-4"/>
          <w:lang w:val="sq-AL"/>
        </w:rPr>
      </w:pPr>
      <w:r w:rsidRPr="0013557B">
        <w:rPr>
          <w:spacing w:val="-4"/>
          <w:lang w:val="sq-AL"/>
        </w:rPr>
        <w:t xml:space="preserve">Në vitet në vijim SAMB, së bashku me reformat e tjera që janë ndërmarrë dhe do të ndërmerren nga Qeveria, do të kontribuojë në realizimin e objektivit kryesor të Qeverisë për reduktimin e nivelit të borxhit nën 60% në raport me PBB deri në fund të vitit 2019. Gjithashtu, SAMB nëpërmjet strategjive të financimit, do të synojë përmirësimin e strukturës së borxhit, indikatorëve të riskut, si edhe rritjen e qëndrueshmërisë së borxhit. Kjo do të mund të realizohet duke i dhënë frymëmarrje tregut vendas nëpërmjet shfrytëzimit të oportuniteteve që ofrojnë tregjet e huaja. Në këtë kontekst, gjatë vitit 2015 do të synohet që financimi të plotësohet në tregjet e huaja nëpërmjet instrumenteve me afat të gjatë maturimi, duke i dhënë mundësi sektorit bankar të ristrukturojë portofolin në kuadër të uljes së ekspozimit ndaj borxhit sovran dhe në të njëjtën kohë të zgjatet maturiteti i borxhit.  Gjithashtu, do të menaxhohet që në tregun e brendshëm çdo vit të emetohen shuma të konsiderueshme kryesisht drejt instrumenteve financiarë afatgjatë me qëllim krijimin e bench markeve dhe tregtimin e tyre edhe në tregjet sekondare. </w:t>
      </w:r>
    </w:p>
    <w:p w:rsidR="008E721E" w:rsidRPr="0013557B" w:rsidRDefault="008E721E" w:rsidP="008E721E">
      <w:pPr>
        <w:pStyle w:val="Paragrafi"/>
        <w:rPr>
          <w:spacing w:val="-4"/>
          <w:lang w:val="sq-AL"/>
        </w:rPr>
      </w:pPr>
      <w:r w:rsidRPr="0013557B">
        <w:rPr>
          <w:spacing w:val="-4"/>
          <w:lang w:val="sq-AL"/>
        </w:rPr>
        <w:t xml:space="preserve">SAMB për periudhën 2015-2017 krahas strategjisë bazë, ka hartuar edhe tri strategji alternative me qëllim marrjen në konsideratë të çdo eventualiteti të mundshëm, kryesisht në tregjet ndërkombëtare. </w:t>
      </w:r>
    </w:p>
    <w:p w:rsidR="008E721E" w:rsidRPr="0013557B" w:rsidRDefault="008E721E" w:rsidP="008E721E">
      <w:pPr>
        <w:pStyle w:val="Paragrafi"/>
        <w:rPr>
          <w:b/>
          <w:spacing w:val="-4"/>
          <w:lang w:val="sq-AL"/>
        </w:rPr>
      </w:pPr>
      <w:r w:rsidRPr="0013557B">
        <w:rPr>
          <w:b/>
          <w:spacing w:val="-4"/>
          <w:lang w:val="sq-AL"/>
        </w:rPr>
        <w:t>2  Objektivat e menaxhimit të borxhit</w:t>
      </w:r>
    </w:p>
    <w:p w:rsidR="008E721E" w:rsidRPr="0013557B" w:rsidRDefault="008E721E" w:rsidP="008E721E">
      <w:pPr>
        <w:pStyle w:val="Paragrafi"/>
        <w:rPr>
          <w:spacing w:val="-4"/>
          <w:lang w:val="sq-AL"/>
        </w:rPr>
      </w:pPr>
      <w:r w:rsidRPr="0013557B">
        <w:rPr>
          <w:spacing w:val="-4"/>
          <w:lang w:val="sq-AL"/>
        </w:rPr>
        <w:t>Objektivat e përgjithshëm të menaxhimit të borxhit të Qeverisë janë si më poshtë:</w:t>
      </w:r>
    </w:p>
    <w:p w:rsidR="008E721E" w:rsidRPr="0013557B" w:rsidRDefault="008E721E" w:rsidP="008E721E">
      <w:pPr>
        <w:pStyle w:val="Paragrafi"/>
        <w:rPr>
          <w:spacing w:val="-4"/>
          <w:lang w:val="sq-AL"/>
        </w:rPr>
      </w:pPr>
      <w:r w:rsidRPr="0013557B">
        <w:rPr>
          <w:spacing w:val="-4"/>
          <w:lang w:val="sq-AL"/>
        </w:rPr>
        <w:t>1. Gjatë periudhës afatmesme dhe afatgjatë, të sigurojë nevojat për financim dhe obligimet e tjera financiare me koston më të ulët të mundshme kundrejt një shkalle risku të pranueshëm.</w:t>
      </w:r>
    </w:p>
    <w:p w:rsidR="008E721E" w:rsidRPr="0013557B" w:rsidRDefault="008E721E" w:rsidP="008E721E">
      <w:pPr>
        <w:pStyle w:val="Paragrafi"/>
        <w:rPr>
          <w:spacing w:val="-4"/>
          <w:lang w:val="sq-AL"/>
        </w:rPr>
      </w:pPr>
      <w:r w:rsidRPr="0013557B">
        <w:rPr>
          <w:spacing w:val="-4"/>
          <w:lang w:val="sq-AL"/>
        </w:rPr>
        <w:t>2. Të krijojë një profil të qëndrueshëm të shërbimit të borxhit, në përputhje me kapacitet shlyese të Qeverisë.</w:t>
      </w:r>
    </w:p>
    <w:p w:rsidR="008E721E" w:rsidRPr="0013557B" w:rsidRDefault="008E721E" w:rsidP="008E721E">
      <w:pPr>
        <w:pStyle w:val="Paragrafi"/>
        <w:rPr>
          <w:spacing w:val="-4"/>
          <w:lang w:val="sq-AL"/>
        </w:rPr>
      </w:pPr>
      <w:r w:rsidRPr="0013557B">
        <w:rPr>
          <w:spacing w:val="-4"/>
          <w:lang w:val="sq-AL"/>
        </w:rPr>
        <w:t>3. Të promovojë dhe të zhvillojë tregun primar dhe sekondar të instrumenteve financiare shtetërore.</w:t>
      </w:r>
    </w:p>
    <w:p w:rsidR="008E721E" w:rsidRPr="0013557B" w:rsidRDefault="008E721E" w:rsidP="008E721E">
      <w:pPr>
        <w:pStyle w:val="Paragrafi"/>
        <w:rPr>
          <w:spacing w:val="-4"/>
          <w:lang w:val="sq-AL"/>
        </w:rPr>
      </w:pPr>
      <w:r w:rsidRPr="0013557B">
        <w:rPr>
          <w:spacing w:val="-4"/>
          <w:lang w:val="sq-AL"/>
        </w:rPr>
        <w:t>4. Të zgjerojë bazën e investitorëve dhe të diversifikojë burimet e financimit.</w:t>
      </w:r>
    </w:p>
    <w:p w:rsidR="008E721E" w:rsidRPr="0013557B" w:rsidRDefault="008E721E" w:rsidP="008E721E">
      <w:pPr>
        <w:pStyle w:val="Paragrafi"/>
        <w:rPr>
          <w:b/>
          <w:spacing w:val="-4"/>
          <w:lang w:val="sq-AL"/>
        </w:rPr>
      </w:pPr>
      <w:r w:rsidRPr="0013557B">
        <w:rPr>
          <w:b/>
          <w:spacing w:val="-4"/>
          <w:lang w:val="sq-AL"/>
        </w:rPr>
        <w:t xml:space="preserve">2.1    Qëllimi i SAMB    </w:t>
      </w:r>
    </w:p>
    <w:p w:rsidR="008E721E" w:rsidRPr="0013557B" w:rsidRDefault="008E721E" w:rsidP="008E721E">
      <w:pPr>
        <w:pStyle w:val="Paragrafi"/>
        <w:rPr>
          <w:spacing w:val="-4"/>
          <w:lang w:val="sq-AL"/>
        </w:rPr>
      </w:pPr>
      <w:r w:rsidRPr="0013557B">
        <w:rPr>
          <w:spacing w:val="-4"/>
          <w:lang w:val="sq-AL"/>
        </w:rPr>
        <w:t>Qëllimi i SAMB është që të formulojë një politikë të qartë të menaxhimit të borxhit, të paraqesë objektiva sasiorë dhe gjithashtu të zhvillojë mjete analitike për të identifikuar, monitoruar dhe zbutur risqet e portofolit.</w:t>
      </w:r>
    </w:p>
    <w:p w:rsidR="008E721E" w:rsidRPr="0013557B" w:rsidRDefault="008E721E" w:rsidP="008E721E">
      <w:pPr>
        <w:pStyle w:val="Paragrafi"/>
        <w:rPr>
          <w:spacing w:val="-4"/>
          <w:lang w:val="sq-AL"/>
        </w:rPr>
      </w:pPr>
      <w:r w:rsidRPr="0013557B">
        <w:rPr>
          <w:spacing w:val="-4"/>
          <w:lang w:val="sq-AL"/>
        </w:rPr>
        <w:t>SAMB ofron një kuadër politikash për ndërmarrjen e operacioneve të menaxhimit të detyrimeve, me qëllim minimizimin e kostos së shërbimit të borxhit kundrejt një shkalle të pranueshme risku.</w:t>
      </w:r>
    </w:p>
    <w:p w:rsidR="008E721E" w:rsidRPr="0013557B" w:rsidRDefault="008E721E" w:rsidP="008E721E">
      <w:pPr>
        <w:pStyle w:val="Paragrafi"/>
        <w:rPr>
          <w:b/>
          <w:spacing w:val="-4"/>
          <w:lang w:val="sq-AL"/>
        </w:rPr>
      </w:pPr>
      <w:r w:rsidRPr="0013557B">
        <w:rPr>
          <w:b/>
          <w:spacing w:val="-4"/>
          <w:lang w:val="sq-AL"/>
        </w:rPr>
        <w:t>3. Zhvillimet e borxhit publik</w:t>
      </w:r>
    </w:p>
    <w:p w:rsidR="008E721E" w:rsidRPr="0013557B" w:rsidRDefault="008E721E" w:rsidP="008E721E">
      <w:pPr>
        <w:pStyle w:val="Paragrafi"/>
        <w:rPr>
          <w:spacing w:val="-4"/>
          <w:lang w:val="sq-AL"/>
        </w:rPr>
      </w:pPr>
      <w:r w:rsidRPr="0013557B">
        <w:rPr>
          <w:spacing w:val="-4"/>
          <w:lang w:val="sq-AL"/>
        </w:rPr>
        <w:t>3.1    Ecuria e stokut të borxhit dhe realizimi i huamarrjes</w:t>
      </w:r>
    </w:p>
    <w:p w:rsidR="008E721E" w:rsidRPr="0013557B" w:rsidRDefault="008E721E" w:rsidP="008E721E">
      <w:pPr>
        <w:pStyle w:val="Paragrafi"/>
        <w:rPr>
          <w:spacing w:val="-4"/>
          <w:lang w:val="sq-AL"/>
        </w:rPr>
      </w:pPr>
      <w:r w:rsidRPr="0013557B">
        <w:rPr>
          <w:spacing w:val="-4"/>
          <w:lang w:val="sq-AL"/>
        </w:rPr>
        <w:t xml:space="preserve">Borxhi publik i Qeverisë Qendrore në fund të muajit shtator 2014 vlerësohet të jetë 960,801 milionë lekë ose 67.95% e PBB. </w:t>
      </w:r>
    </w:p>
    <w:p w:rsidR="008E721E" w:rsidRDefault="008E721E" w:rsidP="008E721E">
      <w:pPr>
        <w:pStyle w:val="Paragrafi"/>
        <w:jc w:val="left"/>
        <w:rPr>
          <w:lang w:val="sq-AL"/>
        </w:rPr>
      </w:pPr>
      <w:r w:rsidRPr="0013557B">
        <w:rPr>
          <w:spacing w:val="-4"/>
          <w:lang w:val="sq-AL"/>
        </w:rPr>
        <w:t xml:space="preserve">Borxhi i brendshëm dhe i jashtëm janë vlerësuar përkatësisht 39.25% dhe 28.70% e PBB. Ndërkohë, borxhi deri në fund të vitit 2014 </w:t>
      </w:r>
      <w:r w:rsidRPr="00FF4234">
        <w:rPr>
          <w:lang w:val="sq-AL"/>
        </w:rPr>
        <w:t xml:space="preserve">pritet që të arrijë në nivelin 69.06% ose 71.64% në raport me PBB-në, duke marrë në konsideratë edhe detyrimet e prapambetura. Peshën më të madhe për sa i përket rritjes do ta ketë borxhi i jashtëm </w:t>
      </w:r>
      <w:r>
        <w:rPr>
          <w:lang w:val="sq-AL"/>
        </w:rPr>
        <w:t>.</w:t>
      </w:r>
    </w:p>
    <w:p w:rsidR="008E721E" w:rsidRDefault="008E721E" w:rsidP="008E721E">
      <w:pPr>
        <w:pStyle w:val="Paragrafi"/>
        <w:ind w:firstLine="0"/>
        <w:rPr>
          <w:lang w:val="sq-AL"/>
        </w:rPr>
        <w:sectPr w:rsidR="008E721E" w:rsidSect="00913CB4">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565"/>
          <w:cols w:space="454"/>
          <w:docGrid w:linePitch="360"/>
        </w:sectPr>
      </w:pPr>
    </w:p>
    <w:p w:rsidR="008E721E" w:rsidRDefault="008E721E" w:rsidP="008E721E">
      <w:pPr>
        <w:pStyle w:val="Paragrafi"/>
        <w:ind w:firstLine="0"/>
        <w:rPr>
          <w:lang w:val="sq-AL"/>
        </w:rPr>
      </w:pPr>
    </w:p>
    <w:p w:rsidR="008E721E" w:rsidRPr="00FF4234" w:rsidRDefault="008E721E" w:rsidP="008E721E">
      <w:pPr>
        <w:pStyle w:val="Paragrafi"/>
        <w:rPr>
          <w:lang w:val="sq-AL"/>
        </w:rPr>
      </w:pPr>
      <w:r w:rsidRPr="00FF4234">
        <w:rPr>
          <w:lang w:val="sq-AL"/>
        </w:rPr>
        <w:t>Tabela 1: Ecuria e stokut të borxhit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1125"/>
        <w:gridCol w:w="1133"/>
        <w:gridCol w:w="1131"/>
        <w:gridCol w:w="1133"/>
        <w:gridCol w:w="1131"/>
        <w:gridCol w:w="1382"/>
      </w:tblGrid>
      <w:tr w:rsidR="008E721E" w:rsidRPr="00FF4234" w:rsidTr="00186FF8">
        <w:trPr>
          <w:trHeight w:val="495"/>
        </w:trPr>
        <w:tc>
          <w:tcPr>
            <w:tcW w:w="1430" w:type="pct"/>
            <w:shd w:val="clear" w:color="auto" w:fill="C0C0C0"/>
            <w:noWrap/>
            <w:vAlign w:val="bottom"/>
          </w:tcPr>
          <w:p w:rsidR="008E721E" w:rsidRPr="001636DA" w:rsidRDefault="008E721E" w:rsidP="00186FF8">
            <w:pPr>
              <w:pStyle w:val="Paragrafi"/>
              <w:ind w:firstLine="0"/>
              <w:rPr>
                <w:b/>
                <w:sz w:val="20"/>
                <w:szCs w:val="20"/>
                <w:lang w:val="sq-AL"/>
              </w:rPr>
            </w:pPr>
            <w:r w:rsidRPr="001636DA">
              <w:rPr>
                <w:b/>
                <w:sz w:val="20"/>
                <w:szCs w:val="20"/>
                <w:lang w:val="sq-AL"/>
              </w:rPr>
              <w:t>Në milion LEK</w:t>
            </w:r>
          </w:p>
        </w:tc>
        <w:tc>
          <w:tcPr>
            <w:tcW w:w="571" w:type="pct"/>
            <w:shd w:val="clear" w:color="auto" w:fill="C0C0C0"/>
            <w:noWrap/>
            <w:vAlign w:val="bottom"/>
          </w:tcPr>
          <w:p w:rsidR="008E721E" w:rsidRPr="001636DA" w:rsidRDefault="008E721E" w:rsidP="00186FF8">
            <w:pPr>
              <w:pStyle w:val="Paragrafi"/>
              <w:ind w:firstLine="0"/>
              <w:rPr>
                <w:b/>
                <w:sz w:val="20"/>
                <w:szCs w:val="20"/>
                <w:lang w:val="sq-AL"/>
              </w:rPr>
            </w:pPr>
            <w:r w:rsidRPr="001636DA">
              <w:rPr>
                <w:b/>
                <w:sz w:val="20"/>
                <w:szCs w:val="20"/>
                <w:lang w:val="sq-AL"/>
              </w:rPr>
              <w:t>2010</w:t>
            </w:r>
          </w:p>
        </w:tc>
        <w:tc>
          <w:tcPr>
            <w:tcW w:w="575" w:type="pct"/>
            <w:shd w:val="clear" w:color="auto" w:fill="C0C0C0"/>
            <w:noWrap/>
            <w:vAlign w:val="bottom"/>
          </w:tcPr>
          <w:p w:rsidR="008E721E" w:rsidRPr="001636DA" w:rsidRDefault="008E721E" w:rsidP="00186FF8">
            <w:pPr>
              <w:pStyle w:val="Paragrafi"/>
              <w:ind w:firstLine="0"/>
              <w:rPr>
                <w:b/>
                <w:sz w:val="20"/>
                <w:szCs w:val="20"/>
                <w:lang w:val="sq-AL"/>
              </w:rPr>
            </w:pPr>
            <w:r w:rsidRPr="001636DA">
              <w:rPr>
                <w:b/>
                <w:sz w:val="20"/>
                <w:szCs w:val="20"/>
                <w:lang w:val="sq-AL"/>
              </w:rPr>
              <w:t>2011</w:t>
            </w:r>
          </w:p>
        </w:tc>
        <w:tc>
          <w:tcPr>
            <w:tcW w:w="574" w:type="pct"/>
            <w:shd w:val="clear" w:color="auto" w:fill="C0C0C0"/>
            <w:noWrap/>
            <w:vAlign w:val="bottom"/>
          </w:tcPr>
          <w:p w:rsidR="008E721E" w:rsidRPr="001636DA" w:rsidRDefault="008E721E" w:rsidP="00186FF8">
            <w:pPr>
              <w:pStyle w:val="Paragrafi"/>
              <w:ind w:firstLine="0"/>
              <w:rPr>
                <w:b/>
                <w:sz w:val="20"/>
                <w:szCs w:val="20"/>
                <w:lang w:val="sq-AL"/>
              </w:rPr>
            </w:pPr>
            <w:r w:rsidRPr="001636DA">
              <w:rPr>
                <w:b/>
                <w:sz w:val="20"/>
                <w:szCs w:val="20"/>
                <w:lang w:val="sq-AL"/>
              </w:rPr>
              <w:t>2012</w:t>
            </w:r>
          </w:p>
        </w:tc>
        <w:tc>
          <w:tcPr>
            <w:tcW w:w="575" w:type="pct"/>
            <w:shd w:val="clear" w:color="auto" w:fill="C0C0C0"/>
            <w:noWrap/>
            <w:vAlign w:val="bottom"/>
          </w:tcPr>
          <w:p w:rsidR="008E721E" w:rsidRPr="001636DA" w:rsidRDefault="008E721E" w:rsidP="00186FF8">
            <w:pPr>
              <w:pStyle w:val="Paragrafi"/>
              <w:ind w:firstLine="0"/>
              <w:rPr>
                <w:b/>
                <w:sz w:val="20"/>
                <w:szCs w:val="20"/>
                <w:lang w:val="sq-AL"/>
              </w:rPr>
            </w:pPr>
            <w:r w:rsidRPr="001636DA">
              <w:rPr>
                <w:b/>
                <w:sz w:val="20"/>
                <w:szCs w:val="20"/>
                <w:lang w:val="sq-AL"/>
              </w:rPr>
              <w:t>2013</w:t>
            </w:r>
          </w:p>
        </w:tc>
        <w:tc>
          <w:tcPr>
            <w:tcW w:w="574" w:type="pct"/>
            <w:shd w:val="clear" w:color="auto" w:fill="C0C0C0"/>
            <w:vAlign w:val="bottom"/>
          </w:tcPr>
          <w:p w:rsidR="008E721E" w:rsidRPr="001636DA" w:rsidRDefault="008E721E" w:rsidP="00186FF8">
            <w:pPr>
              <w:pStyle w:val="Paragrafi"/>
              <w:ind w:firstLine="0"/>
              <w:rPr>
                <w:b/>
                <w:sz w:val="20"/>
                <w:szCs w:val="20"/>
                <w:lang w:val="sq-AL"/>
              </w:rPr>
            </w:pPr>
            <w:r w:rsidRPr="001636DA">
              <w:rPr>
                <w:b/>
                <w:sz w:val="20"/>
                <w:szCs w:val="20"/>
                <w:lang w:val="sq-AL"/>
              </w:rPr>
              <w:t>Shtator     2014</w:t>
            </w:r>
          </w:p>
        </w:tc>
        <w:tc>
          <w:tcPr>
            <w:tcW w:w="702" w:type="pct"/>
            <w:shd w:val="clear" w:color="auto" w:fill="C0C0C0"/>
            <w:vAlign w:val="bottom"/>
          </w:tcPr>
          <w:p w:rsidR="008E721E" w:rsidRPr="001636DA" w:rsidRDefault="008E721E" w:rsidP="00186FF8">
            <w:pPr>
              <w:pStyle w:val="Paragrafi"/>
              <w:ind w:firstLine="0"/>
              <w:rPr>
                <w:b/>
                <w:sz w:val="20"/>
                <w:szCs w:val="20"/>
                <w:lang w:val="sq-AL"/>
              </w:rPr>
            </w:pPr>
            <w:r w:rsidRPr="001636DA">
              <w:rPr>
                <w:b/>
                <w:sz w:val="20"/>
                <w:szCs w:val="20"/>
                <w:lang w:val="sq-AL"/>
              </w:rPr>
              <w:t>Dhjetor 2014  (vlerësim)</w:t>
            </w:r>
          </w:p>
        </w:tc>
      </w:tr>
      <w:tr w:rsidR="008E721E" w:rsidRPr="00FF4234" w:rsidTr="00186FF8">
        <w:trPr>
          <w:trHeight w:val="270"/>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Stoku </w:t>
            </w:r>
            <w:r>
              <w:rPr>
                <w:sz w:val="20"/>
                <w:szCs w:val="20"/>
                <w:lang w:val="sq-AL"/>
              </w:rPr>
              <w:t xml:space="preserve">i </w:t>
            </w:r>
            <w:r w:rsidRPr="00FF4234">
              <w:rPr>
                <w:sz w:val="20"/>
                <w:szCs w:val="20"/>
                <w:lang w:val="sq-AL"/>
              </w:rPr>
              <w:t>Borxhit</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715,371.01</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772,516.93</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827,980.79</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884,692.28</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960,801.24</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976,472.00</w:t>
            </w:r>
          </w:p>
        </w:tc>
      </w:tr>
      <w:tr w:rsidR="008E721E" w:rsidRPr="00FF4234" w:rsidTr="00186FF8">
        <w:trPr>
          <w:trHeight w:val="255"/>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  I.</w:t>
            </w:r>
            <w:r>
              <w:rPr>
                <w:sz w:val="20"/>
                <w:szCs w:val="20"/>
                <w:lang w:val="sq-AL"/>
              </w:rPr>
              <w:t xml:space="preserve"> </w:t>
            </w:r>
            <w:r w:rsidRPr="00FF4234">
              <w:rPr>
                <w:sz w:val="20"/>
                <w:szCs w:val="20"/>
                <w:lang w:val="sq-AL"/>
              </w:rPr>
              <w:t xml:space="preserve">Stoku </w:t>
            </w:r>
            <w:r>
              <w:rPr>
                <w:sz w:val="20"/>
                <w:szCs w:val="20"/>
                <w:lang w:val="sq-AL"/>
              </w:rPr>
              <w:t xml:space="preserve">i </w:t>
            </w:r>
            <w:r w:rsidRPr="00FF4234">
              <w:rPr>
                <w:sz w:val="20"/>
                <w:szCs w:val="20"/>
                <w:lang w:val="sq-AL"/>
              </w:rPr>
              <w:t>Borxhit Brendshëm</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407,371.80</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438,582.00</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470,358.47</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520,786.36</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554,934.19</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564,674.00</w:t>
            </w:r>
          </w:p>
        </w:tc>
      </w:tr>
      <w:tr w:rsidR="008E721E" w:rsidRPr="00FF4234" w:rsidTr="00186FF8">
        <w:trPr>
          <w:trHeight w:val="255"/>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     -shtetëror</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401,821.00</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429,924.80</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454,695.37</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500,868.36</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533,820.35</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538,641.00</w:t>
            </w:r>
          </w:p>
        </w:tc>
      </w:tr>
      <w:tr w:rsidR="008E721E" w:rsidRPr="00FF4234" w:rsidTr="00186FF8">
        <w:trPr>
          <w:trHeight w:val="255"/>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     -garantuar</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5,550.80</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8,657.20</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15,663.10</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19,918.00</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21,113.84</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26,033.00</w:t>
            </w:r>
          </w:p>
        </w:tc>
      </w:tr>
      <w:tr w:rsidR="008E721E" w:rsidRPr="00FF4234" w:rsidTr="00186FF8">
        <w:trPr>
          <w:trHeight w:val="255"/>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II. Stoku </w:t>
            </w:r>
            <w:r>
              <w:rPr>
                <w:sz w:val="20"/>
                <w:szCs w:val="20"/>
                <w:lang w:val="sq-AL"/>
              </w:rPr>
              <w:t xml:space="preserve">i </w:t>
            </w:r>
            <w:r w:rsidRPr="00FF4234">
              <w:rPr>
                <w:sz w:val="20"/>
                <w:szCs w:val="20"/>
                <w:lang w:val="sq-AL"/>
              </w:rPr>
              <w:t>borxhit jashtëm</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307,999.21</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333,934.93</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357,622.32</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363,905.92</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405,867.05</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411,798.00</w:t>
            </w:r>
          </w:p>
        </w:tc>
      </w:tr>
      <w:tr w:rsidR="008E721E" w:rsidRPr="00FF4234" w:rsidTr="00186FF8">
        <w:trPr>
          <w:trHeight w:val="255"/>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     -shtetëror</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268,124.46</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294,275.97</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319,832.52</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332,499.72</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376,267.73</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383,291.00</w:t>
            </w:r>
          </w:p>
        </w:tc>
      </w:tr>
      <w:tr w:rsidR="008E721E" w:rsidRPr="00FF4234" w:rsidTr="00186FF8">
        <w:trPr>
          <w:trHeight w:val="255"/>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     -garantuar</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39,874.75</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39,658.96</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37,789.80</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31,406.20</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29,599.33</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28,507.00</w:t>
            </w:r>
          </w:p>
        </w:tc>
      </w:tr>
      <w:tr w:rsidR="008E721E" w:rsidRPr="00FF4234" w:rsidTr="00186FF8">
        <w:trPr>
          <w:trHeight w:val="255"/>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PBB</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1,239,645</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1,300,624</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1,335,488</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1,364,782</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1,413,931</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1,413,931</w:t>
            </w:r>
          </w:p>
        </w:tc>
      </w:tr>
      <w:tr w:rsidR="008E721E" w:rsidRPr="00FF4234" w:rsidTr="00186FF8">
        <w:trPr>
          <w:trHeight w:val="255"/>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Stoku </w:t>
            </w:r>
            <w:r>
              <w:rPr>
                <w:sz w:val="20"/>
                <w:szCs w:val="20"/>
                <w:lang w:val="sq-AL"/>
              </w:rPr>
              <w:t xml:space="preserve">i </w:t>
            </w:r>
            <w:r w:rsidRPr="00FF4234">
              <w:rPr>
                <w:sz w:val="20"/>
                <w:szCs w:val="20"/>
                <w:lang w:val="sq-AL"/>
              </w:rPr>
              <w:t>borxhit gjithsej/PBB</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57.71%</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59.40%</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62.00%</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64.82%</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67.95%</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69.06%</w:t>
            </w:r>
          </w:p>
        </w:tc>
      </w:tr>
      <w:tr w:rsidR="008E721E" w:rsidRPr="00FF4234" w:rsidTr="00186FF8">
        <w:trPr>
          <w:trHeight w:val="255"/>
        </w:trPr>
        <w:tc>
          <w:tcPr>
            <w:tcW w:w="1430" w:type="pct"/>
            <w:shd w:val="clear" w:color="auto" w:fill="auto"/>
            <w:noWrap/>
            <w:vAlign w:val="bottom"/>
          </w:tcPr>
          <w:p w:rsidR="008E721E" w:rsidRPr="005C58D1" w:rsidRDefault="008E721E" w:rsidP="00186FF8">
            <w:pPr>
              <w:pStyle w:val="Paragrafi"/>
              <w:ind w:firstLine="0"/>
              <w:rPr>
                <w:spacing w:val="-4"/>
                <w:sz w:val="20"/>
                <w:szCs w:val="20"/>
                <w:lang w:val="sq-AL"/>
              </w:rPr>
            </w:pPr>
            <w:r w:rsidRPr="005C58D1">
              <w:rPr>
                <w:spacing w:val="-4"/>
                <w:sz w:val="20"/>
                <w:szCs w:val="20"/>
                <w:lang w:val="sq-AL"/>
              </w:rPr>
              <w:t>Stoku i borxhit të brendshëm/PBB</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32.86%</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33.72%</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35.22%</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38.16%</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39.25%</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39.94%</w:t>
            </w:r>
          </w:p>
        </w:tc>
      </w:tr>
      <w:tr w:rsidR="008E721E" w:rsidRPr="00FF4234" w:rsidTr="00186FF8">
        <w:trPr>
          <w:trHeight w:val="255"/>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Stoku </w:t>
            </w:r>
            <w:r>
              <w:rPr>
                <w:sz w:val="20"/>
                <w:szCs w:val="20"/>
                <w:lang w:val="sq-AL"/>
              </w:rPr>
              <w:t xml:space="preserve">i </w:t>
            </w:r>
            <w:r w:rsidRPr="00FF4234">
              <w:rPr>
                <w:sz w:val="20"/>
                <w:szCs w:val="20"/>
                <w:lang w:val="sq-AL"/>
              </w:rPr>
              <w:t xml:space="preserve">borxhit </w:t>
            </w:r>
            <w:r>
              <w:rPr>
                <w:sz w:val="20"/>
                <w:szCs w:val="20"/>
                <w:lang w:val="sq-AL"/>
              </w:rPr>
              <w:t xml:space="preserve">të </w:t>
            </w:r>
            <w:r w:rsidRPr="00FF4234">
              <w:rPr>
                <w:sz w:val="20"/>
                <w:szCs w:val="20"/>
                <w:lang w:val="sq-AL"/>
              </w:rPr>
              <w:t>jashtëm/PBB</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24.85%</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25.67%</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26.78%</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26.66%</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28.70%</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29.12%</w:t>
            </w:r>
          </w:p>
        </w:tc>
      </w:tr>
      <w:tr w:rsidR="008E721E" w:rsidRPr="00FF4234" w:rsidTr="00186FF8">
        <w:trPr>
          <w:trHeight w:val="270"/>
        </w:trPr>
        <w:tc>
          <w:tcPr>
            <w:tcW w:w="1430"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Stoku </w:t>
            </w:r>
            <w:r>
              <w:rPr>
                <w:sz w:val="20"/>
                <w:szCs w:val="20"/>
                <w:lang w:val="sq-AL"/>
              </w:rPr>
              <w:t xml:space="preserve">i </w:t>
            </w:r>
            <w:r w:rsidRPr="00FF4234">
              <w:rPr>
                <w:sz w:val="20"/>
                <w:szCs w:val="20"/>
                <w:lang w:val="sq-AL"/>
              </w:rPr>
              <w:t>borxhit gjithsej +  Arrears/PBB</w:t>
            </w:r>
          </w:p>
        </w:tc>
        <w:tc>
          <w:tcPr>
            <w:tcW w:w="571"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575"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70.06%</w:t>
            </w:r>
          </w:p>
        </w:tc>
        <w:tc>
          <w:tcPr>
            <w:tcW w:w="574"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71.18%</w:t>
            </w:r>
          </w:p>
        </w:tc>
        <w:tc>
          <w:tcPr>
            <w:tcW w:w="702" w:type="pct"/>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71.64%</w:t>
            </w:r>
          </w:p>
        </w:tc>
      </w:tr>
    </w:tbl>
    <w:p w:rsidR="008E721E" w:rsidRPr="00FF4234" w:rsidRDefault="008E721E" w:rsidP="008E721E">
      <w:pPr>
        <w:pStyle w:val="Paragrafi"/>
        <w:ind w:firstLine="0"/>
        <w:rPr>
          <w:lang w:val="sq-AL"/>
        </w:rPr>
      </w:pPr>
    </w:p>
    <w:p w:rsidR="008E721E" w:rsidRPr="00FF4234" w:rsidRDefault="008E721E" w:rsidP="008E721E">
      <w:pPr>
        <w:pStyle w:val="Paragrafi"/>
        <w:rPr>
          <w:lang w:val="sq-AL"/>
        </w:rPr>
      </w:pPr>
      <w:r w:rsidRPr="00FF4234">
        <w:rPr>
          <w:noProof/>
        </w:rPr>
        <w:drawing>
          <wp:inline distT="0" distB="0" distL="0" distR="0" wp14:anchorId="7B6C6929" wp14:editId="090B5078">
            <wp:extent cx="2862580" cy="2870200"/>
            <wp:effectExtent l="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2862580" cy="2870200"/>
                    </a:xfrm>
                    <a:prstGeom prst="rect">
                      <a:avLst/>
                    </a:prstGeom>
                    <a:noFill/>
                    <a:ln w="9525">
                      <a:noFill/>
                      <a:miter lim="800000"/>
                      <a:headEnd/>
                      <a:tailEnd/>
                    </a:ln>
                  </pic:spPr>
                </pic:pic>
              </a:graphicData>
            </a:graphic>
          </wp:inline>
        </w:drawing>
      </w:r>
      <w:r w:rsidRPr="00FF4234">
        <w:rPr>
          <w:lang w:val="sq-AL"/>
        </w:rPr>
        <w:t xml:space="preserve"> </w:t>
      </w:r>
      <w:r w:rsidRPr="00FF4234">
        <w:rPr>
          <w:noProof/>
        </w:rPr>
        <w:drawing>
          <wp:inline distT="0" distB="0" distL="0" distR="0" wp14:anchorId="121AC7C4" wp14:editId="286E5836">
            <wp:extent cx="2926080" cy="2743200"/>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926080" cy="2743200"/>
                    </a:xfrm>
                    <a:prstGeom prst="rect">
                      <a:avLst/>
                    </a:prstGeom>
                    <a:noFill/>
                    <a:ln w="9525">
                      <a:noFill/>
                      <a:miter lim="800000"/>
                      <a:headEnd/>
                      <a:tailEnd/>
                    </a:ln>
                  </pic:spPr>
                </pic:pic>
              </a:graphicData>
            </a:graphic>
          </wp:inline>
        </w:drawing>
      </w:r>
    </w:p>
    <w:p w:rsidR="008E721E" w:rsidRDefault="008E721E" w:rsidP="008E721E">
      <w:pPr>
        <w:pStyle w:val="Paragrafi"/>
        <w:rPr>
          <w:spacing w:val="-4"/>
          <w:lang w:val="sq-AL"/>
        </w:rPr>
      </w:pPr>
    </w:p>
    <w:p w:rsidR="008E721E" w:rsidRDefault="008E721E" w:rsidP="008E721E">
      <w:pPr>
        <w:pStyle w:val="Paragrafi"/>
        <w:rPr>
          <w:spacing w:val="-4"/>
          <w:lang w:val="sq-AL"/>
        </w:rPr>
        <w:sectPr w:rsidR="008E721E" w:rsidSect="00913CB4">
          <w:type w:val="continuous"/>
          <w:pgSz w:w="11907" w:h="16840" w:code="9"/>
          <w:pgMar w:top="720" w:right="1134" w:bottom="720" w:left="1134" w:header="851" w:footer="851" w:gutter="0"/>
          <w:pgNumType w:start="1587"/>
          <w:cols w:space="720"/>
          <w:docGrid w:linePitch="360"/>
        </w:sectPr>
      </w:pPr>
    </w:p>
    <w:p w:rsidR="008E721E" w:rsidRPr="00574D53" w:rsidRDefault="008E721E" w:rsidP="008E721E">
      <w:pPr>
        <w:pStyle w:val="Paragrafi"/>
        <w:rPr>
          <w:spacing w:val="-4"/>
          <w:lang w:val="sq-AL"/>
        </w:rPr>
      </w:pPr>
      <w:r w:rsidRPr="00574D53">
        <w:rPr>
          <w:spacing w:val="-4"/>
          <w:lang w:val="sq-AL"/>
        </w:rPr>
        <w:lastRenderedPageBreak/>
        <w:t>Nga grafikët e mësipërm vërehet se borxhi gjatë vitit 2014 ka pësuar një rritje të konsiderueshme krahasuar me vitet e mëparshme. Nga 76 miliardë lekë shtesë në fund të shtatorit 2014, rreth 41 miliardë i atribuohen mbulimit të deficitit buxhetor, ndërkohë pjesa tjetër e shtesës ka ardhur si rezultat i mbështetjes buxhetore nga FMN dhe Banka Botërore në kuadër të marrëveshjes për shlyerjen e detyrimeve të prapambetura.</w:t>
      </w:r>
    </w:p>
    <w:p w:rsidR="008E721E" w:rsidRPr="00574D53" w:rsidRDefault="008E721E" w:rsidP="008E721E">
      <w:pPr>
        <w:pStyle w:val="Paragrafi"/>
        <w:rPr>
          <w:spacing w:val="-4"/>
          <w:lang w:val="sq-AL"/>
        </w:rPr>
      </w:pPr>
      <w:r w:rsidRPr="00574D53">
        <w:rPr>
          <w:spacing w:val="-4"/>
          <w:lang w:val="sq-AL"/>
        </w:rPr>
        <w:t xml:space="preserve">Menaxhimi i borxhit, gjatë vitit 2014 ka mundësuar plotësimin e nevojave për huamarrje në tregun vendas. Konkretisht, në fund të muajit shtator huamarrja e brendshme ka rezultuar në 32.95 miliardë lekë ose 72% të totalit të financimit me huamarrje të brendshme të planifikuar për vitin 2014. Ndërkohë, nëse i referohemi rishikimit të buxhetit për vitin 2014, ku nevojat për huamarrje të brendshme u rritën me 5.3 miliardë lekë, realizimi i financimit të brendshëm përllogaritet në nivelin e ri prej 65%. </w:t>
      </w:r>
    </w:p>
    <w:p w:rsidR="008E721E" w:rsidRDefault="008E721E" w:rsidP="008E721E">
      <w:pPr>
        <w:pStyle w:val="Paragrafi"/>
        <w:rPr>
          <w:spacing w:val="-4"/>
          <w:lang w:val="sq-AL"/>
        </w:rPr>
      </w:pPr>
      <w:r w:rsidRPr="00574D53">
        <w:rPr>
          <w:spacing w:val="-4"/>
          <w:lang w:val="sq-AL"/>
        </w:rPr>
        <w:t>Gjatë vitit 2014 rreth 78% e financimit është arritur të realizohet nëpërmjet emetimit të instrumenteve afatgjata. Huamarrja nuk është realizuar plotësisht nëpërmjet instrumenteve afatgjata, për shkak të vështirësive të hasura në treg si për shkak ristrukturimit të portofolit të bankave në kuadër të uljes së ekspozimit ndaj borxhit sovran dhe në veçanti ndaj borxhit me afat të gjatë maturimi</w:t>
      </w:r>
      <w:r>
        <w:rPr>
          <w:spacing w:val="-4"/>
          <w:lang w:val="sq-AL"/>
        </w:rPr>
        <w:t>.</w:t>
      </w:r>
    </w:p>
    <w:p w:rsidR="008E721E" w:rsidRPr="0013557B" w:rsidRDefault="008E721E" w:rsidP="008E721E">
      <w:pPr>
        <w:pStyle w:val="Paragrafi"/>
        <w:ind w:firstLine="0"/>
        <w:rPr>
          <w:spacing w:val="-4"/>
          <w:lang w:val="sq-AL"/>
        </w:rPr>
        <w:sectPr w:rsidR="008E721E" w:rsidRPr="0013557B" w:rsidSect="00913CB4">
          <w:type w:val="continuous"/>
          <w:pgSz w:w="11907" w:h="16840" w:code="9"/>
          <w:pgMar w:top="720" w:right="1134" w:bottom="720" w:left="1134" w:header="851" w:footer="851" w:gutter="0"/>
          <w:pgNumType w:start="1"/>
          <w:cols w:space="720"/>
          <w:docGrid w:linePitch="360"/>
        </w:sectPr>
      </w:pPr>
    </w:p>
    <w:p w:rsidR="008E721E" w:rsidRDefault="008E721E" w:rsidP="008E721E">
      <w:pPr>
        <w:pStyle w:val="Paragrafi"/>
        <w:ind w:firstLine="0"/>
        <w:rPr>
          <w:lang w:val="sq-AL"/>
        </w:rPr>
      </w:pPr>
      <w:r>
        <w:rPr>
          <w:lang w:val="sq-AL"/>
        </w:rPr>
        <w:lastRenderedPageBreak/>
        <w:t xml:space="preserve">        </w:t>
      </w:r>
      <w:r w:rsidRPr="00FF4234">
        <w:rPr>
          <w:lang w:val="sq-AL"/>
        </w:rPr>
        <w:t>Tabela 2: Financimi i deficitit sipas instrumenteve të tregut të brendshëm</w:t>
      </w:r>
    </w:p>
    <w:p w:rsidR="008E721E" w:rsidRPr="00574D53" w:rsidRDefault="008E721E" w:rsidP="008E721E">
      <w:pPr>
        <w:pStyle w:val="Paragrafi"/>
        <w:ind w:firstLine="0"/>
        <w:rPr>
          <w:sz w:val="14"/>
          <w:szCs w:val="14"/>
          <w:lang w:val="sq-AL"/>
        </w:rPr>
      </w:pPr>
    </w:p>
    <w:tbl>
      <w:tblPr>
        <w:tblW w:w="4370" w:type="pct"/>
        <w:jc w:val="center"/>
        <w:tblLook w:val="0000" w:firstRow="0" w:lastRow="0" w:firstColumn="0" w:lastColumn="0" w:noHBand="0" w:noVBand="0"/>
      </w:tblPr>
      <w:tblGrid>
        <w:gridCol w:w="3468"/>
        <w:gridCol w:w="1602"/>
        <w:gridCol w:w="1843"/>
        <w:gridCol w:w="1700"/>
      </w:tblGrid>
      <w:tr w:rsidR="008E721E" w:rsidRPr="00A608A8" w:rsidTr="00186FF8">
        <w:trPr>
          <w:trHeight w:val="270"/>
          <w:jc w:val="center"/>
        </w:trPr>
        <w:tc>
          <w:tcPr>
            <w:tcW w:w="2013" w:type="pct"/>
            <w:tcBorders>
              <w:top w:val="single" w:sz="8" w:space="0" w:color="auto"/>
              <w:left w:val="single" w:sz="8" w:space="0" w:color="auto"/>
              <w:bottom w:val="single" w:sz="8" w:space="0" w:color="auto"/>
              <w:right w:val="nil"/>
            </w:tcBorders>
            <w:shd w:val="clear" w:color="auto" w:fill="C0C0C0"/>
            <w:noWrap/>
            <w:vAlign w:val="bottom"/>
          </w:tcPr>
          <w:p w:rsidR="008E721E" w:rsidRPr="00A608A8" w:rsidRDefault="008E721E" w:rsidP="00186FF8">
            <w:pPr>
              <w:pStyle w:val="Paragrafi"/>
              <w:ind w:firstLine="0"/>
              <w:rPr>
                <w:b/>
                <w:lang w:val="sq-AL"/>
              </w:rPr>
            </w:pPr>
            <w:r w:rsidRPr="00A608A8">
              <w:rPr>
                <w:b/>
                <w:lang w:val="sq-AL"/>
              </w:rPr>
              <w:t>Në milion LEK</w:t>
            </w:r>
          </w:p>
        </w:tc>
        <w:tc>
          <w:tcPr>
            <w:tcW w:w="930" w:type="pct"/>
            <w:tcBorders>
              <w:top w:val="single" w:sz="8" w:space="0" w:color="auto"/>
              <w:left w:val="single" w:sz="8" w:space="0" w:color="auto"/>
              <w:bottom w:val="single" w:sz="8" w:space="0" w:color="auto"/>
              <w:right w:val="single" w:sz="8" w:space="0" w:color="auto"/>
            </w:tcBorders>
            <w:shd w:val="clear" w:color="auto" w:fill="C0C0C0"/>
            <w:noWrap/>
            <w:vAlign w:val="bottom"/>
          </w:tcPr>
          <w:p w:rsidR="008E721E" w:rsidRPr="00A608A8" w:rsidRDefault="008E721E" w:rsidP="00186FF8">
            <w:pPr>
              <w:pStyle w:val="Paragrafi"/>
              <w:ind w:firstLine="0"/>
              <w:rPr>
                <w:b/>
                <w:lang w:val="sq-AL"/>
              </w:rPr>
            </w:pPr>
            <w:r w:rsidRPr="00A608A8">
              <w:rPr>
                <w:b/>
                <w:lang w:val="sq-AL"/>
              </w:rPr>
              <w:t>Mars 2014</w:t>
            </w:r>
          </w:p>
        </w:tc>
        <w:tc>
          <w:tcPr>
            <w:tcW w:w="1070" w:type="pct"/>
            <w:tcBorders>
              <w:top w:val="single" w:sz="8" w:space="0" w:color="auto"/>
              <w:left w:val="nil"/>
              <w:bottom w:val="single" w:sz="8" w:space="0" w:color="auto"/>
              <w:right w:val="nil"/>
            </w:tcBorders>
            <w:shd w:val="clear" w:color="auto" w:fill="C0C0C0"/>
            <w:noWrap/>
            <w:vAlign w:val="bottom"/>
          </w:tcPr>
          <w:p w:rsidR="008E721E" w:rsidRPr="00A608A8" w:rsidRDefault="008E721E" w:rsidP="00186FF8">
            <w:pPr>
              <w:pStyle w:val="Paragrafi"/>
              <w:ind w:firstLine="0"/>
              <w:rPr>
                <w:b/>
                <w:lang w:val="sq-AL"/>
              </w:rPr>
            </w:pPr>
            <w:r w:rsidRPr="00A608A8">
              <w:rPr>
                <w:b/>
                <w:lang w:val="sq-AL"/>
              </w:rPr>
              <w:t>Qershor 2014</w:t>
            </w:r>
          </w:p>
        </w:tc>
        <w:tc>
          <w:tcPr>
            <w:tcW w:w="987" w:type="pct"/>
            <w:tcBorders>
              <w:top w:val="single" w:sz="8" w:space="0" w:color="auto"/>
              <w:left w:val="single" w:sz="8" w:space="0" w:color="auto"/>
              <w:bottom w:val="single" w:sz="8" w:space="0" w:color="auto"/>
              <w:right w:val="single" w:sz="8" w:space="0" w:color="auto"/>
            </w:tcBorders>
            <w:shd w:val="clear" w:color="auto" w:fill="C0C0C0"/>
            <w:noWrap/>
            <w:vAlign w:val="bottom"/>
          </w:tcPr>
          <w:p w:rsidR="008E721E" w:rsidRPr="00A608A8" w:rsidRDefault="008E721E" w:rsidP="00186FF8">
            <w:pPr>
              <w:pStyle w:val="Paragrafi"/>
              <w:ind w:firstLine="0"/>
              <w:rPr>
                <w:b/>
                <w:lang w:val="sq-AL"/>
              </w:rPr>
            </w:pPr>
            <w:r w:rsidRPr="00A608A8">
              <w:rPr>
                <w:b/>
                <w:lang w:val="sq-AL"/>
              </w:rPr>
              <w:t>Shtator 2014</w:t>
            </w:r>
          </w:p>
        </w:tc>
      </w:tr>
      <w:tr w:rsidR="008E721E" w:rsidRPr="00FF4234" w:rsidTr="00186FF8">
        <w:trPr>
          <w:trHeight w:val="270"/>
          <w:jc w:val="center"/>
        </w:trPr>
        <w:tc>
          <w:tcPr>
            <w:tcW w:w="2013" w:type="pct"/>
            <w:tcBorders>
              <w:top w:val="nil"/>
              <w:left w:val="single" w:sz="8" w:space="0" w:color="auto"/>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Financimi i deficitit</w:t>
            </w:r>
          </w:p>
        </w:tc>
        <w:tc>
          <w:tcPr>
            <w:tcW w:w="930" w:type="pct"/>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8,659.80</w:t>
            </w:r>
          </w:p>
        </w:tc>
        <w:tc>
          <w:tcPr>
            <w:tcW w:w="1070" w:type="pct"/>
            <w:tcBorders>
              <w:top w:val="nil"/>
              <w:left w:val="nil"/>
              <w:bottom w:val="single" w:sz="8" w:space="0" w:color="auto"/>
              <w:right w:val="nil"/>
            </w:tcBorders>
            <w:shd w:val="clear" w:color="auto" w:fill="auto"/>
            <w:noWrap/>
            <w:vAlign w:val="bottom"/>
          </w:tcPr>
          <w:p w:rsidR="008E721E" w:rsidRPr="00FF4234" w:rsidRDefault="008E721E" w:rsidP="00186FF8">
            <w:pPr>
              <w:pStyle w:val="Paragrafi"/>
              <w:ind w:firstLine="0"/>
              <w:rPr>
                <w:lang w:val="sq-AL"/>
              </w:rPr>
            </w:pPr>
            <w:r w:rsidRPr="00FF4234">
              <w:rPr>
                <w:lang w:val="sq-AL"/>
              </w:rPr>
              <w:t>21,419.10</w:t>
            </w:r>
          </w:p>
        </w:tc>
        <w:tc>
          <w:tcPr>
            <w:tcW w:w="987" w:type="pct"/>
            <w:tcBorders>
              <w:top w:val="nil"/>
              <w:left w:val="single" w:sz="8" w:space="0" w:color="auto"/>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32,952.71</w:t>
            </w:r>
          </w:p>
        </w:tc>
      </w:tr>
      <w:tr w:rsidR="008E721E" w:rsidRPr="00FF4234" w:rsidTr="00186FF8">
        <w:trPr>
          <w:trHeight w:val="270"/>
          <w:jc w:val="center"/>
        </w:trPr>
        <w:tc>
          <w:tcPr>
            <w:tcW w:w="2013" w:type="pct"/>
            <w:tcBorders>
              <w:top w:val="nil"/>
              <w:left w:val="single" w:sz="8" w:space="0" w:color="auto"/>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Instrumente financiare gjithsej</w:t>
            </w:r>
          </w:p>
        </w:tc>
        <w:tc>
          <w:tcPr>
            <w:tcW w:w="930" w:type="pct"/>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8,659.80</w:t>
            </w:r>
          </w:p>
        </w:tc>
        <w:tc>
          <w:tcPr>
            <w:tcW w:w="1070" w:type="pct"/>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21,419.10</w:t>
            </w:r>
          </w:p>
        </w:tc>
        <w:tc>
          <w:tcPr>
            <w:tcW w:w="987" w:type="pct"/>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32,952.71</w:t>
            </w:r>
          </w:p>
        </w:tc>
      </w:tr>
      <w:tr w:rsidR="008E721E" w:rsidRPr="00FF4234" w:rsidTr="00186FF8">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Bono thesari gjithsej</w:t>
            </w:r>
          </w:p>
        </w:tc>
        <w:tc>
          <w:tcPr>
            <w:tcW w:w="93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2,116.30</w:t>
            </w:r>
          </w:p>
        </w:tc>
        <w:tc>
          <w:tcPr>
            <w:tcW w:w="107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10,413.90</w:t>
            </w:r>
          </w:p>
        </w:tc>
        <w:tc>
          <w:tcPr>
            <w:tcW w:w="987"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7,310.07</w:t>
            </w:r>
          </w:p>
        </w:tc>
      </w:tr>
      <w:tr w:rsidR="008E721E" w:rsidRPr="00FF4234" w:rsidTr="00186FF8">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lastRenderedPageBreak/>
              <w:t>-Bono thesari lekë</w:t>
            </w:r>
          </w:p>
        </w:tc>
        <w:tc>
          <w:tcPr>
            <w:tcW w:w="93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2,116.30</w:t>
            </w:r>
          </w:p>
        </w:tc>
        <w:tc>
          <w:tcPr>
            <w:tcW w:w="107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10,413.90</w:t>
            </w:r>
          </w:p>
        </w:tc>
        <w:tc>
          <w:tcPr>
            <w:tcW w:w="987"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8,550.93</w:t>
            </w:r>
          </w:p>
        </w:tc>
      </w:tr>
      <w:tr w:rsidR="008E721E" w:rsidRPr="00FF4234" w:rsidTr="00186FF8">
        <w:trPr>
          <w:trHeight w:val="270"/>
          <w:jc w:val="center"/>
        </w:trPr>
        <w:tc>
          <w:tcPr>
            <w:tcW w:w="2013" w:type="pct"/>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-Bono thesari euro</w:t>
            </w:r>
          </w:p>
        </w:tc>
        <w:tc>
          <w:tcPr>
            <w:tcW w:w="93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0.00</w:t>
            </w:r>
          </w:p>
        </w:tc>
        <w:tc>
          <w:tcPr>
            <w:tcW w:w="107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0.00</w:t>
            </w:r>
          </w:p>
        </w:tc>
        <w:tc>
          <w:tcPr>
            <w:tcW w:w="987"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-1,240.86</w:t>
            </w:r>
          </w:p>
        </w:tc>
      </w:tr>
      <w:tr w:rsidR="008E721E" w:rsidRPr="00FF4234" w:rsidTr="00186FF8">
        <w:trPr>
          <w:trHeight w:val="255"/>
          <w:jc w:val="center"/>
        </w:trPr>
        <w:tc>
          <w:tcPr>
            <w:tcW w:w="2013" w:type="pct"/>
            <w:tcBorders>
              <w:top w:val="single" w:sz="8" w:space="0" w:color="auto"/>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 xml:space="preserve">Obligacione </w:t>
            </w:r>
            <w:r>
              <w:rPr>
                <w:lang w:val="sq-AL"/>
              </w:rPr>
              <w:t>g</w:t>
            </w:r>
            <w:r w:rsidRPr="00FF4234">
              <w:rPr>
                <w:lang w:val="sq-AL"/>
              </w:rPr>
              <w:t>jithsej</w:t>
            </w:r>
          </w:p>
        </w:tc>
        <w:tc>
          <w:tcPr>
            <w:tcW w:w="930" w:type="pct"/>
            <w:tcBorders>
              <w:top w:val="single" w:sz="8" w:space="0" w:color="auto"/>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6,543.50</w:t>
            </w:r>
          </w:p>
        </w:tc>
        <w:tc>
          <w:tcPr>
            <w:tcW w:w="1070" w:type="pct"/>
            <w:tcBorders>
              <w:top w:val="single" w:sz="8" w:space="0" w:color="auto"/>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11,005.20</w:t>
            </w:r>
          </w:p>
        </w:tc>
        <w:tc>
          <w:tcPr>
            <w:tcW w:w="987" w:type="pct"/>
            <w:tcBorders>
              <w:top w:val="single" w:sz="8" w:space="0" w:color="auto"/>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25,642.65</w:t>
            </w:r>
          </w:p>
        </w:tc>
      </w:tr>
      <w:tr w:rsidR="008E721E" w:rsidRPr="00FF4234" w:rsidTr="00186FF8">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 xml:space="preserve">Obligacione </w:t>
            </w:r>
            <w:r>
              <w:rPr>
                <w:lang w:val="sq-AL"/>
              </w:rPr>
              <w:t>l</w:t>
            </w:r>
            <w:r w:rsidRPr="00FF4234">
              <w:rPr>
                <w:lang w:val="sq-AL"/>
              </w:rPr>
              <w:t>ekë</w:t>
            </w:r>
          </w:p>
        </w:tc>
        <w:tc>
          <w:tcPr>
            <w:tcW w:w="93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6,543.50</w:t>
            </w:r>
          </w:p>
        </w:tc>
        <w:tc>
          <w:tcPr>
            <w:tcW w:w="107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11,005.20</w:t>
            </w:r>
          </w:p>
        </w:tc>
        <w:tc>
          <w:tcPr>
            <w:tcW w:w="987"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20,311.85</w:t>
            </w:r>
          </w:p>
        </w:tc>
      </w:tr>
      <w:tr w:rsidR="008E721E" w:rsidRPr="00FF4234" w:rsidTr="00186FF8">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 Oblig.e qeverisë 2-vjeçare</w:t>
            </w:r>
          </w:p>
        </w:tc>
        <w:tc>
          <w:tcPr>
            <w:tcW w:w="93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1,118.90</w:t>
            </w:r>
          </w:p>
        </w:tc>
        <w:tc>
          <w:tcPr>
            <w:tcW w:w="107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1,846.00</w:t>
            </w:r>
          </w:p>
        </w:tc>
        <w:tc>
          <w:tcPr>
            <w:tcW w:w="987"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-508.45</w:t>
            </w:r>
          </w:p>
        </w:tc>
      </w:tr>
      <w:tr w:rsidR="008E721E" w:rsidRPr="00FF4234" w:rsidTr="00186FF8">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 Oblig.e qeverisë 3-vjeçare</w:t>
            </w:r>
          </w:p>
        </w:tc>
        <w:tc>
          <w:tcPr>
            <w:tcW w:w="93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-1,867.40</w:t>
            </w:r>
          </w:p>
        </w:tc>
        <w:tc>
          <w:tcPr>
            <w:tcW w:w="107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-1,170.50</w:t>
            </w:r>
          </w:p>
        </w:tc>
        <w:tc>
          <w:tcPr>
            <w:tcW w:w="987"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-377.00</w:t>
            </w:r>
          </w:p>
        </w:tc>
      </w:tr>
      <w:tr w:rsidR="008E721E" w:rsidRPr="00FF4234" w:rsidTr="00186FF8">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 Oblig.e qeverisë 5-vjeçare</w:t>
            </w:r>
          </w:p>
        </w:tc>
        <w:tc>
          <w:tcPr>
            <w:tcW w:w="93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1,329.00</w:t>
            </w:r>
          </w:p>
        </w:tc>
        <w:tc>
          <w:tcPr>
            <w:tcW w:w="107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-170.30</w:t>
            </w:r>
          </w:p>
        </w:tc>
        <w:tc>
          <w:tcPr>
            <w:tcW w:w="987"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924.70</w:t>
            </w:r>
          </w:p>
        </w:tc>
      </w:tr>
      <w:tr w:rsidR="008E721E" w:rsidRPr="00FF4234" w:rsidTr="00186FF8">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 Oblig.e qeverisë 7-vjeçare</w:t>
            </w:r>
          </w:p>
        </w:tc>
        <w:tc>
          <w:tcPr>
            <w:tcW w:w="93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3,963.00</w:t>
            </w:r>
          </w:p>
        </w:tc>
        <w:tc>
          <w:tcPr>
            <w:tcW w:w="107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6,897.70</w:t>
            </w:r>
          </w:p>
        </w:tc>
        <w:tc>
          <w:tcPr>
            <w:tcW w:w="987"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10,562.40</w:t>
            </w:r>
          </w:p>
        </w:tc>
      </w:tr>
      <w:tr w:rsidR="008E721E" w:rsidRPr="00FF4234" w:rsidTr="00186FF8">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 Oblig.e qeverisë 10-vjeçare</w:t>
            </w:r>
          </w:p>
        </w:tc>
        <w:tc>
          <w:tcPr>
            <w:tcW w:w="93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2,000.00</w:t>
            </w:r>
          </w:p>
        </w:tc>
        <w:tc>
          <w:tcPr>
            <w:tcW w:w="1070"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3,602.30</w:t>
            </w:r>
          </w:p>
        </w:tc>
        <w:tc>
          <w:tcPr>
            <w:tcW w:w="987" w:type="pct"/>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9,710.20</w:t>
            </w:r>
          </w:p>
        </w:tc>
      </w:tr>
      <w:tr w:rsidR="008E721E" w:rsidRPr="00FF4234" w:rsidTr="00186FF8">
        <w:trPr>
          <w:trHeight w:val="270"/>
          <w:jc w:val="center"/>
        </w:trPr>
        <w:tc>
          <w:tcPr>
            <w:tcW w:w="2013" w:type="pct"/>
            <w:tcBorders>
              <w:top w:val="nil"/>
              <w:left w:val="single" w:sz="8" w:space="0" w:color="auto"/>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Obligacione euro</w:t>
            </w:r>
          </w:p>
        </w:tc>
        <w:tc>
          <w:tcPr>
            <w:tcW w:w="930" w:type="pct"/>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0.00</w:t>
            </w:r>
          </w:p>
        </w:tc>
        <w:tc>
          <w:tcPr>
            <w:tcW w:w="1070" w:type="pct"/>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0.00</w:t>
            </w:r>
          </w:p>
        </w:tc>
        <w:tc>
          <w:tcPr>
            <w:tcW w:w="987" w:type="pct"/>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lang w:val="sq-AL"/>
              </w:rPr>
            </w:pPr>
            <w:r w:rsidRPr="00FF4234">
              <w:rPr>
                <w:lang w:val="sq-AL"/>
              </w:rPr>
              <w:t>5,330.80</w:t>
            </w:r>
          </w:p>
        </w:tc>
      </w:tr>
    </w:tbl>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588"/>
          <w:cols w:space="720"/>
          <w:docGrid w:linePitch="360"/>
        </w:sectPr>
      </w:pPr>
    </w:p>
    <w:p w:rsidR="008E721E" w:rsidRDefault="008E721E" w:rsidP="008E721E">
      <w:pPr>
        <w:pStyle w:val="Paragrafi"/>
        <w:rPr>
          <w:lang w:val="sq-AL"/>
        </w:rPr>
      </w:pP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720"/>
          <w:docGrid w:linePitch="360"/>
        </w:sectPr>
      </w:pPr>
    </w:p>
    <w:p w:rsidR="008E721E" w:rsidRDefault="008E721E" w:rsidP="008E721E">
      <w:pPr>
        <w:pStyle w:val="Paragrafi"/>
        <w:rPr>
          <w:lang w:val="sq-AL"/>
        </w:rPr>
      </w:pPr>
      <w:r w:rsidRPr="00FF4234">
        <w:rPr>
          <w:lang w:val="sq-AL"/>
        </w:rPr>
        <w:lastRenderedPageBreak/>
        <w:t>Gjatë 2 viteve të fun</w:t>
      </w:r>
      <w:r>
        <w:rPr>
          <w:lang w:val="sq-AL"/>
        </w:rPr>
        <w:t xml:space="preserve">dit financimi i deficitit është </w:t>
      </w:r>
      <w:r w:rsidRPr="00FF4234">
        <w:rPr>
          <w:lang w:val="sq-AL"/>
        </w:rPr>
        <w:t>realizuar kryesisht nëpërmjet instrumen</w:t>
      </w:r>
      <w:r>
        <w:rPr>
          <w:lang w:val="sq-AL"/>
        </w:rPr>
        <w:t>-</w:t>
      </w:r>
      <w:r w:rsidRPr="00FF4234">
        <w:rPr>
          <w:lang w:val="sq-AL"/>
        </w:rPr>
        <w:t>teve afatgjat</w:t>
      </w:r>
      <w:r>
        <w:rPr>
          <w:lang w:val="sq-AL"/>
        </w:rPr>
        <w:t>a</w:t>
      </w:r>
      <w:r w:rsidRPr="00FF4234">
        <w:rPr>
          <w:lang w:val="sq-AL"/>
        </w:rPr>
        <w:t xml:space="preserve"> duke kontribuar në përmirësimin e strukturës së borxhit dhe zgjatjes së jetëgjatësisë së tij. Gjithsesi, vlen të theksohet që portofoli mbetet ende i ekspo</w:t>
      </w:r>
      <w:r>
        <w:rPr>
          <w:lang w:val="sq-AL"/>
        </w:rPr>
        <w:t>zuar ndjeshëm ndaj riskut të ri</w:t>
      </w:r>
      <w:r w:rsidRPr="00FF4234">
        <w:rPr>
          <w:lang w:val="sq-AL"/>
        </w:rPr>
        <w:t xml:space="preserve">financimit dhe se struktura e tij kërkon përmirësime të mëtejshme në kuadër të zgjatjes </w:t>
      </w:r>
      <w:r>
        <w:rPr>
          <w:lang w:val="sq-AL"/>
        </w:rPr>
        <w:t>së jetëgjatësisë së portofolit.</w:t>
      </w:r>
    </w:p>
    <w:p w:rsidR="008E721E" w:rsidRDefault="008E721E" w:rsidP="008E721E">
      <w:pPr>
        <w:pStyle w:val="Paragrafi"/>
        <w:rPr>
          <w:lang w:val="sq-AL"/>
        </w:rPr>
      </w:pPr>
      <w:r w:rsidRPr="00FF4234">
        <w:rPr>
          <w:lang w:val="sq-AL"/>
        </w:rPr>
        <w:t>Për sa i përket financimit të huamarrjes neto sipas investitorëve, rol kryesor gjatë vitit 2014 ka luajtur Banka Kombëtare Tregtare, bankat e tjera, si edhe Fondi Prestigj, ndërkohë që është ulur ekspozimi ndaj instrumenteve shtetërorë nga ana e “Raiffeisen Bank”, BSH dhe individët</w:t>
      </w:r>
      <w:r w:rsidRPr="001636DA">
        <w:rPr>
          <w:vertAlign w:val="superscript"/>
          <w:lang w:val="sq-AL"/>
        </w:rPr>
        <w:footnoteReference w:id="1"/>
      </w:r>
      <w:r w:rsidRPr="00FF4234">
        <w:rPr>
          <w:lang w:val="sq-AL"/>
        </w:rPr>
        <w:t>.</w:t>
      </w:r>
    </w:p>
    <w:p w:rsidR="008E721E" w:rsidRDefault="008E721E" w:rsidP="008E721E">
      <w:pPr>
        <w:pStyle w:val="Paragrafi"/>
        <w:ind w:firstLine="0"/>
        <w:rPr>
          <w:lang w:val="sq-AL"/>
        </w:rPr>
      </w:pPr>
      <w:r w:rsidRPr="00FF4234">
        <w:rPr>
          <w:noProof/>
        </w:rPr>
        <w:drawing>
          <wp:inline distT="0" distB="0" distL="0" distR="0" wp14:anchorId="2C3AD753" wp14:editId="68635E78">
            <wp:extent cx="2835468" cy="2043485"/>
            <wp:effectExtent l="1905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843506" cy="2049278"/>
                    </a:xfrm>
                    <a:prstGeom prst="rect">
                      <a:avLst/>
                    </a:prstGeom>
                    <a:noFill/>
                    <a:ln w="9525">
                      <a:noFill/>
                      <a:miter lim="800000"/>
                      <a:headEnd/>
                      <a:tailEnd/>
                    </a:ln>
                  </pic:spPr>
                </pic:pic>
              </a:graphicData>
            </a:graphic>
          </wp:inline>
        </w:drawing>
      </w:r>
    </w:p>
    <w:p w:rsidR="008E721E" w:rsidRDefault="008E721E" w:rsidP="008E721E">
      <w:pPr>
        <w:pStyle w:val="Paragrafi"/>
        <w:rPr>
          <w:lang w:val="sq-AL"/>
        </w:rPr>
      </w:pPr>
    </w:p>
    <w:p w:rsidR="008E721E" w:rsidRDefault="008E721E" w:rsidP="008E721E">
      <w:pPr>
        <w:pStyle w:val="Paragrafi"/>
        <w:rPr>
          <w:lang w:val="sq-AL"/>
        </w:rPr>
      </w:pPr>
    </w:p>
    <w:p w:rsidR="008E721E" w:rsidRPr="00FF4234" w:rsidRDefault="008E721E" w:rsidP="008E721E">
      <w:pPr>
        <w:pStyle w:val="Paragrafi"/>
        <w:rPr>
          <w:lang w:val="sq-AL"/>
        </w:rPr>
      </w:pPr>
      <w:r w:rsidRPr="00FF4234">
        <w:rPr>
          <w:lang w:val="sq-AL"/>
        </w:rPr>
        <w:t xml:space="preserve">Për sa i përket borxhit të garantuar, gjatë vitit 2014 janë emetuar dy garanci në tregun e brendshëm në favor të KESH sh.a përkatësisht në vlerat 1 miliard </w:t>
      </w:r>
      <w:r>
        <w:rPr>
          <w:lang w:val="sq-AL"/>
        </w:rPr>
        <w:t>lekë</w:t>
      </w:r>
      <w:r w:rsidRPr="00FF4234">
        <w:rPr>
          <w:lang w:val="sq-AL"/>
        </w:rPr>
        <w:t xml:space="preserve"> dhe 6 milionë </w:t>
      </w:r>
      <w:r>
        <w:rPr>
          <w:lang w:val="sq-AL"/>
        </w:rPr>
        <w:t>e</w:t>
      </w:r>
      <w:r w:rsidRPr="00FF4234">
        <w:rPr>
          <w:lang w:val="sq-AL"/>
        </w:rPr>
        <w:t xml:space="preserve">uro. Ndërkohë, deri në fund të vitit pritet që garancitë e brendshme të rriten deri në nivelin e 10 miliardë </w:t>
      </w:r>
      <w:r>
        <w:rPr>
          <w:lang w:val="sq-AL"/>
        </w:rPr>
        <w:t>lekë</w:t>
      </w:r>
      <w:r w:rsidRPr="00FF4234">
        <w:rPr>
          <w:lang w:val="sq-AL"/>
        </w:rPr>
        <w:t xml:space="preserve">. Për sa i përket garancive të jashtme, gjatë vitit 2014 janë vlerësuar me ulje për shkak të nivelit të ulët të disbursimeve. </w:t>
      </w:r>
    </w:p>
    <w:p w:rsidR="008E721E" w:rsidRPr="00FF4234" w:rsidRDefault="008E721E" w:rsidP="008E721E">
      <w:pPr>
        <w:pStyle w:val="Paragrafi"/>
        <w:rPr>
          <w:b/>
          <w:lang w:val="sq-AL"/>
        </w:rPr>
      </w:pPr>
      <w:bookmarkStart w:id="1" w:name="RANGE_B15"/>
      <w:bookmarkEnd w:id="1"/>
      <w:r w:rsidRPr="00FF4234">
        <w:rPr>
          <w:b/>
          <w:lang w:val="sq-AL"/>
        </w:rPr>
        <w:t>3.2  Kompozimi i portofolit të borxhit</w:t>
      </w:r>
    </w:p>
    <w:p w:rsidR="008E721E" w:rsidRDefault="008E721E" w:rsidP="008E721E">
      <w:pPr>
        <w:pStyle w:val="Paragrafi"/>
        <w:rPr>
          <w:lang w:val="sq-AL"/>
        </w:rPr>
      </w:pPr>
      <w:r w:rsidRPr="00FF4234">
        <w:rPr>
          <w:lang w:val="sq-AL"/>
        </w:rPr>
        <w:t>Ky nënkapitull pasqyron mënyrën e kompozimit të borxhit të Qeverisë Qendrore në terma instrumentesh, maturiteti, valutash, si edhe ecurinë dhe zhvillimet kryesore të tregut të brendshëm dhe të jashtëm.</w:t>
      </w:r>
    </w:p>
    <w:p w:rsidR="008E721E" w:rsidRPr="00FF4234" w:rsidRDefault="008E721E" w:rsidP="008E721E">
      <w:pPr>
        <w:pStyle w:val="Paragrafi"/>
        <w:rPr>
          <w:b/>
          <w:lang w:val="sq-AL"/>
        </w:rPr>
      </w:pPr>
      <w:r w:rsidRPr="00FF4234">
        <w:rPr>
          <w:b/>
          <w:lang w:val="sq-AL"/>
        </w:rPr>
        <w:t>3.2.1 Borxhi i brendshëm</w:t>
      </w:r>
    </w:p>
    <w:p w:rsidR="008E721E" w:rsidRPr="00FF4234" w:rsidRDefault="008E721E" w:rsidP="008E721E">
      <w:pPr>
        <w:pStyle w:val="Paragrafi"/>
        <w:rPr>
          <w:b/>
          <w:lang w:val="sq-AL"/>
        </w:rPr>
      </w:pPr>
      <w:r w:rsidRPr="00FF4234">
        <w:rPr>
          <w:b/>
          <w:lang w:val="sq-AL"/>
        </w:rPr>
        <w:t xml:space="preserve">Instrumentet </w:t>
      </w:r>
      <w:r>
        <w:rPr>
          <w:b/>
          <w:lang w:val="sq-AL"/>
        </w:rPr>
        <w:t>f</w:t>
      </w:r>
      <w:r w:rsidRPr="00FF4234">
        <w:rPr>
          <w:b/>
          <w:lang w:val="sq-AL"/>
        </w:rPr>
        <w:t>inanciar</w:t>
      </w:r>
      <w:r>
        <w:rPr>
          <w:b/>
          <w:lang w:val="sq-AL"/>
        </w:rPr>
        <w:t>e</w:t>
      </w:r>
    </w:p>
    <w:p w:rsidR="008E721E" w:rsidRDefault="008E721E" w:rsidP="008E721E">
      <w:pPr>
        <w:pStyle w:val="Paragrafi"/>
        <w:rPr>
          <w:lang w:val="sq-AL"/>
        </w:rPr>
      </w:pPr>
      <w:r w:rsidRPr="00FF4234">
        <w:rPr>
          <w:lang w:val="sq-AL"/>
        </w:rPr>
        <w:t>Në grafikët e mëposhtëm paraqitet kompozimi i portofolit të borxhit të brendshëm sipas jetëgjatësisë së instrumenteve.</w:t>
      </w: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454"/>
          <w:docGrid w:linePitch="360"/>
        </w:sectPr>
      </w:pPr>
    </w:p>
    <w:p w:rsidR="008E721E" w:rsidRDefault="008E721E" w:rsidP="008E721E">
      <w:pPr>
        <w:pStyle w:val="Paragrafi"/>
        <w:rPr>
          <w:lang w:val="sq-AL"/>
        </w:rPr>
      </w:pPr>
      <w:r w:rsidRPr="00FF4234">
        <w:rPr>
          <w:noProof/>
        </w:rPr>
        <w:lastRenderedPageBreak/>
        <w:drawing>
          <wp:inline distT="0" distB="0" distL="0" distR="0" wp14:anchorId="472C2132" wp14:editId="030261D2">
            <wp:extent cx="2966085" cy="246507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2966085" cy="2465070"/>
                    </a:xfrm>
                    <a:prstGeom prst="rect">
                      <a:avLst/>
                    </a:prstGeom>
                    <a:noFill/>
                    <a:ln w="9525">
                      <a:noFill/>
                      <a:miter lim="800000"/>
                      <a:headEnd/>
                      <a:tailEnd/>
                    </a:ln>
                  </pic:spPr>
                </pic:pic>
              </a:graphicData>
            </a:graphic>
          </wp:inline>
        </w:drawing>
      </w:r>
      <w:r w:rsidRPr="00FF4234">
        <w:rPr>
          <w:lang w:val="sq-AL"/>
        </w:rPr>
        <w:t xml:space="preserve"> </w:t>
      </w:r>
      <w:r w:rsidRPr="00FF4234">
        <w:rPr>
          <w:noProof/>
        </w:rPr>
        <w:drawing>
          <wp:inline distT="0" distB="0" distL="0" distR="0" wp14:anchorId="0D6F62EC" wp14:editId="0532C2F8">
            <wp:extent cx="2743200" cy="2560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743200" cy="2560320"/>
                    </a:xfrm>
                    <a:prstGeom prst="rect">
                      <a:avLst/>
                    </a:prstGeom>
                    <a:noFill/>
                    <a:ln w="9525">
                      <a:noFill/>
                      <a:miter lim="800000"/>
                      <a:headEnd/>
                      <a:tailEnd/>
                    </a:ln>
                  </pic:spPr>
                </pic:pic>
              </a:graphicData>
            </a:graphic>
          </wp:inline>
        </w:drawing>
      </w:r>
    </w:p>
    <w:p w:rsidR="008E721E" w:rsidRDefault="008E721E" w:rsidP="008E721E">
      <w:pPr>
        <w:pStyle w:val="Paragrafi"/>
        <w:rPr>
          <w:lang w:val="sq-AL"/>
        </w:rPr>
      </w:pP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589"/>
          <w:cols w:space="720"/>
          <w:docGrid w:linePitch="360"/>
        </w:sectPr>
      </w:pPr>
    </w:p>
    <w:p w:rsidR="008E721E" w:rsidRPr="00FF4234" w:rsidRDefault="008E721E" w:rsidP="008E721E">
      <w:pPr>
        <w:pStyle w:val="Paragrafi"/>
        <w:rPr>
          <w:lang w:val="sq-AL"/>
        </w:rPr>
      </w:pPr>
      <w:r w:rsidRPr="00FF4234">
        <w:rPr>
          <w:lang w:val="sq-AL"/>
        </w:rPr>
        <w:lastRenderedPageBreak/>
        <w:t xml:space="preserve">Nga grafikët e mësipërm vërehet që gjatë viteve të fundit është menaxhuar që të ketë një rritje në volumin e emetimeve të titujve afatgjatë. Gjatë vitit 2014 vërehet kryesisht një rritje në instrumentet me maturitet mbi 5 vite. Kjo rritje në këtë kategori instrumentesh ka ardhur kryesisht si rezultat i emetimit të suksesshëm të obligacionit 10-vjeçar, ku vetëm deri në shtator të vitit 2014 ky instrument është emetuar në vlerën e 9.7 miliardë </w:t>
      </w:r>
      <w:r>
        <w:rPr>
          <w:lang w:val="sq-AL"/>
        </w:rPr>
        <w:t>lekë</w:t>
      </w:r>
      <w:r w:rsidRPr="00FF4234">
        <w:rPr>
          <w:lang w:val="sq-AL"/>
        </w:rPr>
        <w:t xml:space="preserve">. Gjithashtu, pesha e kësaj kategorie instrumentesh ka ardhur në rritje edhe për arsye të mungesës së maturimeve në shuma të konsiderueshme. Rritja e peshës së këtij instrumenti është realizuar nëpërmjet reduktimit të peshave në kategoritë e tjera të instrumenteve dhe kryesisht në kategorinë e instrumenteve me afat maturimi nën 1 vit. Orientimi gjatë viteve të fundit në drejtim të titujve qeveritar me afat të gjatë maturimi ka bërë që të ketë një përmirësim të dukshëm në strukturën e borxhit dhe njëkohësisht një reduktim në riskun e </w:t>
      </w:r>
      <w:r>
        <w:rPr>
          <w:lang w:val="sq-AL"/>
        </w:rPr>
        <w:t>rifinancim</w:t>
      </w:r>
      <w:r w:rsidRPr="00FF4234">
        <w:rPr>
          <w:lang w:val="sq-AL"/>
        </w:rPr>
        <w:t>it dhe likuiditetit.</w:t>
      </w:r>
    </w:p>
    <w:p w:rsidR="008E721E" w:rsidRPr="00FF4234" w:rsidRDefault="008E721E" w:rsidP="008E721E">
      <w:pPr>
        <w:pStyle w:val="Paragrafi"/>
        <w:rPr>
          <w:b/>
          <w:lang w:val="sq-AL"/>
        </w:rPr>
      </w:pPr>
      <w:r w:rsidRPr="00FF4234">
        <w:rPr>
          <w:b/>
          <w:lang w:val="sq-AL"/>
        </w:rPr>
        <w:t xml:space="preserve">Mbajtësit </w:t>
      </w:r>
    </w:p>
    <w:p w:rsidR="008E721E" w:rsidRDefault="008E721E" w:rsidP="008E721E">
      <w:pPr>
        <w:pStyle w:val="Paragrafi"/>
        <w:rPr>
          <w:lang w:val="sq-AL"/>
        </w:rPr>
      </w:pPr>
      <w:r w:rsidRPr="00FF4234">
        <w:rPr>
          <w:lang w:val="sq-AL"/>
        </w:rPr>
        <w:t>Nga pikëpamja e mbajtësve të borxhit, në harkun kohor të 9 muajve borxhi i brendshëm ka pësuar një diversivifikim të konsiderueshëm dhe në të njëjtën kohë është shoqëruar me një rritje të pjesëmarrësve në tregun primar të instrumenteve financiarë shtetërorë</w:t>
      </w:r>
      <w:r>
        <w:rPr>
          <w:lang w:val="sq-AL"/>
        </w:rPr>
        <w:t>.</w:t>
      </w: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454"/>
          <w:docGrid w:linePitch="360"/>
        </w:sectPr>
      </w:pPr>
    </w:p>
    <w:p w:rsidR="008E721E" w:rsidRDefault="008E721E" w:rsidP="008E721E">
      <w:pPr>
        <w:pStyle w:val="Paragrafi"/>
        <w:rPr>
          <w:lang w:val="sq-AL"/>
        </w:rPr>
      </w:pPr>
      <w:r w:rsidRPr="00FF4234">
        <w:rPr>
          <w:noProof/>
        </w:rPr>
        <w:lastRenderedPageBreak/>
        <w:drawing>
          <wp:inline distT="0" distB="0" distL="0" distR="0" wp14:anchorId="076E564D" wp14:editId="2EF16FE9">
            <wp:extent cx="2973363" cy="26398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2973705" cy="2640136"/>
                    </a:xfrm>
                    <a:prstGeom prst="rect">
                      <a:avLst/>
                    </a:prstGeom>
                    <a:noFill/>
                    <a:ln w="9525">
                      <a:noFill/>
                      <a:miter lim="800000"/>
                      <a:headEnd/>
                      <a:tailEnd/>
                    </a:ln>
                  </pic:spPr>
                </pic:pic>
              </a:graphicData>
            </a:graphic>
          </wp:inline>
        </w:drawing>
      </w:r>
      <w:r w:rsidRPr="00FF4234">
        <w:rPr>
          <w:lang w:val="sq-AL"/>
        </w:rPr>
        <w:t xml:space="preserve"> </w:t>
      </w:r>
      <w:r w:rsidRPr="00FF4234">
        <w:rPr>
          <w:noProof/>
        </w:rPr>
        <w:drawing>
          <wp:inline distT="0" distB="0" distL="0" distR="0" wp14:anchorId="7F5F105D" wp14:editId="7D03AE00">
            <wp:extent cx="2743200" cy="23933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2743200" cy="2393315"/>
                    </a:xfrm>
                    <a:prstGeom prst="rect">
                      <a:avLst/>
                    </a:prstGeom>
                    <a:noFill/>
                    <a:ln w="9525">
                      <a:noFill/>
                      <a:miter lim="800000"/>
                      <a:headEnd/>
                      <a:tailEnd/>
                    </a:ln>
                  </pic:spPr>
                </pic:pic>
              </a:graphicData>
            </a:graphic>
          </wp:inline>
        </w:drawing>
      </w: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720"/>
          <w:docGrid w:linePitch="360"/>
        </w:sectPr>
      </w:pPr>
    </w:p>
    <w:p w:rsidR="008E721E" w:rsidRPr="00FF4234" w:rsidRDefault="008E721E" w:rsidP="008E721E">
      <w:pPr>
        <w:pStyle w:val="Paragrafi"/>
        <w:rPr>
          <w:lang w:val="sq-AL"/>
        </w:rPr>
      </w:pPr>
      <w:r w:rsidRPr="00FF4234">
        <w:rPr>
          <w:lang w:val="sq-AL"/>
        </w:rPr>
        <w:lastRenderedPageBreak/>
        <w:t xml:space="preserve">Eventet kryesore që kanë karakterizuar portofolin e borxhit të brendshëm, për sa </w:t>
      </w:r>
      <w:r>
        <w:rPr>
          <w:lang w:val="sq-AL"/>
        </w:rPr>
        <w:t>u</w:t>
      </w:r>
      <w:r w:rsidRPr="00FF4234">
        <w:rPr>
          <w:lang w:val="sq-AL"/>
        </w:rPr>
        <w:t xml:space="preserve"> përket mbajtësve gjatë vitit 2014 janë:</w:t>
      </w:r>
    </w:p>
    <w:p w:rsidR="008E721E" w:rsidRPr="00FF4234" w:rsidRDefault="008E721E" w:rsidP="008E721E">
      <w:pPr>
        <w:pStyle w:val="Paragrafi"/>
        <w:rPr>
          <w:lang w:val="sq-AL"/>
        </w:rPr>
      </w:pPr>
      <w:r w:rsidRPr="00FF4234">
        <w:rPr>
          <w:lang w:val="sq-AL"/>
        </w:rPr>
        <w:t xml:space="preserve">- Ulja e peshës së mbajtur nga “Raiffeisen Bank” me rreth 3.4 pp, duke bërë të mundur uljen e varësisë për </w:t>
      </w:r>
      <w:r>
        <w:rPr>
          <w:lang w:val="sq-AL"/>
        </w:rPr>
        <w:t>rifinancim</w:t>
      </w:r>
      <w:r w:rsidRPr="00FF4234">
        <w:rPr>
          <w:lang w:val="sq-AL"/>
        </w:rPr>
        <w:t xml:space="preserve"> nga ky investitor dhe shpërndarjen e peshës në investitorët e tjerë.</w:t>
      </w:r>
    </w:p>
    <w:p w:rsidR="008E721E" w:rsidRPr="00FF4234" w:rsidRDefault="008E721E" w:rsidP="008E721E">
      <w:pPr>
        <w:pStyle w:val="Paragrafi"/>
        <w:rPr>
          <w:lang w:val="sq-AL"/>
        </w:rPr>
      </w:pPr>
      <w:r w:rsidRPr="00FF4234">
        <w:rPr>
          <w:lang w:val="sq-AL"/>
        </w:rPr>
        <w:t>- Ulja e peshës së mbajtur nga BSH me rreth 0.86 pp duke i lënë hapësirë investitorëve të tjerë të tregut primar.</w:t>
      </w:r>
    </w:p>
    <w:p w:rsidR="008E721E" w:rsidRPr="00FF4234" w:rsidRDefault="008E721E" w:rsidP="008E721E">
      <w:pPr>
        <w:pStyle w:val="Paragrafi"/>
        <w:rPr>
          <w:lang w:val="sq-AL"/>
        </w:rPr>
      </w:pPr>
      <w:r w:rsidRPr="00FF4234">
        <w:rPr>
          <w:lang w:val="sq-AL"/>
        </w:rPr>
        <w:lastRenderedPageBreak/>
        <w:t>- Ulja e peshës së individëve në portofol me 0.85 pp. Realisht nuk ka pasur një rënie të interesit të individëve kundrejt instrumenteve financiar</w:t>
      </w:r>
      <w:r>
        <w:rPr>
          <w:lang w:val="sq-AL"/>
        </w:rPr>
        <w:t>e</w:t>
      </w:r>
      <w:r w:rsidRPr="00FF4234">
        <w:rPr>
          <w:lang w:val="sq-AL"/>
        </w:rPr>
        <w:t xml:space="preserve"> shtetëror</w:t>
      </w:r>
      <w:r>
        <w:rPr>
          <w:lang w:val="sq-AL"/>
        </w:rPr>
        <w:t>e</w:t>
      </w:r>
      <w:r w:rsidRPr="00FF4234">
        <w:rPr>
          <w:lang w:val="sq-AL"/>
        </w:rPr>
        <w:t>, por rënia e peshës që përfaqësojnë individët, shpjegohet me faktin që individët kanë filluar që të përdorin si ndërmjetës fondet e investimit (Prestige Fund), të cilat ofrojnë norma më të favorshme për shkak të diversifikimit të portofolit të instrumenteve.</w:t>
      </w:r>
    </w:p>
    <w:p w:rsidR="008E721E" w:rsidRPr="00FF4234" w:rsidRDefault="008E721E" w:rsidP="008E721E">
      <w:pPr>
        <w:pStyle w:val="Paragrafi"/>
        <w:rPr>
          <w:lang w:val="sq-AL"/>
        </w:rPr>
      </w:pPr>
      <w:r w:rsidRPr="00FF4234">
        <w:rPr>
          <w:lang w:val="sq-AL"/>
        </w:rPr>
        <w:t>Diversifikimi i bazës së investitorëve ka ndikuar konsiderueshëm në zhvillimin e tregut primar vendas, por mbështetja e borxhit vendas në më shumë se 75% tek sistemi bankar dhe angazhimi i një pjese të konsiderueshme të aseteve të tij përbën risk të konsiderueshëm për ecurinë në terma afatgjatë.</w:t>
      </w:r>
    </w:p>
    <w:p w:rsidR="008E721E" w:rsidRPr="00FF4234" w:rsidRDefault="008E721E" w:rsidP="008E721E">
      <w:pPr>
        <w:pStyle w:val="Paragrafi"/>
        <w:rPr>
          <w:b/>
          <w:lang w:val="sq-AL"/>
        </w:rPr>
      </w:pPr>
      <w:r w:rsidRPr="00FF4234">
        <w:rPr>
          <w:b/>
          <w:lang w:val="sq-AL"/>
        </w:rPr>
        <w:t>Normat e interesit</w:t>
      </w:r>
    </w:p>
    <w:p w:rsidR="008E721E" w:rsidRDefault="008E721E" w:rsidP="008E721E">
      <w:pPr>
        <w:pStyle w:val="Paragrafi"/>
        <w:rPr>
          <w:lang w:val="sq-AL"/>
        </w:rPr>
      </w:pPr>
      <w:r w:rsidRPr="00FF4234">
        <w:rPr>
          <w:lang w:val="sq-AL"/>
        </w:rPr>
        <w:t>Në tregun primar, normat e interesit të instrumenteve të qeverisë me maturitet deri në 2 vite kanë pësuar rënie të konsiderueshme krahasuar me fundin e vitit 2013 duke kapur kështu edhe vlerat më të ulëta historike, ndërkohë që titujt me maturitet mbi 2 vite, (përjashtuar obligacionet 10-vjeçare të cilat nuk kanë pësuar asnjë ndryshim) kanë pësuar rritje. Kjo tendencë ka nisur që prej muajit janar dhe është theksuar edhe në periudhën në vazhdim</w:t>
      </w:r>
      <w:r>
        <w:rPr>
          <w:lang w:val="sq-AL"/>
        </w:rPr>
        <w:t>.</w:t>
      </w:r>
    </w:p>
    <w:p w:rsidR="008E721E" w:rsidRDefault="008E721E" w:rsidP="008E721E">
      <w:pPr>
        <w:pStyle w:val="Paragrafi"/>
        <w:rPr>
          <w:lang w:val="sq-AL"/>
        </w:rPr>
      </w:pP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590"/>
          <w:cols w:space="454"/>
          <w:docGrid w:linePitch="360"/>
        </w:sectPr>
      </w:pPr>
    </w:p>
    <w:p w:rsidR="008E721E" w:rsidRDefault="008E721E" w:rsidP="008E721E">
      <w:pPr>
        <w:pStyle w:val="Paragrafi"/>
        <w:rPr>
          <w:lang w:val="sq-AL"/>
        </w:rPr>
      </w:pPr>
    </w:p>
    <w:p w:rsidR="008E721E" w:rsidRDefault="008E721E" w:rsidP="008E721E">
      <w:pPr>
        <w:pStyle w:val="Paragrafi"/>
        <w:jc w:val="left"/>
        <w:rPr>
          <w:lang w:val="sq-AL"/>
        </w:rPr>
        <w:sectPr w:rsidR="008E721E" w:rsidSect="00913CB4">
          <w:type w:val="continuous"/>
          <w:pgSz w:w="11907" w:h="16840" w:code="9"/>
          <w:pgMar w:top="720" w:right="1134" w:bottom="720" w:left="1134" w:header="851" w:footer="851" w:gutter="0"/>
          <w:pgNumType w:start="1590"/>
          <w:cols w:space="720"/>
          <w:docGrid w:linePitch="360"/>
        </w:sectPr>
      </w:pPr>
    </w:p>
    <w:p w:rsidR="008E721E" w:rsidRDefault="008E721E" w:rsidP="008E721E">
      <w:pPr>
        <w:pStyle w:val="Paragrafi"/>
        <w:jc w:val="left"/>
        <w:rPr>
          <w:lang w:val="sq-AL"/>
        </w:rPr>
      </w:pPr>
    </w:p>
    <w:p w:rsidR="008E721E" w:rsidRDefault="008E721E" w:rsidP="008E721E">
      <w:pPr>
        <w:pStyle w:val="Paragrafi"/>
        <w:jc w:val="left"/>
        <w:rPr>
          <w:lang w:val="sq-AL"/>
        </w:rPr>
      </w:pPr>
      <w:r>
        <w:rPr>
          <w:lang w:val="sq-AL"/>
        </w:rPr>
        <w:t xml:space="preserve"> </w:t>
      </w:r>
      <w:r w:rsidRPr="00FF4234">
        <w:rPr>
          <w:noProof/>
        </w:rPr>
        <w:drawing>
          <wp:inline distT="0" distB="0" distL="0" distR="0" wp14:anchorId="11373DB3" wp14:editId="0F46ADB5">
            <wp:extent cx="5748793" cy="19957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5749087" cy="1995880"/>
                    </a:xfrm>
                    <a:prstGeom prst="rect">
                      <a:avLst/>
                    </a:prstGeom>
                    <a:noFill/>
                    <a:ln w="9525">
                      <a:noFill/>
                      <a:miter lim="800000"/>
                      <a:headEnd/>
                      <a:tailEnd/>
                    </a:ln>
                  </pic:spPr>
                </pic:pic>
              </a:graphicData>
            </a:graphic>
          </wp:inline>
        </w:drawing>
      </w: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720"/>
          <w:docGrid w:linePitch="360"/>
        </w:sectPr>
      </w:pPr>
    </w:p>
    <w:p w:rsidR="008E721E" w:rsidRPr="00FF4234" w:rsidRDefault="008E721E" w:rsidP="008E721E">
      <w:pPr>
        <w:pStyle w:val="Paragrafi"/>
        <w:rPr>
          <w:lang w:val="sq-AL"/>
        </w:rPr>
      </w:pPr>
      <w:r w:rsidRPr="00FF4234">
        <w:rPr>
          <w:lang w:val="sq-AL"/>
        </w:rPr>
        <w:lastRenderedPageBreak/>
        <w:t>Kërkesa dhe likuiditeti i ofruar nga pjesëmarrësit në tregun primar të titujve qeveritarë afatshkurtër ka qenë më e lartë krahasuar me titujt afatgjatë. Ndërkohë, mosrealizimi i ankandeve të obligacioneve ka krijuar presione për rritjen e normave të interesit dhe ka bërë që kurba e normave të interesit të titujve afatgjatë të shfaqet e zhvendosur lart.</w:t>
      </w:r>
    </w:p>
    <w:p w:rsidR="008E721E" w:rsidRPr="00FF4234" w:rsidRDefault="008E721E" w:rsidP="008E721E">
      <w:pPr>
        <w:pStyle w:val="Paragrafi"/>
        <w:rPr>
          <w:lang w:val="sq-AL"/>
        </w:rPr>
      </w:pPr>
      <w:r w:rsidRPr="00FF4234">
        <w:rPr>
          <w:lang w:val="sq-AL"/>
        </w:rPr>
        <w:t xml:space="preserve">Gjatë këtij viti instrumentet që kanë pësuar rënien më të madhe të normave të interesit janë bonot e thesarit 3-mujore dhe 12-mujore, normat e të cilave janë ulur përkatësisht me 48 dhe 44 pb krahasuar me fundin e vitit 2013. Ndërkohë instrumentet, normat e të cilave kanë pësuar rritje, janë obligacionet 3 dhe 7-vjeçare, përkatësisht me një rritje prej 34 dhe 22 pb. Rënia e normave të interesit për bonot e thesarit është e lidhur me disa faktorë në tregun e instrumenteve financiarë, si p.sh: </w:t>
      </w:r>
    </w:p>
    <w:p w:rsidR="008E721E" w:rsidRPr="00FF4234" w:rsidRDefault="008E721E" w:rsidP="008E721E">
      <w:pPr>
        <w:pStyle w:val="Paragrafi"/>
        <w:rPr>
          <w:lang w:val="sq-AL"/>
        </w:rPr>
      </w:pPr>
      <w:r w:rsidRPr="00FF4234">
        <w:rPr>
          <w:lang w:val="sq-AL"/>
        </w:rPr>
        <w:t xml:space="preserve">- Shtimi i kërkesës për këto lloj instrumentesh dhe rritja e likuiditetit të sistemit bankar si rrjedhojë e ngurtësimit të kreditimit ndaj sektorit privat për shkak të rritjes së kredive që nuk performojnë mirë (NPL); </w:t>
      </w:r>
    </w:p>
    <w:p w:rsidR="008E721E" w:rsidRPr="00FF4234" w:rsidRDefault="008E721E" w:rsidP="008E721E">
      <w:pPr>
        <w:pStyle w:val="Paragrafi"/>
        <w:rPr>
          <w:lang w:val="sq-AL"/>
        </w:rPr>
      </w:pPr>
      <w:r w:rsidRPr="00FF4234">
        <w:rPr>
          <w:lang w:val="sq-AL"/>
        </w:rPr>
        <w:t>- Ulja e kërkesës së Qeverisë për huamarrje të brendshme neto krahasuar me një vit më parë;</w:t>
      </w:r>
    </w:p>
    <w:p w:rsidR="008E721E" w:rsidRPr="00FF4234" w:rsidRDefault="008E721E" w:rsidP="008E721E">
      <w:pPr>
        <w:pStyle w:val="Paragrafi"/>
        <w:rPr>
          <w:lang w:val="sq-AL"/>
        </w:rPr>
      </w:pPr>
      <w:r w:rsidRPr="00FF4234">
        <w:rPr>
          <w:lang w:val="sq-AL"/>
        </w:rPr>
        <w:t>- Ulja e normës bazë të interesit nga Banka e Shqipërisë nisur nga presionet e ulëta inflacioniste dhe vlerësimet për një kërkesë të brendshme të dobët.</w:t>
      </w:r>
    </w:p>
    <w:p w:rsidR="008E721E" w:rsidRPr="00FF4234" w:rsidRDefault="008E721E" w:rsidP="008E721E">
      <w:pPr>
        <w:pStyle w:val="Paragrafi"/>
        <w:rPr>
          <w:b/>
          <w:lang w:val="sq-AL"/>
        </w:rPr>
      </w:pPr>
      <w:r w:rsidRPr="00FF4234">
        <w:rPr>
          <w:b/>
          <w:lang w:val="sq-AL"/>
        </w:rPr>
        <w:t xml:space="preserve">Shërbimi </w:t>
      </w:r>
    </w:p>
    <w:p w:rsidR="008E721E" w:rsidRPr="00FF4234" w:rsidRDefault="008E721E" w:rsidP="008E721E">
      <w:pPr>
        <w:pStyle w:val="Paragrafi"/>
        <w:rPr>
          <w:lang w:val="sq-AL"/>
        </w:rPr>
      </w:pPr>
      <w:r w:rsidRPr="00FF4234">
        <w:rPr>
          <w:lang w:val="sq-AL"/>
        </w:rPr>
        <w:t>Shërbimi i borxhit të brendshëm në fund të vitit 2014 vlerësohet në ulje me 4.2 miliardë lek</w:t>
      </w:r>
      <w:r>
        <w:rPr>
          <w:lang w:val="sq-AL"/>
        </w:rPr>
        <w:t>ë</w:t>
      </w:r>
      <w:r w:rsidRPr="00FF4234">
        <w:rPr>
          <w:lang w:val="sq-AL"/>
        </w:rPr>
        <w:t xml:space="preserve"> për shkak të efektit që jep kryesisht ulja e normave të interesit të instrumenteve afatshkurtër që janë emetuar gjatë 6-mujorit të dytë të vitit 2013 dhe në vazhdim gjatë vitit 2014. Ndërkohë, për sa i përket borxhit të jashtëm interesat e tij në shumë absolute vlerësohen me 1 miliard lek</w:t>
      </w:r>
      <w:r>
        <w:rPr>
          <w:lang w:val="sq-AL"/>
        </w:rPr>
        <w:t>ë</w:t>
      </w:r>
      <w:r w:rsidRPr="00FF4234">
        <w:rPr>
          <w:lang w:val="sq-AL"/>
        </w:rPr>
        <w:t xml:space="preserve"> rritje si rezultat i shtimit të disbursimeve dhe stokut të borxhit të jashtëm.</w:t>
      </w:r>
    </w:p>
    <w:p w:rsidR="008E721E" w:rsidRDefault="008E721E" w:rsidP="008E721E">
      <w:pPr>
        <w:pStyle w:val="Paragrafi"/>
        <w:jc w:val="left"/>
        <w:rPr>
          <w:lang w:val="sq-AL"/>
        </w:rPr>
        <w:sectPr w:rsidR="008E721E" w:rsidSect="00913CB4">
          <w:type w:val="continuous"/>
          <w:pgSz w:w="11907" w:h="16840" w:code="9"/>
          <w:pgMar w:top="720" w:right="1134" w:bottom="720" w:left="1134" w:header="851" w:footer="851" w:gutter="0"/>
          <w:pgNumType w:start="1590"/>
          <w:cols w:space="454"/>
          <w:docGrid w:linePitch="360"/>
        </w:sectPr>
      </w:pPr>
      <w:r>
        <w:rPr>
          <w:lang w:val="sq-AL"/>
        </w:rPr>
        <w:t>Sa më sipër edhe ri</w:t>
      </w:r>
      <w:r w:rsidRPr="00FF4234">
        <w:rPr>
          <w:lang w:val="sq-AL"/>
        </w:rPr>
        <w:t xml:space="preserve">pagesat e borxhit të jashtëm në fund të vitit 2014 vlerësohen në rritje me rreth 5.8 </w:t>
      </w:r>
      <w:r>
        <w:rPr>
          <w:lang w:val="sq-AL"/>
        </w:rPr>
        <w:t>miliardë lekë.</w:t>
      </w:r>
      <w:r w:rsidRPr="00FF4234">
        <w:rPr>
          <w:lang w:val="sq-AL"/>
        </w:rPr>
        <w:t xml:space="preserve"> </w:t>
      </w:r>
    </w:p>
    <w:p w:rsidR="008E721E" w:rsidRDefault="008E721E" w:rsidP="008E721E">
      <w:pPr>
        <w:pStyle w:val="Paragrafi"/>
        <w:jc w:val="left"/>
        <w:rPr>
          <w:lang w:val="sq-AL"/>
        </w:rPr>
      </w:pPr>
      <w:r w:rsidRPr="00FF4234">
        <w:rPr>
          <w:noProof/>
        </w:rPr>
        <w:lastRenderedPageBreak/>
        <w:drawing>
          <wp:inline distT="0" distB="0" distL="0" distR="0" wp14:anchorId="2582BCA4" wp14:editId="238BA8C9">
            <wp:extent cx="5852160" cy="20991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srcRect/>
                    <a:stretch>
                      <a:fillRect/>
                    </a:stretch>
                  </pic:blipFill>
                  <pic:spPr bwMode="auto">
                    <a:xfrm>
                      <a:off x="0" y="0"/>
                      <a:ext cx="5852160" cy="2099145"/>
                    </a:xfrm>
                    <a:prstGeom prst="rect">
                      <a:avLst/>
                    </a:prstGeom>
                    <a:noFill/>
                    <a:ln w="9525">
                      <a:noFill/>
                      <a:miter lim="800000"/>
                      <a:headEnd/>
                      <a:tailEnd/>
                    </a:ln>
                  </pic:spPr>
                </pic:pic>
              </a:graphicData>
            </a:graphic>
          </wp:inline>
        </w:drawing>
      </w: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720"/>
          <w:docGrid w:linePitch="360"/>
        </w:sectPr>
      </w:pPr>
    </w:p>
    <w:p w:rsidR="008E721E" w:rsidRPr="00FF4234" w:rsidRDefault="008E721E" w:rsidP="008E721E">
      <w:pPr>
        <w:pStyle w:val="Paragrafi"/>
        <w:rPr>
          <w:lang w:val="sq-AL"/>
        </w:rPr>
      </w:pPr>
      <w:r w:rsidRPr="00FF4234">
        <w:rPr>
          <w:lang w:val="sq-AL"/>
        </w:rPr>
        <w:lastRenderedPageBreak/>
        <w:t>Mbështetur në të dhënat e mësipërme dhe duke e parë edhe në vizionin afatgjatë është i rëndësishëm angazhimi për uljen e stokut të borxhit në mënyrë që të menaxhohen kostot që shoqërojnë huamarrjen.</w:t>
      </w:r>
    </w:p>
    <w:p w:rsidR="008E721E" w:rsidRPr="00FF4234" w:rsidRDefault="008E721E" w:rsidP="008E721E">
      <w:pPr>
        <w:pStyle w:val="Paragrafi"/>
        <w:rPr>
          <w:b/>
          <w:lang w:val="sq-AL"/>
        </w:rPr>
      </w:pPr>
      <w:r w:rsidRPr="00FF4234">
        <w:rPr>
          <w:b/>
          <w:lang w:val="sq-AL"/>
        </w:rPr>
        <w:t>3.3  Analiza e treguesve të riskut</w:t>
      </w:r>
    </w:p>
    <w:p w:rsidR="008E721E" w:rsidRDefault="008E721E" w:rsidP="008E721E">
      <w:pPr>
        <w:pStyle w:val="Paragrafi"/>
        <w:rPr>
          <w:noProof/>
        </w:rPr>
      </w:pPr>
      <w:r w:rsidRPr="00FF4234">
        <w:rPr>
          <w:lang w:val="sq-AL"/>
        </w:rPr>
        <w:t xml:space="preserve">Për sa </w:t>
      </w:r>
      <w:r>
        <w:rPr>
          <w:lang w:val="sq-AL"/>
        </w:rPr>
        <w:t>u</w:t>
      </w:r>
      <w:r w:rsidRPr="00FF4234">
        <w:rPr>
          <w:lang w:val="sq-AL"/>
        </w:rPr>
        <w:t xml:space="preserve"> përket treguesve të riskut edhe gjatë vitit 2014 ato kanë vazhduar të kenë një trend pozitiv si rezultat i emetimit të instrumenteve afatgjatë dhe kryesisht si rezultat i emetimit të obligacionit 10-vjeçar, 3 herë brenda kësaj periudhe në një total që arrin 9.7 miliardë </w:t>
      </w:r>
      <w:r>
        <w:rPr>
          <w:lang w:val="sq-AL"/>
        </w:rPr>
        <w:t>lekë</w:t>
      </w:r>
      <w:r w:rsidRPr="00FF4234">
        <w:rPr>
          <w:lang w:val="sq-AL"/>
        </w:rPr>
        <w:t xml:space="preserve">, rreth 2.7 herë më shumë se një vit më parë. </w:t>
      </w:r>
    </w:p>
    <w:p w:rsidR="008E721E" w:rsidRDefault="008E721E" w:rsidP="008E721E">
      <w:pPr>
        <w:pStyle w:val="Paragrafi"/>
        <w:rPr>
          <w:noProof/>
        </w:rPr>
      </w:pPr>
    </w:p>
    <w:p w:rsidR="008E721E" w:rsidRPr="00374BDE" w:rsidRDefault="008E721E" w:rsidP="008E721E">
      <w:pPr>
        <w:pStyle w:val="Paragrafi"/>
        <w:ind w:firstLine="0"/>
        <w:jc w:val="left"/>
        <w:rPr>
          <w:noProof/>
        </w:rPr>
      </w:pPr>
      <w:r w:rsidRPr="00F335D6">
        <w:rPr>
          <w:noProof/>
        </w:rPr>
        <w:drawing>
          <wp:inline distT="0" distB="0" distL="0" distR="0" wp14:anchorId="3FD6EC41" wp14:editId="33324D29">
            <wp:extent cx="2926080" cy="2210462"/>
            <wp:effectExtent l="0" t="0" r="0" b="0"/>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2926081" cy="2210463"/>
                    </a:xfrm>
                    <a:prstGeom prst="rect">
                      <a:avLst/>
                    </a:prstGeom>
                    <a:noFill/>
                    <a:ln w="9525">
                      <a:noFill/>
                      <a:miter lim="800000"/>
                      <a:headEnd/>
                      <a:tailEnd/>
                    </a:ln>
                  </pic:spPr>
                </pic:pic>
              </a:graphicData>
            </a:graphic>
          </wp:inline>
        </w:drawing>
      </w:r>
    </w:p>
    <w:p w:rsidR="008E721E" w:rsidRDefault="008E721E" w:rsidP="008E721E">
      <w:pPr>
        <w:pStyle w:val="Paragrafi"/>
        <w:ind w:firstLine="0"/>
        <w:rPr>
          <w:spacing w:val="-4"/>
          <w:lang w:val="sq-AL"/>
        </w:rPr>
      </w:pPr>
    </w:p>
    <w:p w:rsidR="008E721E" w:rsidRPr="00374BDE" w:rsidRDefault="008E721E" w:rsidP="008E721E">
      <w:pPr>
        <w:pStyle w:val="Paragrafi"/>
        <w:rPr>
          <w:spacing w:val="-4"/>
          <w:lang w:val="sq-AL"/>
        </w:rPr>
      </w:pPr>
      <w:r w:rsidRPr="00374BDE">
        <w:rPr>
          <w:spacing w:val="-4"/>
          <w:lang w:val="sq-AL"/>
        </w:rPr>
        <w:t xml:space="preserve">Ditët mesatare në maturim (jetëgjatësia mesatare e portofolit të borxhit të brendshëm) kanë pasur një përmirësim të dukshëm gjatë këtij viti duke kapur nivelin prej 612 ditë, krahasuar me 559 ditë në fundin e vitit 2013. Kjo rritje vjen kryesisht nga emetimi i vazhdueshëm dhe rritja e peshës specifike të instrumenteve afatgjatë në totalin e portofolit të borxhit të brendshëm (kryesisht obligacionet 10 dhe 7-vjeçare). Yieldi mesatar i ponderuar (YMP- kosto mesatare e portofolit të borxhit të brendshëm) gjithashtu ka pasur një përmirësim gjatë vitit 2014. Ky tregues ka ardhur duke u ulur nga 6.72% në fund të vitit 2013 në 5.61% në fund të muajit shtator 2014, duke përmirësuar në këtë mënyrë koston mesatare të portofolit të borxhit në tregun vendas. </w:t>
      </w:r>
    </w:p>
    <w:p w:rsidR="008E721E" w:rsidRPr="00374BDE" w:rsidRDefault="008E721E" w:rsidP="008E721E">
      <w:pPr>
        <w:pStyle w:val="Paragrafi"/>
        <w:rPr>
          <w:spacing w:val="-4"/>
          <w:lang w:val="sq-AL"/>
        </w:rPr>
      </w:pPr>
      <w:r w:rsidRPr="00374BDE">
        <w:rPr>
          <w:spacing w:val="-4"/>
          <w:lang w:val="sq-AL"/>
        </w:rPr>
        <w:t xml:space="preserve">Kjo ulje e Yieldit mesatar të ponderuar i atribuohet likuiditetit të lartë në tregun bankar si rezultat i pasigurive të sistemit për sa i përket kreditimit të ekonomisë për shkak të rritjes së NPL-ve, si edhe uljes së normës bazë të interesit nga Banka e Shqipërisë si pjesë e politikave monetare të saj. </w:t>
      </w:r>
    </w:p>
    <w:p w:rsidR="008E721E" w:rsidRPr="00FF4234" w:rsidRDefault="008E721E" w:rsidP="008E721E">
      <w:pPr>
        <w:pStyle w:val="Paragrafi"/>
        <w:rPr>
          <w:lang w:val="sq-AL"/>
        </w:rPr>
      </w:pPr>
      <w:r w:rsidRPr="00374BDE">
        <w:rPr>
          <w:spacing w:val="-4"/>
          <w:lang w:val="sq-AL"/>
        </w:rPr>
        <w:t>Pavarësisht uljes së normave të interesit, portofoli vazhdon të jetë i ndjeshëm ndaj luhatjeve të normave të interesit, për shkak të nivelit të lartë të instrumenteve të cilat duhen</w:t>
      </w:r>
      <w:r w:rsidRPr="00FF4234">
        <w:rPr>
          <w:lang w:val="sq-AL"/>
        </w:rPr>
        <w:t xml:space="preserve"> rifiksuar brenda një viti (rreth 72%</w:t>
      </w:r>
      <w:r w:rsidRPr="00307045">
        <w:rPr>
          <w:vertAlign w:val="superscript"/>
          <w:lang w:val="sq-AL"/>
        </w:rPr>
        <w:footnoteReference w:id="2"/>
      </w:r>
      <w:r w:rsidRPr="00FF4234">
        <w:rPr>
          <w:lang w:val="sq-AL"/>
        </w:rPr>
        <w:t xml:space="preserve">). </w:t>
      </w:r>
    </w:p>
    <w:p w:rsidR="008E721E" w:rsidRDefault="008E721E" w:rsidP="008E721E">
      <w:pPr>
        <w:pStyle w:val="Paragrafi"/>
        <w:rPr>
          <w:lang w:val="sq-AL"/>
        </w:rPr>
      </w:pPr>
      <w:r w:rsidRPr="00FF4234">
        <w:rPr>
          <w:lang w:val="sq-AL"/>
        </w:rPr>
        <w:t xml:space="preserve">Portofoli i borxhit të brendshëm përveç ekspozimit kundrejt riskut të normave të interesit është gjithashtu i ekspozuar në masë të konsiderueshme edhe ndaj riskut të </w:t>
      </w:r>
      <w:r>
        <w:rPr>
          <w:lang w:val="sq-AL"/>
        </w:rPr>
        <w:t>rifinancim</w:t>
      </w:r>
      <w:r w:rsidRPr="00FF4234">
        <w:rPr>
          <w:lang w:val="sq-AL"/>
        </w:rPr>
        <w:t xml:space="preserve">it. Risku i rifinancimit është i asociuar me nivelin e lartë të instrumenteve të cilat maturohen brenda një viti. Megjithatë, ashtu sikur reflektohet edhe në treguesin e maturitetit mesatar të borxhit të brendshëm, krahasuar me një vit më parë risku i </w:t>
      </w:r>
      <w:r>
        <w:rPr>
          <w:lang w:val="sq-AL"/>
        </w:rPr>
        <w:t>rifinancim</w:t>
      </w:r>
      <w:r w:rsidRPr="00FF4234">
        <w:rPr>
          <w:lang w:val="sq-AL"/>
        </w:rPr>
        <w:t xml:space="preserve">it është relativisht më i ulët. Për ta ilustruar më qartë, më poshtë paraqitet </w:t>
      </w:r>
      <w:r w:rsidRPr="00FF4234">
        <w:rPr>
          <w:lang w:val="sq-AL"/>
        </w:rPr>
        <w:lastRenderedPageBreak/>
        <w:t>profili i maturimeve krahasuar me fundin e vitit të kaluar</w:t>
      </w:r>
      <w:r>
        <w:rPr>
          <w:lang w:val="sq-AL"/>
        </w:rPr>
        <w:t>.</w:t>
      </w:r>
    </w:p>
    <w:p w:rsidR="008E721E" w:rsidRPr="00FF4234" w:rsidRDefault="008E721E" w:rsidP="008E721E">
      <w:pPr>
        <w:pStyle w:val="Paragrafi"/>
        <w:rPr>
          <w:lang w:val="sq-AL"/>
        </w:rPr>
      </w:pPr>
      <w:r w:rsidRPr="00FF4234">
        <w:rPr>
          <w:noProof/>
        </w:rPr>
        <w:drawing>
          <wp:inline distT="0" distB="0" distL="0" distR="0" wp14:anchorId="2BC6E5AD" wp14:editId="0865F824">
            <wp:extent cx="2827517" cy="166182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2830925" cy="1663825"/>
                    </a:xfrm>
                    <a:prstGeom prst="rect">
                      <a:avLst/>
                    </a:prstGeom>
                    <a:noFill/>
                    <a:ln w="9525">
                      <a:noFill/>
                      <a:miter lim="800000"/>
                      <a:headEnd/>
                      <a:tailEnd/>
                    </a:ln>
                  </pic:spPr>
                </pic:pic>
              </a:graphicData>
            </a:graphic>
          </wp:inline>
        </w:drawing>
      </w:r>
    </w:p>
    <w:p w:rsidR="008E721E" w:rsidRPr="00FF4234" w:rsidRDefault="008E721E" w:rsidP="008E721E">
      <w:pPr>
        <w:pStyle w:val="Paragrafi"/>
        <w:jc w:val="left"/>
        <w:rPr>
          <w:lang w:val="sq-AL"/>
        </w:rPr>
      </w:pPr>
      <w:r w:rsidRPr="00FF4234">
        <w:rPr>
          <w:lang w:val="sq-AL"/>
        </w:rPr>
        <w:t xml:space="preserve">Për sa më sipër, vlen të theksohet se ecuria e treguesve ka qenë pozitive, por qëndrueshmëria në aspektin afatgjatë mbetet ende një sfidë për tregun e brendshëm dhe zhvillimet e tij. </w:t>
      </w:r>
    </w:p>
    <w:p w:rsidR="008E721E" w:rsidRPr="00FF4234" w:rsidRDefault="008E721E" w:rsidP="008E721E">
      <w:pPr>
        <w:pStyle w:val="Paragrafi"/>
        <w:jc w:val="left"/>
        <w:rPr>
          <w:b/>
          <w:lang w:val="sq-AL"/>
        </w:rPr>
      </w:pPr>
      <w:r w:rsidRPr="00FF4234">
        <w:rPr>
          <w:b/>
          <w:lang w:val="sq-AL"/>
        </w:rPr>
        <w:t>3.2.2  Borxhi i jashtëm</w:t>
      </w:r>
    </w:p>
    <w:p w:rsidR="008E721E" w:rsidRPr="00FF4234" w:rsidRDefault="008E721E" w:rsidP="008E721E">
      <w:pPr>
        <w:pStyle w:val="Paragrafi"/>
        <w:jc w:val="left"/>
        <w:rPr>
          <w:lang w:val="sq-AL"/>
        </w:rPr>
      </w:pPr>
      <w:r w:rsidRPr="00FF4234">
        <w:rPr>
          <w:lang w:val="sq-AL"/>
        </w:rPr>
        <w:t xml:space="preserve">Në muajin shtator 2014 borxhi i jashtëm vlerësohet të jetë në nivelin e 2,9 miliardë </w:t>
      </w:r>
      <w:r>
        <w:rPr>
          <w:lang w:val="sq-AL"/>
        </w:rPr>
        <w:t>e</w:t>
      </w:r>
      <w:r w:rsidRPr="00FF4234">
        <w:rPr>
          <w:lang w:val="sq-AL"/>
        </w:rPr>
        <w:t xml:space="preserve">uro, ku 2,7 miliardë </w:t>
      </w:r>
      <w:r>
        <w:rPr>
          <w:lang w:val="sq-AL"/>
        </w:rPr>
        <w:t>e</w:t>
      </w:r>
      <w:r w:rsidRPr="00FF4234">
        <w:rPr>
          <w:lang w:val="sq-AL"/>
        </w:rPr>
        <w:t xml:space="preserve">uro është stoku i borxhit shtetëror, ndërkohë që pjesa tjetër i përket borxhit të garantuar. Për sa i përket monedhave që kompozojnë portofolin e borxhit të jashtëm, vihet re që në muajin shtator të vitit 2014 portofoli i borxhit të jashtëm është i kompozuar nga tre monedha kryesore (EUR, USD, YEN), ku peshën më të madhe e mban monedha </w:t>
      </w:r>
      <w:r>
        <w:rPr>
          <w:lang w:val="sq-AL"/>
        </w:rPr>
        <w:t>euro</w:t>
      </w:r>
      <w:r w:rsidRPr="00FF4234">
        <w:rPr>
          <w:lang w:val="sq-AL"/>
        </w:rPr>
        <w:t xml:space="preserve"> me 67.75% të portofolit. Krahasuar me fundin e vitit të kaluar peshat e monedhave EUR dhe USD në portofol kanë pasur një rënie përkatësisht prej 44 dhe 10 pb. Ndërkohë, kemi një rritje të peshës së monedhës YEN me 43 pikë bazë</w:t>
      </w:r>
      <w:r>
        <w:rPr>
          <w:lang w:val="sq-AL"/>
        </w:rPr>
        <w:t>.</w:t>
      </w:r>
    </w:p>
    <w:p w:rsidR="008E721E" w:rsidRDefault="008E721E" w:rsidP="008E721E">
      <w:pPr>
        <w:pStyle w:val="Paragrafi"/>
        <w:ind w:firstLine="0"/>
        <w:rPr>
          <w:lang w:val="sq-AL"/>
        </w:rPr>
      </w:pPr>
      <w:r w:rsidRPr="00FF4234">
        <w:rPr>
          <w:noProof/>
        </w:rPr>
        <w:drawing>
          <wp:inline distT="0" distB="0" distL="0" distR="0" wp14:anchorId="4AED2BD5" wp14:editId="07B77169">
            <wp:extent cx="3061252" cy="14391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3061252" cy="1439186"/>
                    </a:xfrm>
                    <a:prstGeom prst="rect">
                      <a:avLst/>
                    </a:prstGeom>
                    <a:noFill/>
                    <a:ln w="9525">
                      <a:noFill/>
                      <a:miter lim="800000"/>
                      <a:headEnd/>
                      <a:tailEnd/>
                    </a:ln>
                  </pic:spPr>
                </pic:pic>
              </a:graphicData>
            </a:graphic>
          </wp:inline>
        </w:drawing>
      </w:r>
    </w:p>
    <w:p w:rsidR="008E721E" w:rsidRPr="00374BDE" w:rsidRDefault="008E721E" w:rsidP="008E721E">
      <w:pPr>
        <w:pStyle w:val="Paragrafi"/>
        <w:rPr>
          <w:spacing w:val="-4"/>
          <w:lang w:val="sq-AL"/>
        </w:rPr>
      </w:pPr>
      <w:r w:rsidRPr="00374BDE">
        <w:rPr>
          <w:spacing w:val="-4"/>
          <w:lang w:val="sq-AL"/>
        </w:rPr>
        <w:t xml:space="preserve">Përqindja e lartë e stokut të borxhit në euro bën që portofoli të jetë i ekspozuar ndaj riskut të kursit të këmbimit. </w:t>
      </w:r>
    </w:p>
    <w:p w:rsidR="008E721E" w:rsidRPr="00374BDE" w:rsidRDefault="008E721E" w:rsidP="008E721E">
      <w:pPr>
        <w:pStyle w:val="Paragrafi"/>
        <w:rPr>
          <w:spacing w:val="-4"/>
          <w:lang w:val="sq-AL"/>
        </w:rPr>
      </w:pPr>
      <w:r w:rsidRPr="00374BDE">
        <w:rPr>
          <w:spacing w:val="-4"/>
          <w:lang w:val="sq-AL"/>
        </w:rPr>
        <w:t>Në shtator të vitit 2014 efekti i shtesës në raportimin e borxhit të jashtëm (duke mbajtur si pikë referimi kursin e fundit të vitit 2013), që vjen si rezultat i ndryshimeve në kurset e këmbimit valutor ka qenë rreth 9.6 miliardë lekë, pasi monedha vendase është zhvlerësuar kundrejt të gjitha monedhave, me përjashtim të monedhës EUR ndaj së cilës është vlerësuar. Monedha vendase është zhvlerësuar më së shumti ndaj monedhës USD dhe ky zhvlerësim ka pasur një efekt që vlerësohet rreth 3.2 miliardë lekë. Ndërkohë, efekti vetëm ndaj monedhës EUR ka qenë rreth - 513 milionë lekë</w:t>
      </w:r>
      <w:r w:rsidRPr="00374BDE">
        <w:rPr>
          <w:spacing w:val="-4"/>
          <w:vertAlign w:val="superscript"/>
          <w:lang w:val="sq-AL"/>
        </w:rPr>
        <w:footnoteReference w:id="3"/>
      </w:r>
      <w:r w:rsidRPr="00374BDE">
        <w:rPr>
          <w:spacing w:val="-4"/>
          <w:lang w:val="sq-AL"/>
        </w:rPr>
        <w:t xml:space="preserve">. </w:t>
      </w:r>
    </w:p>
    <w:p w:rsidR="008E721E" w:rsidRPr="00374BDE" w:rsidRDefault="008E721E" w:rsidP="008E721E">
      <w:pPr>
        <w:pStyle w:val="Paragrafi"/>
        <w:rPr>
          <w:spacing w:val="-4"/>
          <w:lang w:val="sq-AL"/>
        </w:rPr>
      </w:pPr>
      <w:r w:rsidRPr="00374BDE">
        <w:rPr>
          <w:spacing w:val="-4"/>
          <w:lang w:val="sq-AL"/>
        </w:rPr>
        <w:t xml:space="preserve">Gjatë nëntë muajve të vitit 2014 janë disbursuar rreth 323.5 milionë euro, nga të cilat 323 milionë i përkasin borxhit shtetëror. Krahasuar me vitet e tjera vërehet një rritje e konsiderueshme e disbursimeve, e cila i atribuohet mbështetjes buxhetore në një vlerë prej 218.7 milionë euro, ndërkohë disbursimet e projekteve me financim të huaj janë në nivele relativisht të ulëta. Disbursimet e sektorit të transportit zënë (13.4%), të ujësjellës-kanalizimeve (9.00%) dhe energjetikës (6%). Shuma e angazhuar dhe e padisbursuar është në nivele të larta rreth 800 milionë euro (pa përfshirë mbështetjen buxhetore të padisbursuar). Ky tregues kërkon vëmendje nga ministritë e linjës lidhur me kontraktimin e projekteve të reja dhe eficiencën e projekteve ekzistuese. </w:t>
      </w:r>
    </w:p>
    <w:p w:rsidR="008E721E" w:rsidRPr="00FF4234" w:rsidRDefault="008E721E" w:rsidP="008E721E">
      <w:pPr>
        <w:pStyle w:val="Paragrafi"/>
        <w:rPr>
          <w:lang w:val="sq-AL"/>
        </w:rPr>
      </w:pPr>
      <w:r w:rsidRPr="00FF4234">
        <w:rPr>
          <w:lang w:val="sq-AL"/>
        </w:rPr>
        <w:t xml:space="preserve">Në këtë kontekst dhe për të siguruar qëndrueshmërinë e borxhit në aspektin afatgjatë  bëjmë me dije se hapësira për nënshkrimin e huave të reja me kreditorë të huaj është tepër e kufizuar dhe praktikisht përbën një risk real  për uljen e nivelit të borxhit publik. </w:t>
      </w:r>
    </w:p>
    <w:p w:rsidR="008E721E" w:rsidRPr="00FF4234" w:rsidRDefault="008E721E" w:rsidP="008E721E">
      <w:pPr>
        <w:pStyle w:val="Paragrafi"/>
        <w:rPr>
          <w:lang w:val="sq-AL"/>
        </w:rPr>
      </w:pPr>
      <w:r w:rsidRPr="00FF4234">
        <w:rPr>
          <w:lang w:val="sq-AL"/>
        </w:rPr>
        <w:t>Nisur nga objektivi i uljes së stokut të borxhit vëmë në dukje se:</w:t>
      </w:r>
    </w:p>
    <w:p w:rsidR="008E721E" w:rsidRPr="00FF4234" w:rsidRDefault="008E721E" w:rsidP="008E721E">
      <w:pPr>
        <w:pStyle w:val="Paragrafi"/>
        <w:rPr>
          <w:lang w:val="sq-AL"/>
        </w:rPr>
      </w:pPr>
      <w:r w:rsidRPr="00FF4234">
        <w:rPr>
          <w:lang w:val="sq-AL"/>
        </w:rPr>
        <w:t xml:space="preserve">- Hapësirat e huamarrjes në tërësi vijnë duke u ulur në </w:t>
      </w:r>
      <w:r>
        <w:rPr>
          <w:lang w:val="sq-AL"/>
        </w:rPr>
        <w:t xml:space="preserve">harkun kohor 2015-2017 dhe </w:t>
      </w:r>
      <w:r w:rsidRPr="00FF4234">
        <w:rPr>
          <w:lang w:val="sq-AL"/>
        </w:rPr>
        <w:t>arrijnë nivele tepër të ulëta në periudhën afatgjatë 2018-2020.</w:t>
      </w:r>
    </w:p>
    <w:p w:rsidR="008E721E" w:rsidRPr="00FF4234" w:rsidRDefault="008E721E" w:rsidP="008E721E">
      <w:pPr>
        <w:pStyle w:val="Paragrafi"/>
        <w:rPr>
          <w:lang w:val="sq-AL"/>
        </w:rPr>
      </w:pPr>
      <w:r w:rsidRPr="00FF4234">
        <w:rPr>
          <w:lang w:val="sq-AL"/>
        </w:rPr>
        <w:t xml:space="preserve">- Hapësira për huamarrjen e jashtme, e cila është në përputhje me marrëveshjet e nënshkruara dhe </w:t>
      </w:r>
      <w:r w:rsidRPr="00FF4234">
        <w:rPr>
          <w:lang w:val="sq-AL"/>
        </w:rPr>
        <w:lastRenderedPageBreak/>
        <w:t xml:space="preserve">ato në vijim, qëndron relativisht e lartë në periudhën 2014-2016 për shkak të mbështetjes buxhetore për shlyerjen e detyrimeve të prapambetura. </w:t>
      </w:r>
    </w:p>
    <w:p w:rsidR="008E721E" w:rsidRDefault="008E721E" w:rsidP="008E721E">
      <w:pPr>
        <w:pStyle w:val="Paragrafi"/>
        <w:rPr>
          <w:lang w:val="sq-AL"/>
        </w:rPr>
      </w:pPr>
    </w:p>
    <w:p w:rsidR="008E721E" w:rsidRPr="00FF4234" w:rsidRDefault="008E721E" w:rsidP="008E721E">
      <w:pPr>
        <w:pStyle w:val="Paragrafi"/>
        <w:rPr>
          <w:highlight w:val="yellow"/>
          <w:lang w:val="sq-AL"/>
        </w:rPr>
      </w:pPr>
      <w:r w:rsidRPr="00FF4234">
        <w:rPr>
          <w:lang w:val="sq-AL"/>
        </w:rPr>
        <w:t xml:space="preserve">- Hapësirat për huamarrje të brendshme ulen ndjeshëm duke ndikuar në këtë mënyrë në më pak burime për financimin e investimeve të brendshme. Për vitet 2016-2017, hapësirat për huamarrje të brendshme vijnë duke u ulur në nivelin rreth 10 miliardë </w:t>
      </w:r>
      <w:r>
        <w:rPr>
          <w:lang w:val="sq-AL"/>
        </w:rPr>
        <w:t>lekë</w:t>
      </w:r>
      <w:r w:rsidRPr="00FF4234">
        <w:rPr>
          <w:lang w:val="sq-AL"/>
        </w:rPr>
        <w:t xml:space="preserve">, ndërkohë që në vitet në vijim ka vetëm maturim të instrumenteve të brendshëm në nivele të konsiderueshme. </w:t>
      </w:r>
    </w:p>
    <w:p w:rsidR="008E721E" w:rsidRPr="00FF4234" w:rsidRDefault="008E721E" w:rsidP="008E721E">
      <w:pPr>
        <w:pStyle w:val="Paragrafi"/>
        <w:rPr>
          <w:lang w:val="sq-AL"/>
        </w:rPr>
      </w:pPr>
      <w:r w:rsidRPr="00FF4234">
        <w:rPr>
          <w:lang w:val="sq-AL"/>
        </w:rPr>
        <w:t>Për sa më sipër menaxhimi i borxhit sugjeron përfshirjen në kuadrin makro të treguesve të borxhit të jashtëm për të gjithë ekonominë (duke përfshirë edhe sektorin energjetik)</w:t>
      </w:r>
      <w:r>
        <w:rPr>
          <w:lang w:val="sq-AL"/>
        </w:rPr>
        <w:t>,</w:t>
      </w:r>
      <w:r w:rsidRPr="00FF4234">
        <w:rPr>
          <w:lang w:val="sq-AL"/>
        </w:rPr>
        <w:t xml:space="preserve"> si dhe vlerësimin e angazhimeve të financimeve të projekteve të huaja për një huamarrje të huaj të kujdesshme dhe brenda parametrave të vendosura për këtë qëllim.</w:t>
      </w:r>
    </w:p>
    <w:p w:rsidR="008E721E" w:rsidRPr="00FF4234" w:rsidRDefault="008E721E" w:rsidP="008E721E">
      <w:pPr>
        <w:pStyle w:val="Paragrafi"/>
        <w:rPr>
          <w:lang w:val="sq-AL"/>
        </w:rPr>
      </w:pPr>
      <w:r w:rsidRPr="00FF4234">
        <w:rPr>
          <w:lang w:val="sq-AL"/>
        </w:rPr>
        <w:t xml:space="preserve">Gjatë vitit 2015 pritet që të ketë një qëndrueshmëri të normave të interesit për instrumentet financiarë shtetërorë me afat të shkurtër maturimi. Ndërkohë pritet që të ketë rritje në segmentin e instrumenteve afatgjatë, për shkak të ristrukturimit të portofolit të investitorëve (kryesisht sektori bankar) dhe orientimit drejt instrumenteve afatshkurtër, në kuadër të uljes së ekspozimit ndaj riskut dhe direktivave nga bankat mëma. Për sa i përket huazimit në monedhën </w:t>
      </w:r>
      <w:r>
        <w:rPr>
          <w:lang w:val="sq-AL"/>
        </w:rPr>
        <w:t>euro</w:t>
      </w:r>
      <w:r w:rsidRPr="00FF4234">
        <w:rPr>
          <w:lang w:val="sq-AL"/>
        </w:rPr>
        <w:t xml:space="preserve"> pritet që të jetë përafërsisht po aq i kushtueshëm sa edhe gjatë vitit 2014 pasi parashikimet flasin për një qëndrueshmëri ose ulje të normës bazë të interesit nga BQE me qëllim lehtësimin e kreditimit dhe rritjen e likuiditetit të sistemit bankar europian. </w:t>
      </w:r>
    </w:p>
    <w:p w:rsidR="008E721E" w:rsidRPr="00FF4234" w:rsidRDefault="008E721E" w:rsidP="008E721E">
      <w:pPr>
        <w:pStyle w:val="Paragrafi"/>
        <w:rPr>
          <w:lang w:val="sq-AL"/>
        </w:rPr>
      </w:pPr>
      <w:r w:rsidRPr="00FF4234">
        <w:rPr>
          <w:lang w:val="sq-AL"/>
        </w:rPr>
        <w:t>Pavarësisht pritshmërive për vitin 2015, menaxhimi i borxhit publik në periudhën afatmesme me qëllim minimizimin e riskut të normave të interesit do të synoj ta orientoj borxhin më shumë drejt instrumenteve që ofrojnë norma të favorshme dhe njëkohësisht të ruaj të pacenuar objektivin për rritjen e jetëgjatësisë së borxhit. Gjithashtu, do të synohet që instrumentet afatgjatë me norma interesi të ndryshueshme të qëndrojnë në nivelin e 15-17 % të portofolit të borxhit të brendshëm.</w:t>
      </w:r>
    </w:p>
    <w:p w:rsidR="008E721E" w:rsidRPr="00374BDE" w:rsidRDefault="008E721E" w:rsidP="008E721E">
      <w:pPr>
        <w:pStyle w:val="Paragrafi"/>
        <w:rPr>
          <w:spacing w:val="-4"/>
          <w:lang w:val="sq-AL"/>
        </w:rPr>
      </w:pPr>
      <w:r w:rsidRPr="00FF4234">
        <w:rPr>
          <w:lang w:val="sq-AL"/>
        </w:rPr>
        <w:t xml:space="preserve">Për sa i përket riskut të kursit të këmbimit vihet re që portofoli i borxhit të jashtëm është </w:t>
      </w:r>
      <w:r w:rsidRPr="00374BDE">
        <w:rPr>
          <w:spacing w:val="-4"/>
          <w:lang w:val="sq-AL"/>
        </w:rPr>
        <w:t>vulnerabël ndaj luhatjeve të kursit të këmbimit, veçanërisht kundrejt luhatjeve të monedhës euro pasi më shumë se 65% e portofolit të borxhit të jashtëm është i denominuar në këtë monedhë. Zhvlerësimi i monedhës kombëtare kundrejt monedhës euro dhe monedhave të tjera që zënë peshë të rëndësishme në portofolin e borxhit të jashtëm mund të ndikojë mbi buxhetin duke rritur koston e shërbimit të borxhit, por edhe duke rritur nivelin e tij.</w:t>
      </w:r>
    </w:p>
    <w:p w:rsidR="008E721E" w:rsidRPr="00374BDE" w:rsidRDefault="008E721E" w:rsidP="008E721E">
      <w:pPr>
        <w:pStyle w:val="Paragrafi"/>
        <w:rPr>
          <w:spacing w:val="-4"/>
          <w:lang w:val="sq-AL"/>
        </w:rPr>
      </w:pPr>
      <w:r w:rsidRPr="00374BDE">
        <w:rPr>
          <w:spacing w:val="-4"/>
          <w:lang w:val="sq-AL"/>
        </w:rPr>
        <w:t>Për sa më sipër, dhe për të menaxhuar ekspozimin ndaj këtij risku menaxhimi i borxhit publik, ka menduar që në periudhën afatmesme ta mbaj nivelin e borxhit të jashtëm në nivele jo më të larta se 45%.</w:t>
      </w:r>
    </w:p>
    <w:p w:rsidR="008E721E" w:rsidRPr="00374BDE" w:rsidRDefault="008E721E" w:rsidP="008E721E">
      <w:pPr>
        <w:pStyle w:val="Paragrafi"/>
        <w:rPr>
          <w:b/>
          <w:spacing w:val="-4"/>
          <w:lang w:val="sq-AL"/>
        </w:rPr>
      </w:pPr>
      <w:r w:rsidRPr="00374BDE">
        <w:rPr>
          <w:b/>
          <w:spacing w:val="-4"/>
          <w:lang w:val="sq-AL"/>
        </w:rPr>
        <w:t>4  Objektivat dhe supozimet e Strategjisë Afatmesme të Menaxhimit të Borxhit</w:t>
      </w:r>
    </w:p>
    <w:p w:rsidR="008E721E" w:rsidRPr="00374BDE" w:rsidRDefault="008E721E" w:rsidP="008E721E">
      <w:pPr>
        <w:pStyle w:val="Paragrafi"/>
        <w:rPr>
          <w:b/>
          <w:spacing w:val="-4"/>
          <w:lang w:val="sq-AL"/>
        </w:rPr>
      </w:pPr>
      <w:r w:rsidRPr="00374BDE">
        <w:rPr>
          <w:b/>
          <w:spacing w:val="-4"/>
          <w:lang w:val="sq-AL"/>
        </w:rPr>
        <w:t>4.1 Objektiva dhe udhëzime lidhur me huamarrjen</w:t>
      </w:r>
    </w:p>
    <w:p w:rsidR="008E721E" w:rsidRPr="00374BDE" w:rsidRDefault="008E721E" w:rsidP="008E721E">
      <w:pPr>
        <w:pStyle w:val="Paragrafi"/>
        <w:rPr>
          <w:spacing w:val="-4"/>
          <w:lang w:val="sq-AL"/>
        </w:rPr>
      </w:pPr>
      <w:r w:rsidRPr="00374BDE">
        <w:rPr>
          <w:spacing w:val="-4"/>
          <w:lang w:val="sq-AL"/>
        </w:rPr>
        <w:t>Strategjia e Menaxhimit të Borxhit me qëllim uljen e risqeve të portofolit të borxhit në periudhën afatmesme dhe afatgjatë ka vendosur disa objektiva dhe udhëzime lidhur me huamarrjen, të cilat janë:</w:t>
      </w:r>
    </w:p>
    <w:p w:rsidR="008E721E" w:rsidRPr="00374BDE" w:rsidRDefault="008E721E" w:rsidP="008E721E">
      <w:pPr>
        <w:pStyle w:val="Paragrafi"/>
        <w:rPr>
          <w:spacing w:val="-4"/>
          <w:lang w:val="sq-AL"/>
        </w:rPr>
      </w:pPr>
      <w:r w:rsidRPr="00374BDE">
        <w:rPr>
          <w:spacing w:val="-4"/>
          <w:lang w:val="sq-AL"/>
        </w:rPr>
        <w:t>Në tregun vendas:</w:t>
      </w:r>
    </w:p>
    <w:p w:rsidR="008E721E" w:rsidRPr="00374BDE" w:rsidRDefault="008E721E" w:rsidP="008E721E">
      <w:pPr>
        <w:pStyle w:val="Paragrafi"/>
        <w:rPr>
          <w:spacing w:val="-4"/>
          <w:lang w:val="sq-AL"/>
        </w:rPr>
      </w:pPr>
      <w:r w:rsidRPr="00374BDE">
        <w:rPr>
          <w:spacing w:val="-4"/>
          <w:lang w:val="sq-AL"/>
        </w:rPr>
        <w:t xml:space="preserve">- Me qëllim mbajtjen nën kontroll dhe përmirësimin e profilit të maturimeve, synohet që sigurimi i huamarrjes së re të realizohet nëpërmjet instrumenteve afatgjatë dhe në rastet kur financimi i brendshëm është në vlera të ulëta të ketë zëvendësim të instrumenteve afatshkurtër me ato afatgjata. </w:t>
      </w:r>
    </w:p>
    <w:p w:rsidR="008E721E" w:rsidRPr="00374BDE" w:rsidRDefault="008E721E" w:rsidP="008E721E">
      <w:pPr>
        <w:pStyle w:val="Paragrafi"/>
        <w:rPr>
          <w:spacing w:val="-4"/>
          <w:lang w:val="sq-AL"/>
        </w:rPr>
      </w:pPr>
      <w:r w:rsidRPr="00374BDE">
        <w:rPr>
          <w:spacing w:val="-4"/>
          <w:lang w:val="sq-AL"/>
        </w:rPr>
        <w:t>- Rishpërndarja e peshave të instrumenteve të brendshme në mënyrë të njëtrajtshme, qoftë edhe brenda të njëjtit tip instrumenti, duke maturuar në ankandet ku vlerat janë të larta dhe duke shtuar emetimin atje ku vlerat janë të ulëta.</w:t>
      </w:r>
      <w:r w:rsidRPr="00374BDE">
        <w:rPr>
          <w:spacing w:val="-4"/>
          <w:vertAlign w:val="superscript"/>
          <w:lang w:val="sq-AL"/>
        </w:rPr>
        <w:footnoteReference w:id="4"/>
      </w:r>
    </w:p>
    <w:p w:rsidR="008E721E" w:rsidRPr="00374BDE" w:rsidRDefault="008E721E" w:rsidP="008E721E">
      <w:pPr>
        <w:pStyle w:val="Paragrafi"/>
        <w:rPr>
          <w:spacing w:val="-4"/>
          <w:lang w:val="sq-AL"/>
        </w:rPr>
      </w:pPr>
      <w:r w:rsidRPr="00374BDE">
        <w:rPr>
          <w:spacing w:val="-4"/>
          <w:lang w:val="sq-AL"/>
        </w:rPr>
        <w:t xml:space="preserve">- Politika të emetimit të instrumenteve me qëllim krijimin e </w:t>
      </w:r>
      <w:r w:rsidRPr="00374BDE">
        <w:rPr>
          <w:i/>
          <w:spacing w:val="-4"/>
          <w:lang w:val="sq-AL"/>
        </w:rPr>
        <w:t>benchmark</w:t>
      </w:r>
      <w:r w:rsidRPr="00374BDE">
        <w:rPr>
          <w:spacing w:val="-4"/>
          <w:lang w:val="sq-AL"/>
        </w:rPr>
        <w:t>-ve për instrumentet afatgjatë.</w:t>
      </w:r>
    </w:p>
    <w:p w:rsidR="008E721E" w:rsidRPr="00374BDE" w:rsidRDefault="008E721E" w:rsidP="008E721E">
      <w:pPr>
        <w:pStyle w:val="Paragrafi"/>
        <w:rPr>
          <w:spacing w:val="-4"/>
          <w:lang w:val="sq-AL"/>
        </w:rPr>
      </w:pPr>
      <w:r w:rsidRPr="00374BDE">
        <w:rPr>
          <w:spacing w:val="-4"/>
          <w:lang w:val="sq-AL"/>
        </w:rPr>
        <w:t xml:space="preserve">- Realizimi i reformave të nevojshme për zhvillimin, rritjen e likuiditetit në tregut sekondar, si edhe zgjerimin e bazës së investitorëve. </w:t>
      </w:r>
    </w:p>
    <w:p w:rsidR="008E721E" w:rsidRPr="00374BDE" w:rsidRDefault="008E721E" w:rsidP="008E721E">
      <w:pPr>
        <w:pStyle w:val="Paragrafi"/>
        <w:rPr>
          <w:spacing w:val="-4"/>
          <w:lang w:val="sq-AL"/>
        </w:rPr>
      </w:pPr>
      <w:r w:rsidRPr="00374BDE">
        <w:rPr>
          <w:spacing w:val="-4"/>
          <w:lang w:val="sq-AL"/>
        </w:rPr>
        <w:t>Në tregun e huaj:</w:t>
      </w:r>
    </w:p>
    <w:p w:rsidR="008E721E" w:rsidRPr="00FF4234" w:rsidRDefault="008E721E" w:rsidP="008E721E">
      <w:pPr>
        <w:pStyle w:val="Paragrafi"/>
        <w:rPr>
          <w:lang w:val="sq-AL"/>
        </w:rPr>
      </w:pPr>
      <w:r w:rsidRPr="00374BDE">
        <w:rPr>
          <w:spacing w:val="-4"/>
          <w:lang w:val="sq-AL"/>
        </w:rPr>
        <w:t>- Sigurimi i fondeve të nevojshme për rifinancimin e Eurobondit në vlerën prej 300</w:t>
      </w:r>
      <w:r w:rsidRPr="00FF4234">
        <w:rPr>
          <w:lang w:val="sq-AL"/>
        </w:rPr>
        <w:t xml:space="preserve"> milionë </w:t>
      </w:r>
      <w:r>
        <w:rPr>
          <w:lang w:val="sq-AL"/>
        </w:rPr>
        <w:t>euro</w:t>
      </w:r>
      <w:r w:rsidRPr="00FF4234">
        <w:rPr>
          <w:lang w:val="sq-AL"/>
        </w:rPr>
        <w:t xml:space="preserve"> me kosto sa më të favorshme.</w:t>
      </w:r>
    </w:p>
    <w:p w:rsidR="008E721E" w:rsidRPr="00FF4234" w:rsidRDefault="008E721E" w:rsidP="008E721E">
      <w:pPr>
        <w:pStyle w:val="Paragrafi"/>
        <w:rPr>
          <w:lang w:val="sq-AL"/>
        </w:rPr>
      </w:pPr>
      <w:r w:rsidRPr="00FF4234">
        <w:rPr>
          <w:lang w:val="sq-AL"/>
        </w:rPr>
        <w:t>- Emetimi i garancisë pjesore (PBG) me qëllim uljen e huamarrjes së brendshme për të lehtësuar kreditimin e sektorit privat.</w:t>
      </w:r>
    </w:p>
    <w:p w:rsidR="008E721E" w:rsidRPr="00FF4234" w:rsidRDefault="008E721E" w:rsidP="008E721E">
      <w:pPr>
        <w:pStyle w:val="Paragrafi"/>
        <w:rPr>
          <w:lang w:val="sq-AL"/>
        </w:rPr>
      </w:pPr>
      <w:r w:rsidRPr="00FF4234">
        <w:rPr>
          <w:lang w:val="sq-AL"/>
        </w:rPr>
        <w:t xml:space="preserve">- Sigurimi i huamarrjes së huaj duke u bazuar në financimet e pritshme të projekteve dhe duke u </w:t>
      </w:r>
      <w:r w:rsidRPr="00FF4234">
        <w:rPr>
          <w:lang w:val="sq-AL"/>
        </w:rPr>
        <w:lastRenderedPageBreak/>
        <w:t>plotësuar me sigurimin e financimit nga jashtë në përputhje të marrëveshjes me FMN-në dhe Bankën Botërore.</w:t>
      </w:r>
    </w:p>
    <w:p w:rsidR="008E721E" w:rsidRPr="00FF4234" w:rsidRDefault="008E721E" w:rsidP="008E721E">
      <w:pPr>
        <w:pStyle w:val="Paragrafi"/>
        <w:rPr>
          <w:b/>
          <w:lang w:val="sq-AL"/>
        </w:rPr>
      </w:pPr>
      <w:r w:rsidRPr="00FF4234">
        <w:rPr>
          <w:b/>
          <w:lang w:val="sq-AL"/>
        </w:rPr>
        <w:t>4.2 Objektiva në kuadër të mbajtjes nën kontroll të risqeve të portofolit</w:t>
      </w:r>
    </w:p>
    <w:p w:rsidR="008E721E" w:rsidRPr="00FF4234" w:rsidRDefault="008E721E" w:rsidP="008E721E">
      <w:pPr>
        <w:pStyle w:val="Paragrafi"/>
        <w:rPr>
          <w:b/>
          <w:lang w:val="sq-AL"/>
        </w:rPr>
      </w:pPr>
      <w:r w:rsidRPr="00FF4234">
        <w:rPr>
          <w:b/>
          <w:lang w:val="sq-AL"/>
        </w:rPr>
        <w:t>Objektiv i përgjithshëm</w:t>
      </w:r>
    </w:p>
    <w:p w:rsidR="008E721E" w:rsidRPr="00FF4234" w:rsidRDefault="008E721E" w:rsidP="008E721E">
      <w:pPr>
        <w:pStyle w:val="Paragrafi"/>
        <w:rPr>
          <w:lang w:val="sq-AL"/>
        </w:rPr>
      </w:pPr>
      <w:r w:rsidRPr="00FF4234">
        <w:rPr>
          <w:lang w:val="sq-AL"/>
        </w:rPr>
        <w:t>- Reduktimi i kostove për njësi të shërbimit të borxhit publik duke ruajtur raporte  të pranueshme të riskut.</w:t>
      </w:r>
    </w:p>
    <w:p w:rsidR="008E721E" w:rsidRPr="00FF4234" w:rsidRDefault="008E721E" w:rsidP="008E721E">
      <w:pPr>
        <w:pStyle w:val="Paragrafi"/>
        <w:rPr>
          <w:b/>
          <w:lang w:val="sq-AL"/>
        </w:rPr>
      </w:pPr>
      <w:r w:rsidRPr="00FF4234">
        <w:rPr>
          <w:b/>
          <w:lang w:val="sq-AL"/>
        </w:rPr>
        <w:t>Objektiva operacionalë</w:t>
      </w:r>
    </w:p>
    <w:p w:rsidR="008E721E" w:rsidRPr="00FF4234" w:rsidRDefault="008E721E" w:rsidP="008E721E">
      <w:pPr>
        <w:pStyle w:val="Paragrafi"/>
        <w:rPr>
          <w:b/>
          <w:lang w:val="sq-AL"/>
        </w:rPr>
      </w:pPr>
      <w:r w:rsidRPr="00FF4234">
        <w:rPr>
          <w:b/>
          <w:lang w:val="sq-AL"/>
        </w:rPr>
        <w:t xml:space="preserve">4.2.1 Në kuadër të menaxhimit të riskut të </w:t>
      </w:r>
      <w:r>
        <w:rPr>
          <w:b/>
          <w:lang w:val="sq-AL"/>
        </w:rPr>
        <w:t>rifinancim</w:t>
      </w:r>
      <w:r w:rsidRPr="00FF4234">
        <w:rPr>
          <w:b/>
          <w:lang w:val="sq-AL"/>
        </w:rPr>
        <w:t>it</w:t>
      </w:r>
    </w:p>
    <w:p w:rsidR="008E721E" w:rsidRPr="00FF4234" w:rsidRDefault="008E721E" w:rsidP="008E721E">
      <w:pPr>
        <w:pStyle w:val="Paragrafi"/>
        <w:rPr>
          <w:lang w:val="sq-AL"/>
        </w:rPr>
      </w:pPr>
      <w:r w:rsidRPr="00FF4234">
        <w:rPr>
          <w:lang w:val="sq-AL"/>
        </w:rPr>
        <w:t>- Realizimi i financimit të brendshëm në jo më pak se 70% me instrumente afatgjatë, për periudhat kur financimi është në vlera të konsiderueshme (mbi 25 miliardë ALL) dhe 100% me instrumente afatgjata (dhe maturim të instrumenteve afatshkurtra, nëse është e mundur) kur financimi i brendshëm është në vlera të ulëta.</w:t>
      </w:r>
    </w:p>
    <w:p w:rsidR="008E721E" w:rsidRPr="00FF4234" w:rsidRDefault="008E721E" w:rsidP="008E721E">
      <w:pPr>
        <w:pStyle w:val="Paragrafi"/>
        <w:rPr>
          <w:b/>
          <w:lang w:val="sq-AL"/>
        </w:rPr>
      </w:pPr>
      <w:r w:rsidRPr="00FF4234">
        <w:rPr>
          <w:b/>
          <w:lang w:val="sq-AL"/>
        </w:rPr>
        <w:t>4.2.2  Në kuadër të menaxhimit të riskut të normave të interesit</w:t>
      </w:r>
    </w:p>
    <w:p w:rsidR="008E721E" w:rsidRPr="00FF4234" w:rsidRDefault="008E721E" w:rsidP="008E721E">
      <w:pPr>
        <w:pStyle w:val="Paragrafi"/>
        <w:rPr>
          <w:lang w:val="sq-AL"/>
        </w:rPr>
      </w:pPr>
      <w:r w:rsidRPr="00FF4234">
        <w:rPr>
          <w:lang w:val="sq-AL"/>
        </w:rPr>
        <w:t>- Reduktimi i instrumenteve afatshkurtër në portofolin e bo</w:t>
      </w:r>
      <w:r>
        <w:rPr>
          <w:lang w:val="sq-AL"/>
        </w:rPr>
        <w:t xml:space="preserve">rxhit të brendshëm deri në 43% </w:t>
      </w:r>
      <w:r w:rsidRPr="00FF4234">
        <w:rPr>
          <w:lang w:val="sq-AL"/>
        </w:rPr>
        <w:t>të totalit në fund të vitit 2017 dhe deri në 40% në fund të vitit 2019.</w:t>
      </w:r>
    </w:p>
    <w:p w:rsidR="008E721E" w:rsidRPr="00FF4234" w:rsidRDefault="008E721E" w:rsidP="008E721E">
      <w:pPr>
        <w:pStyle w:val="Paragrafi"/>
        <w:rPr>
          <w:lang w:val="sq-AL"/>
        </w:rPr>
      </w:pPr>
      <w:r w:rsidRPr="00FF4234">
        <w:rPr>
          <w:lang w:val="sq-AL"/>
        </w:rPr>
        <w:t>- Reduktimi i instrumenteve me norma interesi variabël në portofolin e borxhit deri në 52.5% të totalit në fund të vitit 2017 dhe deri në 51.5 % në fund të vitit 2019.</w:t>
      </w:r>
    </w:p>
    <w:p w:rsidR="008E721E" w:rsidRPr="00FF4234" w:rsidRDefault="008E721E" w:rsidP="008E721E">
      <w:pPr>
        <w:pStyle w:val="Paragrafi"/>
        <w:rPr>
          <w:lang w:val="sq-AL"/>
        </w:rPr>
      </w:pPr>
      <w:r w:rsidRPr="00FF4234">
        <w:rPr>
          <w:lang w:val="sq-AL"/>
        </w:rPr>
        <w:t>(Ky raport synohet të arrihet duke e kufizuar shumën e emetimit të obligacioneve me norma interesi varibël në tregun e brendshëm në jo më shumë se 30% të shumës totale të emetimit. Ndërkohë, në tregun e jashtëm përveç kredisë pjesërisht të garantuar nga BB dhe Eurobondit, të cilat janë planifikuar të jenë me norma interesi të fiksuara pjesa tjetër e huave të reja është presupozuar të jetë me norma interesi tregtare dhe të lëvizshme).</w:t>
      </w:r>
    </w:p>
    <w:p w:rsidR="008E721E" w:rsidRPr="00FF4234" w:rsidRDefault="008E721E" w:rsidP="008E721E">
      <w:pPr>
        <w:pStyle w:val="Paragrafi"/>
        <w:rPr>
          <w:b/>
          <w:lang w:val="sq-AL"/>
        </w:rPr>
      </w:pPr>
      <w:r w:rsidRPr="00FF4234">
        <w:rPr>
          <w:b/>
          <w:lang w:val="sq-AL"/>
        </w:rPr>
        <w:t>4.2.3 Në kuadër të menaxhimit të riskut të kursit të këmbimit</w:t>
      </w:r>
    </w:p>
    <w:p w:rsidR="008E721E" w:rsidRPr="00FF4234" w:rsidRDefault="008E721E" w:rsidP="008E721E">
      <w:pPr>
        <w:pStyle w:val="Paragrafi"/>
        <w:rPr>
          <w:lang w:val="sq-AL"/>
        </w:rPr>
      </w:pPr>
      <w:r w:rsidRPr="00FF4234">
        <w:rPr>
          <w:lang w:val="sq-AL"/>
        </w:rPr>
        <w:t>- Mbajtja nën kontroll e borxhit të jashtëm, duke mos tejkaluar 45% e totalit të portofolit të borxhit në fund të periudhës afatmesme 2015-2017.</w:t>
      </w:r>
    </w:p>
    <w:p w:rsidR="008E721E" w:rsidRPr="00FF4234" w:rsidRDefault="008E721E" w:rsidP="008E721E">
      <w:pPr>
        <w:pStyle w:val="Paragrafi"/>
        <w:rPr>
          <w:lang w:val="sq-AL"/>
        </w:rPr>
      </w:pPr>
      <w:r w:rsidRPr="00FF4234">
        <w:rPr>
          <w:lang w:val="sq-AL"/>
        </w:rPr>
        <w:t xml:space="preserve">- Diversifikimi i monedhave në portofolin e borxhit të jashtëm dhe ulja e peshës specifike të monedhës </w:t>
      </w:r>
      <w:r>
        <w:rPr>
          <w:lang w:val="sq-AL"/>
        </w:rPr>
        <w:t>euro</w:t>
      </w:r>
      <w:r w:rsidRPr="00FF4234">
        <w:rPr>
          <w:lang w:val="sq-AL"/>
        </w:rPr>
        <w:t>, nëpërmjet financimit të projekteve me monedha të përbëra.</w:t>
      </w:r>
    </w:p>
    <w:p w:rsidR="008E721E" w:rsidRPr="00FF4234" w:rsidRDefault="008E721E" w:rsidP="008E721E">
      <w:pPr>
        <w:pStyle w:val="Paragrafi"/>
        <w:rPr>
          <w:lang w:val="sq-AL"/>
        </w:rPr>
      </w:pPr>
      <w:r w:rsidRPr="00FF4234">
        <w:rPr>
          <w:lang w:val="sq-AL"/>
        </w:rPr>
        <w:t xml:space="preserve">Shtimi i rezervës valutore, kryesisht në monedhën </w:t>
      </w:r>
      <w:r>
        <w:rPr>
          <w:lang w:val="sq-AL"/>
        </w:rPr>
        <w:t>euro</w:t>
      </w:r>
      <w:r w:rsidRPr="00FF4234">
        <w:rPr>
          <w:lang w:val="sq-AL"/>
        </w:rPr>
        <w:t>.</w:t>
      </w:r>
    </w:p>
    <w:p w:rsidR="008E721E" w:rsidRPr="00FF4234" w:rsidRDefault="008E721E" w:rsidP="008E721E">
      <w:pPr>
        <w:pStyle w:val="Paragrafi"/>
        <w:rPr>
          <w:b/>
          <w:lang w:val="sq-AL"/>
        </w:rPr>
      </w:pPr>
      <w:r w:rsidRPr="00FF4234">
        <w:rPr>
          <w:b/>
          <w:lang w:val="sq-AL"/>
        </w:rPr>
        <w:t>4.2.4  Në kuadër të menaxhimit të riskut të likuiditetit</w:t>
      </w:r>
    </w:p>
    <w:p w:rsidR="008E721E" w:rsidRPr="00FF4234" w:rsidRDefault="008E721E" w:rsidP="008E721E">
      <w:pPr>
        <w:pStyle w:val="Paragrafi"/>
        <w:rPr>
          <w:lang w:val="sq-AL"/>
        </w:rPr>
      </w:pPr>
      <w:r w:rsidRPr="00FF4234">
        <w:rPr>
          <w:lang w:val="sq-AL"/>
        </w:rPr>
        <w:t>- Ulja e vlerës së emetimit dhe rishpërndarja e peshave të emetimit, kryesisht në ankandet e bonove të thesarit. (bonove të thesarit 12-mujore të gjysmës së parë të vitit dhe bonove 6-mujo</w:t>
      </w:r>
      <w:r>
        <w:rPr>
          <w:lang w:val="sq-AL"/>
        </w:rPr>
        <w:t>re të muajit janar dhe korrik);</w:t>
      </w:r>
    </w:p>
    <w:p w:rsidR="008E721E" w:rsidRPr="00FF4234" w:rsidRDefault="008E721E" w:rsidP="008E721E">
      <w:pPr>
        <w:pStyle w:val="Paragrafi"/>
        <w:rPr>
          <w:lang w:val="sq-AL"/>
        </w:rPr>
      </w:pPr>
      <w:r w:rsidRPr="00FF4234">
        <w:rPr>
          <w:lang w:val="sq-AL"/>
        </w:rPr>
        <w:t>- Aplikimi i transaksioneve SWAP dhe Buyback;</w:t>
      </w:r>
    </w:p>
    <w:p w:rsidR="008E721E" w:rsidRPr="00FF4234" w:rsidRDefault="008E721E" w:rsidP="008E721E">
      <w:pPr>
        <w:pStyle w:val="Paragrafi"/>
        <w:rPr>
          <w:lang w:val="sq-AL"/>
        </w:rPr>
      </w:pPr>
      <w:r w:rsidRPr="00FF4234">
        <w:rPr>
          <w:lang w:val="sq-AL"/>
        </w:rPr>
        <w:t>- Mbajtja e depozitave me interes në monedhë vendase dhe valutë në Bankën e Shqipërisë.</w:t>
      </w:r>
    </w:p>
    <w:p w:rsidR="008E721E" w:rsidRPr="00FF4234" w:rsidRDefault="008E721E" w:rsidP="008E721E">
      <w:pPr>
        <w:pStyle w:val="Paragrafi"/>
        <w:rPr>
          <w:b/>
          <w:lang w:val="sq-AL"/>
        </w:rPr>
      </w:pPr>
      <w:r w:rsidRPr="00FF4234">
        <w:rPr>
          <w:b/>
          <w:lang w:val="sq-AL"/>
        </w:rPr>
        <w:t>4.2.5 Në kuadër të menaxhimit të riskut operacional</w:t>
      </w:r>
    </w:p>
    <w:p w:rsidR="008E721E" w:rsidRPr="00FF4234" w:rsidRDefault="008E721E" w:rsidP="008E721E">
      <w:pPr>
        <w:pStyle w:val="Paragrafi"/>
        <w:rPr>
          <w:lang w:val="sq-AL"/>
        </w:rPr>
      </w:pPr>
      <w:r w:rsidRPr="00FF4234">
        <w:rPr>
          <w:lang w:val="sq-AL"/>
        </w:rPr>
        <w:t>- Përditësimi i sistemit të regjistrimit të të dhënave (DMFAS);</w:t>
      </w:r>
    </w:p>
    <w:p w:rsidR="008E721E" w:rsidRPr="00FF4234" w:rsidRDefault="008E721E" w:rsidP="008E721E">
      <w:pPr>
        <w:pStyle w:val="Paragrafi"/>
        <w:rPr>
          <w:lang w:val="sq-AL"/>
        </w:rPr>
      </w:pPr>
      <w:r w:rsidRPr="00FF4234">
        <w:rPr>
          <w:lang w:val="sq-AL"/>
        </w:rPr>
        <w:t xml:space="preserve">- Kompozimi ose adaptimi nga Banka Botërore dhe FMN i mjeteve analitike për analizimin e të dhënave të borxhit dhe parashikimin e indikatorëve të riskut; </w:t>
      </w:r>
    </w:p>
    <w:p w:rsidR="008E721E" w:rsidRPr="00FF4234" w:rsidRDefault="008E721E" w:rsidP="008E721E">
      <w:pPr>
        <w:pStyle w:val="Paragrafi"/>
        <w:rPr>
          <w:lang w:val="sq-AL"/>
        </w:rPr>
      </w:pPr>
      <w:r w:rsidRPr="00FF4234">
        <w:rPr>
          <w:lang w:val="sq-AL"/>
        </w:rPr>
        <w:t>- Hartimi dhe implementimi i një manuali të detajuar për Drejtorinë e Drejtimit të Borxhit Publik;</w:t>
      </w:r>
    </w:p>
    <w:p w:rsidR="008E721E" w:rsidRPr="00FF4234" w:rsidRDefault="008E721E" w:rsidP="008E721E">
      <w:pPr>
        <w:pStyle w:val="Paragrafi"/>
        <w:rPr>
          <w:lang w:val="sq-AL"/>
        </w:rPr>
      </w:pPr>
      <w:r w:rsidRPr="00FF4234">
        <w:rPr>
          <w:lang w:val="sq-AL"/>
        </w:rPr>
        <w:t>- Krijimi i një baze të dhënash e integruar që të përfshijë borxhin e brendshëm dhe të jashtëm;</w:t>
      </w:r>
    </w:p>
    <w:p w:rsidR="008E721E" w:rsidRPr="00FF4234" w:rsidRDefault="008E721E" w:rsidP="008E721E">
      <w:pPr>
        <w:pStyle w:val="Paragrafi"/>
        <w:rPr>
          <w:lang w:val="sq-AL"/>
        </w:rPr>
      </w:pPr>
      <w:r w:rsidRPr="00FF4234">
        <w:rPr>
          <w:lang w:val="sq-AL"/>
        </w:rPr>
        <w:t>- Shtimi i kapaciteteve njerëzore nëpërmjet trajnimeve specifike.</w:t>
      </w:r>
    </w:p>
    <w:p w:rsidR="008E721E" w:rsidRPr="00FF4234" w:rsidRDefault="008E721E" w:rsidP="008E721E">
      <w:pPr>
        <w:pStyle w:val="Paragrafi"/>
        <w:rPr>
          <w:lang w:val="sq-AL"/>
        </w:rPr>
      </w:pPr>
      <w:r w:rsidRPr="00FF4234">
        <w:rPr>
          <w:lang w:val="sq-AL"/>
        </w:rPr>
        <w:t>- Përmirësime institucionale të Drejtorisë së Borxhit, të cilat mundësojnë rritjen e profilit institucional dhe të profesionalizmit të njësisë teknike të administrimit të borxhit.</w:t>
      </w:r>
    </w:p>
    <w:p w:rsidR="008E721E" w:rsidRPr="00FF4234" w:rsidRDefault="008E721E" w:rsidP="008E721E">
      <w:pPr>
        <w:pStyle w:val="Paragrafi"/>
        <w:rPr>
          <w:b/>
          <w:lang w:val="sq-AL"/>
        </w:rPr>
      </w:pPr>
      <w:r w:rsidRPr="00FF4234">
        <w:rPr>
          <w:b/>
          <w:lang w:val="sq-AL"/>
        </w:rPr>
        <w:t>4.3 Instrumentet financiarë të vlerësuar në periudhën afatmesme 2015-2019</w:t>
      </w:r>
    </w:p>
    <w:p w:rsidR="008E721E" w:rsidRPr="00FF4234" w:rsidRDefault="008E721E" w:rsidP="008E721E">
      <w:pPr>
        <w:pStyle w:val="Paragrafi"/>
        <w:rPr>
          <w:lang w:val="sq-AL"/>
        </w:rPr>
      </w:pPr>
      <w:r w:rsidRPr="00FF4234">
        <w:rPr>
          <w:lang w:val="sq-AL"/>
        </w:rPr>
        <w:t xml:space="preserve">Në kuadër të shërbimit të borxhit ekzistent dhe në kuadër të plotësimit të nevojës për huamarrje Strategjia Afatmesme e Menaxhimit të Borxhit (SAMB) ka analizuar dhe ka vlerësuar kushtet e tregut të brendshëm dhe të tregjeve ndërkombëtare të kapitalit, duke përcaktuar instrumentet financiarë në dispozicion të vendit tonë. </w:t>
      </w:r>
    </w:p>
    <w:p w:rsidR="008E721E" w:rsidRPr="00FF4234" w:rsidRDefault="008E721E" w:rsidP="008E721E">
      <w:pPr>
        <w:pStyle w:val="Paragrafi"/>
        <w:rPr>
          <w:lang w:val="sq-AL"/>
        </w:rPr>
      </w:pPr>
      <w:r w:rsidRPr="00FF4234">
        <w:rPr>
          <w:lang w:val="sq-AL"/>
        </w:rPr>
        <w:t>Në tregun e brendshëm është mbajtur kontakt i vazhdueshëm, kryesisht me sistemin bankar me qëllim evidentimin e kërkesës kundrejt instrumenteve financiarë shtetërorë dhe shkallën e ekspozimit kundrejt instrumenteve me afat të gjatë maturimi.</w:t>
      </w:r>
    </w:p>
    <w:p w:rsidR="008E721E" w:rsidRPr="00FF4234" w:rsidRDefault="008E721E" w:rsidP="008E721E">
      <w:pPr>
        <w:pStyle w:val="Paragrafi"/>
        <w:rPr>
          <w:lang w:val="sq-AL"/>
        </w:rPr>
      </w:pPr>
      <w:r w:rsidRPr="00FF4234">
        <w:rPr>
          <w:lang w:val="sq-AL"/>
        </w:rPr>
        <w:t>Ndërkohë, edhe me tregun e jashtëm është mbajtur vazhdimisht kontakt me qëllim evidentimin e kushteve kundrejt të cilave investitorët e huaj janë të gatshëm të kreditojnë vendin tonë. Në këtë aspekt, dhe me qëllim ndërmjetësimin ndërmjet investitorëve të huaj dhe shtetit shqiptar, një rol të rëndësishëm kanë luajtur edhe partnerët tanë ndërkombëtarë si: Banka Botërore dhe FMN.</w:t>
      </w:r>
    </w:p>
    <w:p w:rsidR="008E721E" w:rsidRPr="00FF4234" w:rsidRDefault="008E721E" w:rsidP="008E721E">
      <w:pPr>
        <w:pStyle w:val="Paragrafi"/>
        <w:rPr>
          <w:lang w:val="sq-AL"/>
        </w:rPr>
      </w:pPr>
      <w:r w:rsidRPr="00FF4234">
        <w:rPr>
          <w:lang w:val="sq-AL"/>
        </w:rPr>
        <w:lastRenderedPageBreak/>
        <w:t>Për sa më sipër, SAMB vlerëson së në periudhën afatmesme 2015-2019 shteti shqiptar do të jetë në gjendje që shfrytëzojë alternativat e financimit si më poshtë:</w:t>
      </w:r>
    </w:p>
    <w:p w:rsidR="008E721E" w:rsidRPr="00FF4234" w:rsidRDefault="008E721E" w:rsidP="008E721E">
      <w:pPr>
        <w:pStyle w:val="Paragrafi"/>
        <w:rPr>
          <w:b/>
          <w:lang w:val="sq-AL"/>
        </w:rPr>
      </w:pPr>
      <w:r w:rsidRPr="00FF4234">
        <w:rPr>
          <w:b/>
          <w:lang w:val="sq-AL"/>
        </w:rPr>
        <w:t>Në tregun vendas</w:t>
      </w:r>
    </w:p>
    <w:p w:rsidR="008E721E" w:rsidRPr="00FF4234" w:rsidRDefault="008E721E" w:rsidP="008E721E">
      <w:pPr>
        <w:pStyle w:val="Paragrafi"/>
        <w:rPr>
          <w:lang w:val="sq-AL"/>
        </w:rPr>
      </w:pPr>
      <w:r w:rsidRPr="00FF4234">
        <w:rPr>
          <w:lang w:val="sq-AL"/>
        </w:rPr>
        <w:t>- Bono thesari;</w:t>
      </w:r>
    </w:p>
    <w:p w:rsidR="008E721E" w:rsidRPr="00FF4234" w:rsidRDefault="008E721E" w:rsidP="008E721E">
      <w:pPr>
        <w:pStyle w:val="Paragrafi"/>
        <w:rPr>
          <w:lang w:val="sq-AL"/>
        </w:rPr>
      </w:pPr>
      <w:r w:rsidRPr="00FF4234">
        <w:rPr>
          <w:lang w:val="sq-AL"/>
        </w:rPr>
        <w:t>- Obligacione</w:t>
      </w:r>
      <w:r>
        <w:rPr>
          <w:lang w:val="sq-AL"/>
        </w:rPr>
        <w:t>.</w:t>
      </w:r>
    </w:p>
    <w:p w:rsidR="008E721E" w:rsidRPr="00FF4234" w:rsidRDefault="008E721E" w:rsidP="008E721E">
      <w:pPr>
        <w:pStyle w:val="Paragrafi"/>
        <w:rPr>
          <w:lang w:val="sq-AL"/>
        </w:rPr>
      </w:pPr>
      <w:r w:rsidRPr="00FF4234">
        <w:rPr>
          <w:lang w:val="sq-AL"/>
        </w:rPr>
        <w:t xml:space="preserve">Në tregun vendas, likuiditeti i sistemit bankar në nivele të kënaqshme, si edhe perceptimi jo i lartë i riskut të kreditit nga ana e investitorëve, i jep mundësinë shtetit shqiptar të ri-financojë borxhin aktual dhe deficitin e brendshëm nëpërmjet instrumenteve të sipër renditura. </w:t>
      </w:r>
    </w:p>
    <w:p w:rsidR="008E721E" w:rsidRPr="00FF4234" w:rsidRDefault="008E721E" w:rsidP="008E721E">
      <w:pPr>
        <w:pStyle w:val="Paragrafi"/>
        <w:rPr>
          <w:lang w:val="sq-AL"/>
        </w:rPr>
      </w:pPr>
      <w:r w:rsidRPr="00FF4234">
        <w:rPr>
          <w:lang w:val="sq-AL"/>
        </w:rPr>
        <w:t xml:space="preserve">Gjithsesi, gjatë vitit 2015 investitorët kryesorë (sistemi bankar) për shkak të orientimit të bankave mëma, si dhe në kuadër të kufizimeve lidhur me raportet e likuiditetit, barrës së kapitalit dhe ekspozimit ndaj borxhit sovran do të tentojnë më së shumti të orientohen drejt bonove të thesarit.  </w:t>
      </w:r>
    </w:p>
    <w:p w:rsidR="008E721E" w:rsidRPr="00FF4234" w:rsidRDefault="008E721E" w:rsidP="008E721E">
      <w:pPr>
        <w:pStyle w:val="Paragrafi"/>
        <w:rPr>
          <w:b/>
          <w:lang w:val="sq-AL"/>
        </w:rPr>
      </w:pPr>
      <w:r w:rsidRPr="00FF4234">
        <w:rPr>
          <w:b/>
          <w:lang w:val="sq-AL"/>
        </w:rPr>
        <w:t>Në tregjet ndërkombëtare</w:t>
      </w:r>
    </w:p>
    <w:p w:rsidR="008E721E" w:rsidRPr="00FF4234" w:rsidRDefault="008E721E" w:rsidP="008E721E">
      <w:pPr>
        <w:pStyle w:val="Paragrafi"/>
        <w:rPr>
          <w:lang w:val="sq-AL"/>
        </w:rPr>
      </w:pPr>
      <w:r w:rsidRPr="00FF4234">
        <w:rPr>
          <w:lang w:val="sq-AL"/>
        </w:rPr>
        <w:t>- Eurobond</w:t>
      </w:r>
    </w:p>
    <w:p w:rsidR="008E721E" w:rsidRPr="00FF4234" w:rsidRDefault="008E721E" w:rsidP="008E721E">
      <w:pPr>
        <w:pStyle w:val="Paragrafi"/>
        <w:rPr>
          <w:lang w:val="sq-AL"/>
        </w:rPr>
      </w:pPr>
      <w:r w:rsidRPr="00FF4234">
        <w:rPr>
          <w:lang w:val="sq-AL"/>
        </w:rPr>
        <w:t xml:space="preserve">- Garanci pjesore e lëshuar nga Banka Botërore (PBG) </w:t>
      </w:r>
    </w:p>
    <w:p w:rsidR="008E721E" w:rsidRPr="00FF4234" w:rsidRDefault="008E721E" w:rsidP="008E721E">
      <w:pPr>
        <w:pStyle w:val="Paragrafi"/>
        <w:rPr>
          <w:lang w:val="sq-AL"/>
        </w:rPr>
      </w:pPr>
      <w:r w:rsidRPr="00FF4234">
        <w:rPr>
          <w:lang w:val="sq-AL"/>
        </w:rPr>
        <w:t>Konsiston në garantimin e pjesshëm nga ana e BB-së të një kredie tregtare nga tregjet  ndërkombëtare dhe që mundëson një kosto më të favorshme rreth 1 pikë përqindje nën atë të tregut.</w:t>
      </w:r>
    </w:p>
    <w:p w:rsidR="008E721E" w:rsidRPr="00FF4234" w:rsidRDefault="008E721E" w:rsidP="008E721E">
      <w:pPr>
        <w:pStyle w:val="Paragrafi"/>
        <w:rPr>
          <w:lang w:val="sq-AL"/>
        </w:rPr>
      </w:pPr>
      <w:r w:rsidRPr="00FF4234">
        <w:rPr>
          <w:lang w:val="sq-AL"/>
        </w:rPr>
        <w:t xml:space="preserve">- Credit Line/Kredi </w:t>
      </w:r>
      <w:r>
        <w:rPr>
          <w:lang w:val="sq-AL"/>
        </w:rPr>
        <w:t>s</w:t>
      </w:r>
      <w:r w:rsidRPr="00FF4234">
        <w:rPr>
          <w:lang w:val="sq-AL"/>
        </w:rPr>
        <w:t>indikale</w:t>
      </w:r>
    </w:p>
    <w:p w:rsidR="008E721E" w:rsidRPr="00FF4234" w:rsidRDefault="008E721E" w:rsidP="008E721E">
      <w:pPr>
        <w:pStyle w:val="Paragrafi"/>
        <w:rPr>
          <w:lang w:val="sq-AL"/>
        </w:rPr>
      </w:pPr>
      <w:r w:rsidRPr="00FF4234">
        <w:rPr>
          <w:lang w:val="sq-AL"/>
        </w:rPr>
        <w:t>Është një linjë kredie, e cila është vënë në dispozicion të shtetit shqiptar nga ana e disa bankave ndërkombëtare si alternativë në rast dështimi të Eurobondit.</w:t>
      </w:r>
    </w:p>
    <w:p w:rsidR="008E721E" w:rsidRPr="00FF4234" w:rsidRDefault="008E721E" w:rsidP="008E721E">
      <w:pPr>
        <w:pStyle w:val="Paragrafi"/>
        <w:rPr>
          <w:lang w:val="sq-AL"/>
        </w:rPr>
      </w:pPr>
      <w:r w:rsidRPr="00FF4234">
        <w:rPr>
          <w:lang w:val="sq-AL"/>
        </w:rPr>
        <w:t>- Kredi për financim projektesh</w:t>
      </w:r>
    </w:p>
    <w:p w:rsidR="008E721E" w:rsidRPr="00FF4234" w:rsidRDefault="008E721E" w:rsidP="008E721E">
      <w:pPr>
        <w:pStyle w:val="Paragrafi"/>
        <w:rPr>
          <w:lang w:val="sq-AL"/>
        </w:rPr>
      </w:pPr>
      <w:r w:rsidRPr="00FF4234">
        <w:rPr>
          <w:lang w:val="sq-AL"/>
        </w:rPr>
        <w:t>Në</w:t>
      </w:r>
      <w:r>
        <w:rPr>
          <w:lang w:val="sq-AL"/>
        </w:rPr>
        <w:t xml:space="preserve"> këtë grup futen të gjitha huat</w:t>
      </w:r>
      <w:r w:rsidRPr="00FF4234">
        <w:rPr>
          <w:lang w:val="sq-AL"/>
        </w:rPr>
        <w:t xml:space="preserve"> në formën e kredive që përdoren për financimin e projekteve, të cilat janë përcaktuar si prioritare nga ana e Qeverisë, me qëllim zhvillimin e mëtejshëm ekonomik të vendit. Kryesisht do të jenë të disponue</w:t>
      </w:r>
      <w:r>
        <w:rPr>
          <w:lang w:val="sq-AL"/>
        </w:rPr>
        <w:t>shme kredi me norma interesi jo</w:t>
      </w:r>
      <w:r w:rsidRPr="00FF4234">
        <w:rPr>
          <w:lang w:val="sq-AL"/>
        </w:rPr>
        <w:t>koncensionale.</w:t>
      </w:r>
    </w:p>
    <w:p w:rsidR="008E721E" w:rsidRPr="00FF4234" w:rsidRDefault="008E721E" w:rsidP="008E721E">
      <w:pPr>
        <w:pStyle w:val="Paragrafi"/>
        <w:rPr>
          <w:b/>
          <w:lang w:val="sq-AL"/>
        </w:rPr>
      </w:pPr>
      <w:r>
        <w:rPr>
          <w:b/>
          <w:lang w:val="sq-AL"/>
        </w:rPr>
        <w:t>4.4</w:t>
      </w:r>
      <w:r w:rsidRPr="00FF4234">
        <w:rPr>
          <w:b/>
          <w:lang w:val="sq-AL"/>
        </w:rPr>
        <w:t xml:space="preserve"> Kompozimi i strategjive  </w:t>
      </w:r>
    </w:p>
    <w:p w:rsidR="008E721E" w:rsidRPr="00FF4234" w:rsidRDefault="008E721E" w:rsidP="008E721E">
      <w:pPr>
        <w:pStyle w:val="Paragrafi"/>
        <w:rPr>
          <w:lang w:val="sq-AL"/>
        </w:rPr>
      </w:pPr>
      <w:r w:rsidRPr="00FF4234">
        <w:rPr>
          <w:lang w:val="sq-AL"/>
        </w:rPr>
        <w:t>Strategjia Afatmesme e Menaxhimit të Borxhit (SAMB)</w:t>
      </w:r>
      <w:r>
        <w:rPr>
          <w:lang w:val="sq-AL"/>
        </w:rPr>
        <w:t>,</w:t>
      </w:r>
      <w:r w:rsidRPr="00FF4234">
        <w:rPr>
          <w:lang w:val="sq-AL"/>
        </w:rPr>
        <w:t xml:space="preserve"> duke marrë në konsideratë objektivat e vendosura, alternativat e financimit në dispozicion të vendit, si edhe çdo eventualitet të mundshëm</w:t>
      </w:r>
      <w:r w:rsidRPr="00964985">
        <w:rPr>
          <w:vertAlign w:val="superscript"/>
          <w:lang w:val="sq-AL"/>
        </w:rPr>
        <w:footnoteReference w:id="5"/>
      </w:r>
      <w:r w:rsidRPr="00FF4234">
        <w:rPr>
          <w:lang w:val="sq-AL"/>
        </w:rPr>
        <w:t xml:space="preserve"> në tregun e brendshëm dhe ndërkombëtarë, ka kompozuar strategjinë bazë dhe 3 strategji alternative.</w:t>
      </w:r>
    </w:p>
    <w:p w:rsidR="008E721E" w:rsidRPr="00FF4234" w:rsidRDefault="008E721E" w:rsidP="008E721E">
      <w:pPr>
        <w:pStyle w:val="Paragrafi"/>
        <w:rPr>
          <w:b/>
          <w:lang w:val="sq-AL"/>
        </w:rPr>
      </w:pPr>
      <w:r>
        <w:rPr>
          <w:b/>
          <w:lang w:val="sq-AL"/>
        </w:rPr>
        <w:t>4.4.1</w:t>
      </w:r>
      <w:r w:rsidRPr="00FF4234">
        <w:rPr>
          <w:b/>
          <w:lang w:val="sq-AL"/>
        </w:rPr>
        <w:t xml:space="preserve"> Strategjia 1 (bazë)</w:t>
      </w:r>
      <w:r w:rsidRPr="00FF4234">
        <w:rPr>
          <w:b/>
          <w:vertAlign w:val="superscript"/>
          <w:lang w:val="sq-AL"/>
        </w:rPr>
        <w:footnoteReference w:id="6"/>
      </w:r>
    </w:p>
    <w:p w:rsidR="008E721E" w:rsidRPr="00FF4234" w:rsidRDefault="008E721E" w:rsidP="008E721E">
      <w:pPr>
        <w:pStyle w:val="Paragrafi"/>
        <w:rPr>
          <w:lang w:val="sq-AL"/>
        </w:rPr>
      </w:pPr>
      <w:r w:rsidRPr="00FF4234">
        <w:rPr>
          <w:lang w:val="sq-AL"/>
        </w:rPr>
        <w:t xml:space="preserve">Për vitin 2015, strategjia </w:t>
      </w:r>
      <w:r>
        <w:rPr>
          <w:lang w:val="sq-AL"/>
        </w:rPr>
        <w:t>b</w:t>
      </w:r>
      <w:r w:rsidRPr="00FF4234">
        <w:rPr>
          <w:lang w:val="sq-AL"/>
        </w:rPr>
        <w:t xml:space="preserve">azë e menaxhimit të borxhit publik, ka marrë në konsideratë faktin që investitorët kryesorë të titujve qeveritarë brenda vendit, që vitin e kaluar kanë dhënë shenja të qarta tërheqje. Gjatë vitit 2015 nga një informacion paraprak prej bankave, mbeten të pambuluara gati 30 mld </w:t>
      </w:r>
      <w:r>
        <w:rPr>
          <w:lang w:val="sq-AL"/>
        </w:rPr>
        <w:t>lekë</w:t>
      </w:r>
      <w:r w:rsidRPr="00FF4234">
        <w:rPr>
          <w:lang w:val="sq-AL"/>
        </w:rPr>
        <w:t xml:space="preserve"> financim i brendshëm. Duke vlerësuar këtë fakt, si dhe treguesit e rrezikut të rinovimit të shpeshtë të borxhit (rreth 320 mld. </w:t>
      </w:r>
      <w:r>
        <w:rPr>
          <w:lang w:val="sq-AL"/>
        </w:rPr>
        <w:t>lekë</w:t>
      </w:r>
      <w:r w:rsidRPr="00FF4234">
        <w:rPr>
          <w:lang w:val="sq-AL"/>
        </w:rPr>
        <w:t xml:space="preserve"> rinovohen çdo vit), në vitin 2015 synohet zgjerimi i huamarrjes në tregun ndërkombëtar për të mbuluar nevojat shtesë për financim dhe nëse krijohet hapësira për të zëvendësuar dhe një pjesë të borxhit afatshkurtër të brendshëm. Gjithashtu, ulja e financimit të brendshëm i shoqëruar me iniciativën e Qeverisë për likuidimin tërësor të detyrimeve të prapambetura do t’i jap mundësinë sektorit bankar për të </w:t>
      </w:r>
      <w:r>
        <w:rPr>
          <w:lang w:val="sq-AL"/>
        </w:rPr>
        <w:t>ristrukturuar portofolin e huas</w:t>
      </w:r>
      <w:r w:rsidRPr="00FF4234">
        <w:rPr>
          <w:lang w:val="sq-AL"/>
        </w:rPr>
        <w:t xml:space="preserve"> në përputhje të provigjioneve të vendosura nga Konventa Basel III dhe gjithashtu  të rrisë dhe mundësinë e kreditimit të sektorit privat.</w:t>
      </w:r>
    </w:p>
    <w:p w:rsidR="008E721E" w:rsidRPr="00FF4234" w:rsidRDefault="008E721E" w:rsidP="008E721E">
      <w:pPr>
        <w:pStyle w:val="Paragrafi"/>
        <w:rPr>
          <w:lang w:val="sq-AL"/>
        </w:rPr>
      </w:pPr>
      <w:r w:rsidRPr="00FF4234">
        <w:rPr>
          <w:lang w:val="sq-AL"/>
        </w:rPr>
        <w:t>Kjo do të arrih</w:t>
      </w:r>
      <w:r>
        <w:rPr>
          <w:lang w:val="sq-AL"/>
        </w:rPr>
        <w:t>et nëpërmjet përdorimit të huas</w:t>
      </w:r>
      <w:r w:rsidRPr="00FF4234">
        <w:rPr>
          <w:lang w:val="sq-AL"/>
        </w:rPr>
        <w:t xml:space="preserve"> së garantuar pjesërisht nga Banka Botërore (</w:t>
      </w:r>
      <w:r w:rsidRPr="00AC6C00">
        <w:rPr>
          <w:i/>
          <w:lang w:val="sq-AL"/>
        </w:rPr>
        <w:t xml:space="preserve">Policy Based Guarantee </w:t>
      </w:r>
      <w:r w:rsidRPr="00FF4234">
        <w:rPr>
          <w:lang w:val="sq-AL"/>
        </w:rPr>
        <w:t xml:space="preserve">- PBG) në një vlerë prej 300 milionë USD (250 milionë </w:t>
      </w:r>
      <w:r>
        <w:rPr>
          <w:lang w:val="sq-AL"/>
        </w:rPr>
        <w:t>euro</w:t>
      </w:r>
      <w:r w:rsidRPr="00FF4234">
        <w:rPr>
          <w:lang w:val="sq-AL"/>
        </w:rPr>
        <w:t xml:space="preserve">). </w:t>
      </w:r>
    </w:p>
    <w:p w:rsidR="008E721E" w:rsidRPr="00FF4234" w:rsidRDefault="008E721E" w:rsidP="008E721E">
      <w:pPr>
        <w:pStyle w:val="Paragrafi"/>
        <w:rPr>
          <w:lang w:val="sq-AL"/>
        </w:rPr>
      </w:pPr>
      <w:r w:rsidRPr="00FF4234">
        <w:rPr>
          <w:lang w:val="sq-AL"/>
        </w:rPr>
        <w:t>Sipas strategjisë bazë një objek</w:t>
      </w:r>
      <w:r>
        <w:rPr>
          <w:lang w:val="sq-AL"/>
        </w:rPr>
        <w:t>tiv i rëndësishëm është edhe ri</w:t>
      </w:r>
      <w:r w:rsidRPr="00FF4234">
        <w:rPr>
          <w:lang w:val="sq-AL"/>
        </w:rPr>
        <w:t xml:space="preserve">financimi i Eurobondit të emetuar në vitin 2010 në vlerën prej 300 milionë </w:t>
      </w:r>
      <w:r>
        <w:rPr>
          <w:lang w:val="sq-AL"/>
        </w:rPr>
        <w:t>euro</w:t>
      </w:r>
      <w:r w:rsidRPr="00FF4234">
        <w:rPr>
          <w:lang w:val="sq-AL"/>
        </w:rPr>
        <w:t xml:space="preserve">, nëpërmjet daljes dhe shfrytëzimit të oportuniteteve në tregun ndërkombëtar të instrumenteve financiare. Emetimi i këtij instrumenti me sukses do të ishte një garanci më shumë për sa i përket përmirësimit të strukturës së borxhit dhe në të njëjtën kohë ri-afirmimit të Shqipërisë në tregjet ndërkombëtare të kapitalit. </w:t>
      </w:r>
    </w:p>
    <w:p w:rsidR="008E721E" w:rsidRPr="00FF4234" w:rsidRDefault="008E721E" w:rsidP="008E721E">
      <w:pPr>
        <w:pStyle w:val="Paragrafi"/>
        <w:rPr>
          <w:lang w:val="sq-AL"/>
        </w:rPr>
      </w:pPr>
      <w:r w:rsidRPr="00FF4234">
        <w:rPr>
          <w:lang w:val="sq-AL"/>
        </w:rPr>
        <w:t xml:space="preserve">Financimi i huaj do të realizohet nëpërmjet huave në formën e kredive për realizimin e projekteve prioritare të qeverisë dhe financimit shtesë të akorduar nga FMN dhe Banka Botërore sipas marrëveshjes për shlyerjen e detyrimeve të prapambetura. Vlera e financimit të huaj do të jetë në përputhje me vlerën e përcaktuar në kuadrin makro-fiskal 2015-2017. </w:t>
      </w:r>
    </w:p>
    <w:p w:rsidR="008E721E" w:rsidRPr="00FF4234" w:rsidRDefault="008E721E" w:rsidP="008E721E">
      <w:pPr>
        <w:pStyle w:val="Paragrafi"/>
        <w:rPr>
          <w:lang w:val="sq-AL"/>
        </w:rPr>
      </w:pPr>
      <w:r w:rsidRPr="00FF4234">
        <w:rPr>
          <w:lang w:val="sq-AL"/>
        </w:rPr>
        <w:t>Tabela 3. Financimi i bruto në vlerë relative sipas instrumenteve të financimit</w:t>
      </w:r>
    </w:p>
    <w:tbl>
      <w:tblPr>
        <w:tblW w:w="5139" w:type="dxa"/>
        <w:tblInd w:w="94" w:type="dxa"/>
        <w:tblLook w:val="0000" w:firstRow="0" w:lastRow="0" w:firstColumn="0" w:lastColumn="0" w:noHBand="0" w:noVBand="0"/>
      </w:tblPr>
      <w:tblGrid>
        <w:gridCol w:w="1148"/>
        <w:gridCol w:w="1156"/>
        <w:gridCol w:w="829"/>
        <w:gridCol w:w="709"/>
        <w:gridCol w:w="1297"/>
      </w:tblGrid>
      <w:tr w:rsidR="008E721E" w:rsidRPr="00F335D6" w:rsidTr="00186FF8">
        <w:trPr>
          <w:trHeight w:val="345"/>
        </w:trPr>
        <w:tc>
          <w:tcPr>
            <w:tcW w:w="1148" w:type="dxa"/>
            <w:tcBorders>
              <w:top w:val="single" w:sz="8" w:space="0" w:color="auto"/>
              <w:left w:val="single" w:sz="8" w:space="0" w:color="auto"/>
              <w:bottom w:val="single" w:sz="8" w:space="0" w:color="auto"/>
              <w:right w:val="single" w:sz="8" w:space="0" w:color="auto"/>
            </w:tcBorders>
            <w:shd w:val="clear" w:color="auto" w:fill="C0C0C0"/>
            <w:noWrap/>
            <w:vAlign w:val="bottom"/>
          </w:tcPr>
          <w:p w:rsidR="008E721E" w:rsidRPr="00F335D6" w:rsidRDefault="008E721E" w:rsidP="00186FF8">
            <w:pPr>
              <w:pStyle w:val="Paragrafi"/>
              <w:ind w:firstLine="0"/>
              <w:rPr>
                <w:b/>
                <w:sz w:val="18"/>
                <w:szCs w:val="18"/>
                <w:lang w:val="sq-AL"/>
              </w:rPr>
            </w:pPr>
            <w:r w:rsidRPr="00F335D6">
              <w:rPr>
                <w:b/>
                <w:sz w:val="18"/>
                <w:szCs w:val="18"/>
                <w:lang w:val="sq-AL"/>
              </w:rPr>
              <w:lastRenderedPageBreak/>
              <w:t>Financimi</w:t>
            </w:r>
          </w:p>
        </w:tc>
        <w:tc>
          <w:tcPr>
            <w:tcW w:w="1156" w:type="dxa"/>
            <w:tcBorders>
              <w:top w:val="single" w:sz="8" w:space="0" w:color="auto"/>
              <w:left w:val="nil"/>
              <w:bottom w:val="single" w:sz="8" w:space="0" w:color="auto"/>
              <w:right w:val="nil"/>
            </w:tcBorders>
            <w:shd w:val="clear" w:color="auto" w:fill="C0C0C0"/>
            <w:noWrap/>
            <w:vAlign w:val="bottom"/>
          </w:tcPr>
          <w:p w:rsidR="008E721E" w:rsidRPr="00F335D6" w:rsidRDefault="008E721E" w:rsidP="00186FF8">
            <w:pPr>
              <w:pStyle w:val="Paragrafi"/>
              <w:ind w:firstLine="0"/>
              <w:rPr>
                <w:b/>
                <w:sz w:val="18"/>
                <w:szCs w:val="18"/>
                <w:lang w:val="sq-AL"/>
              </w:rPr>
            </w:pPr>
            <w:r w:rsidRPr="00F335D6">
              <w:rPr>
                <w:b/>
                <w:sz w:val="18"/>
                <w:szCs w:val="18"/>
                <w:lang w:val="sq-AL"/>
              </w:rPr>
              <w:t>Instrumente të financimit</w:t>
            </w:r>
          </w:p>
        </w:tc>
        <w:tc>
          <w:tcPr>
            <w:tcW w:w="829" w:type="dxa"/>
            <w:tcBorders>
              <w:top w:val="single" w:sz="8" w:space="0" w:color="auto"/>
              <w:left w:val="single" w:sz="8" w:space="0" w:color="auto"/>
              <w:bottom w:val="single" w:sz="8" w:space="0" w:color="auto"/>
              <w:right w:val="single" w:sz="8" w:space="0" w:color="auto"/>
            </w:tcBorders>
            <w:shd w:val="clear" w:color="auto" w:fill="C0C0C0"/>
            <w:noWrap/>
            <w:vAlign w:val="center"/>
          </w:tcPr>
          <w:p w:rsidR="008E721E" w:rsidRPr="00F335D6" w:rsidRDefault="008E721E" w:rsidP="00186FF8">
            <w:pPr>
              <w:pStyle w:val="Paragrafi"/>
              <w:ind w:firstLine="0"/>
              <w:rPr>
                <w:b/>
                <w:sz w:val="18"/>
                <w:szCs w:val="18"/>
                <w:lang w:val="sq-AL"/>
              </w:rPr>
            </w:pPr>
            <w:r w:rsidRPr="00F335D6">
              <w:rPr>
                <w:b/>
                <w:sz w:val="18"/>
                <w:szCs w:val="18"/>
                <w:lang w:val="sq-AL"/>
              </w:rPr>
              <w:t>2015</w:t>
            </w:r>
          </w:p>
        </w:tc>
        <w:tc>
          <w:tcPr>
            <w:tcW w:w="709" w:type="dxa"/>
            <w:tcBorders>
              <w:top w:val="single" w:sz="8" w:space="0" w:color="auto"/>
              <w:left w:val="nil"/>
              <w:bottom w:val="single" w:sz="8" w:space="0" w:color="auto"/>
              <w:right w:val="nil"/>
            </w:tcBorders>
            <w:shd w:val="clear" w:color="auto" w:fill="C0C0C0"/>
            <w:noWrap/>
            <w:vAlign w:val="center"/>
          </w:tcPr>
          <w:p w:rsidR="008E721E" w:rsidRPr="00F335D6" w:rsidRDefault="008E721E" w:rsidP="00186FF8">
            <w:pPr>
              <w:pStyle w:val="Paragrafi"/>
              <w:ind w:firstLine="0"/>
              <w:rPr>
                <w:b/>
                <w:sz w:val="18"/>
                <w:szCs w:val="18"/>
                <w:lang w:val="sq-AL"/>
              </w:rPr>
            </w:pPr>
            <w:r w:rsidRPr="00F335D6">
              <w:rPr>
                <w:b/>
                <w:sz w:val="18"/>
                <w:szCs w:val="18"/>
                <w:lang w:val="sq-AL"/>
              </w:rPr>
              <w:t>2016</w:t>
            </w:r>
          </w:p>
        </w:tc>
        <w:tc>
          <w:tcPr>
            <w:tcW w:w="1297" w:type="dxa"/>
            <w:tcBorders>
              <w:top w:val="single" w:sz="8" w:space="0" w:color="auto"/>
              <w:left w:val="single" w:sz="8" w:space="0" w:color="auto"/>
              <w:bottom w:val="single" w:sz="8" w:space="0" w:color="auto"/>
              <w:right w:val="single" w:sz="8" w:space="0" w:color="auto"/>
            </w:tcBorders>
            <w:shd w:val="clear" w:color="auto" w:fill="C0C0C0"/>
            <w:noWrap/>
            <w:vAlign w:val="center"/>
          </w:tcPr>
          <w:p w:rsidR="008E721E" w:rsidRPr="00F335D6" w:rsidRDefault="008E721E" w:rsidP="00186FF8">
            <w:pPr>
              <w:pStyle w:val="Paragrafi"/>
              <w:ind w:firstLine="0"/>
              <w:rPr>
                <w:b/>
                <w:sz w:val="18"/>
                <w:szCs w:val="18"/>
                <w:lang w:val="sq-AL"/>
              </w:rPr>
            </w:pPr>
            <w:r w:rsidRPr="00F335D6">
              <w:rPr>
                <w:b/>
                <w:sz w:val="18"/>
                <w:szCs w:val="18"/>
                <w:lang w:val="sq-AL"/>
              </w:rPr>
              <w:t>2017</w:t>
            </w:r>
          </w:p>
        </w:tc>
      </w:tr>
      <w:tr w:rsidR="008E721E" w:rsidRPr="00F335D6" w:rsidTr="00186FF8">
        <w:trPr>
          <w:trHeight w:val="255"/>
        </w:trPr>
        <w:tc>
          <w:tcPr>
            <w:tcW w:w="1148" w:type="dxa"/>
            <w:vMerge w:val="restart"/>
            <w:tcBorders>
              <w:top w:val="nil"/>
              <w:left w:val="single" w:sz="8" w:space="0" w:color="auto"/>
              <w:bottom w:val="single" w:sz="8" w:space="0" w:color="000000"/>
              <w:right w:val="single" w:sz="8" w:space="0" w:color="auto"/>
            </w:tcBorders>
            <w:shd w:val="clear" w:color="auto" w:fill="auto"/>
            <w:vAlign w:val="center"/>
          </w:tcPr>
          <w:p w:rsidR="008E721E" w:rsidRPr="00F335D6" w:rsidRDefault="008E721E" w:rsidP="00186FF8">
            <w:pPr>
              <w:pStyle w:val="Paragrafi"/>
              <w:ind w:firstLine="0"/>
              <w:rPr>
                <w:sz w:val="18"/>
                <w:szCs w:val="18"/>
                <w:lang w:val="sq-AL"/>
              </w:rPr>
            </w:pPr>
            <w:r w:rsidRPr="00F335D6">
              <w:rPr>
                <w:sz w:val="18"/>
                <w:szCs w:val="18"/>
                <w:lang w:val="sq-AL"/>
              </w:rPr>
              <w:t>I brendshëm</w:t>
            </w:r>
          </w:p>
        </w:tc>
        <w:tc>
          <w:tcPr>
            <w:tcW w:w="1156" w:type="dxa"/>
            <w:tcBorders>
              <w:top w:val="nil"/>
              <w:left w:val="nil"/>
              <w:bottom w:val="nil"/>
              <w:right w:val="nil"/>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Bono thesari</w:t>
            </w:r>
          </w:p>
        </w:tc>
        <w:tc>
          <w:tcPr>
            <w:tcW w:w="829" w:type="dxa"/>
            <w:tcBorders>
              <w:top w:val="nil"/>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60.0%</w:t>
            </w:r>
          </w:p>
        </w:tc>
        <w:tc>
          <w:tcPr>
            <w:tcW w:w="709" w:type="dxa"/>
            <w:tcBorders>
              <w:top w:val="nil"/>
              <w:left w:val="nil"/>
              <w:bottom w:val="nil"/>
              <w:right w:val="nil"/>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70%</w:t>
            </w:r>
          </w:p>
        </w:tc>
        <w:tc>
          <w:tcPr>
            <w:tcW w:w="1297" w:type="dxa"/>
            <w:tcBorders>
              <w:top w:val="nil"/>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70.0%</w:t>
            </w:r>
          </w:p>
        </w:tc>
      </w:tr>
      <w:tr w:rsidR="008E721E" w:rsidRPr="00F335D6" w:rsidTr="00186FF8">
        <w:trPr>
          <w:trHeight w:val="255"/>
        </w:trPr>
        <w:tc>
          <w:tcPr>
            <w:tcW w:w="1148" w:type="dxa"/>
            <w:vMerge/>
            <w:tcBorders>
              <w:top w:val="nil"/>
              <w:left w:val="single" w:sz="8" w:space="0" w:color="auto"/>
              <w:bottom w:val="single" w:sz="8" w:space="0" w:color="000000"/>
              <w:right w:val="single" w:sz="8" w:space="0" w:color="auto"/>
            </w:tcBorders>
            <w:vAlign w:val="center"/>
          </w:tcPr>
          <w:p w:rsidR="008E721E" w:rsidRPr="00F335D6" w:rsidRDefault="008E721E" w:rsidP="00186FF8">
            <w:pPr>
              <w:pStyle w:val="Paragrafi"/>
              <w:ind w:firstLine="0"/>
              <w:rPr>
                <w:sz w:val="18"/>
                <w:szCs w:val="18"/>
                <w:lang w:val="sq-AL"/>
              </w:rPr>
            </w:pPr>
          </w:p>
        </w:tc>
        <w:tc>
          <w:tcPr>
            <w:tcW w:w="1156" w:type="dxa"/>
            <w:tcBorders>
              <w:top w:val="nil"/>
              <w:left w:val="nil"/>
              <w:bottom w:val="nil"/>
              <w:right w:val="nil"/>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Obligacione</w:t>
            </w:r>
          </w:p>
        </w:tc>
        <w:tc>
          <w:tcPr>
            <w:tcW w:w="829" w:type="dxa"/>
            <w:tcBorders>
              <w:top w:val="nil"/>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17.0%</w:t>
            </w:r>
          </w:p>
        </w:tc>
        <w:tc>
          <w:tcPr>
            <w:tcW w:w="709" w:type="dxa"/>
            <w:tcBorders>
              <w:top w:val="nil"/>
              <w:left w:val="nil"/>
              <w:bottom w:val="nil"/>
              <w:right w:val="nil"/>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21%</w:t>
            </w:r>
          </w:p>
        </w:tc>
        <w:tc>
          <w:tcPr>
            <w:tcW w:w="1297" w:type="dxa"/>
            <w:tcBorders>
              <w:top w:val="nil"/>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24.0%</w:t>
            </w:r>
          </w:p>
        </w:tc>
      </w:tr>
      <w:tr w:rsidR="008E721E" w:rsidRPr="00F335D6" w:rsidTr="00186FF8">
        <w:trPr>
          <w:trHeight w:val="330"/>
        </w:trPr>
        <w:tc>
          <w:tcPr>
            <w:tcW w:w="1148" w:type="dxa"/>
            <w:vMerge/>
            <w:tcBorders>
              <w:top w:val="nil"/>
              <w:left w:val="single" w:sz="8" w:space="0" w:color="auto"/>
              <w:bottom w:val="single" w:sz="8" w:space="0" w:color="000000"/>
              <w:right w:val="single" w:sz="8" w:space="0" w:color="auto"/>
            </w:tcBorders>
            <w:vAlign w:val="center"/>
          </w:tcPr>
          <w:p w:rsidR="008E721E" w:rsidRPr="00F335D6" w:rsidRDefault="008E721E" w:rsidP="00186FF8">
            <w:pPr>
              <w:pStyle w:val="Paragrafi"/>
              <w:ind w:firstLine="0"/>
              <w:rPr>
                <w:sz w:val="18"/>
                <w:szCs w:val="18"/>
                <w:lang w:val="sq-AL"/>
              </w:rPr>
            </w:pPr>
          </w:p>
        </w:tc>
        <w:tc>
          <w:tcPr>
            <w:tcW w:w="1156" w:type="dxa"/>
            <w:tcBorders>
              <w:top w:val="nil"/>
              <w:left w:val="nil"/>
              <w:bottom w:val="nil"/>
              <w:right w:val="nil"/>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Total</w:t>
            </w:r>
          </w:p>
        </w:tc>
        <w:tc>
          <w:tcPr>
            <w:tcW w:w="829" w:type="dxa"/>
            <w:tcBorders>
              <w:top w:val="nil"/>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77.0%</w:t>
            </w:r>
          </w:p>
        </w:tc>
        <w:tc>
          <w:tcPr>
            <w:tcW w:w="709" w:type="dxa"/>
            <w:tcBorders>
              <w:top w:val="nil"/>
              <w:left w:val="nil"/>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91.0%</w:t>
            </w:r>
          </w:p>
        </w:tc>
        <w:tc>
          <w:tcPr>
            <w:tcW w:w="1297" w:type="dxa"/>
            <w:tcBorders>
              <w:top w:val="nil"/>
              <w:left w:val="nil"/>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94.0%</w:t>
            </w:r>
          </w:p>
        </w:tc>
      </w:tr>
      <w:tr w:rsidR="008E721E" w:rsidRPr="00F335D6" w:rsidTr="00186FF8">
        <w:trPr>
          <w:trHeight w:val="255"/>
        </w:trPr>
        <w:tc>
          <w:tcPr>
            <w:tcW w:w="1148" w:type="dxa"/>
            <w:vMerge w:val="restart"/>
            <w:tcBorders>
              <w:top w:val="nil"/>
              <w:left w:val="single" w:sz="8" w:space="0" w:color="auto"/>
              <w:bottom w:val="single" w:sz="8" w:space="0" w:color="000000"/>
              <w:right w:val="single" w:sz="8" w:space="0" w:color="auto"/>
            </w:tcBorders>
            <w:shd w:val="clear" w:color="auto" w:fill="auto"/>
            <w:vAlign w:val="center"/>
          </w:tcPr>
          <w:p w:rsidR="008E721E" w:rsidRPr="00F335D6" w:rsidRDefault="008E721E" w:rsidP="00186FF8">
            <w:pPr>
              <w:pStyle w:val="Paragrafi"/>
              <w:ind w:firstLine="0"/>
              <w:rPr>
                <w:sz w:val="18"/>
                <w:szCs w:val="18"/>
                <w:lang w:val="sq-AL"/>
              </w:rPr>
            </w:pPr>
            <w:r w:rsidRPr="00F335D6">
              <w:rPr>
                <w:sz w:val="18"/>
                <w:szCs w:val="18"/>
                <w:lang w:val="sq-AL"/>
              </w:rPr>
              <w:t>I huaj</w:t>
            </w:r>
          </w:p>
        </w:tc>
        <w:tc>
          <w:tcPr>
            <w:tcW w:w="1156" w:type="dxa"/>
            <w:tcBorders>
              <w:top w:val="single" w:sz="8" w:space="0" w:color="auto"/>
              <w:left w:val="nil"/>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Eurobond</w:t>
            </w:r>
          </w:p>
        </w:tc>
        <w:tc>
          <w:tcPr>
            <w:tcW w:w="829" w:type="dxa"/>
            <w:tcBorders>
              <w:top w:val="single" w:sz="8" w:space="0" w:color="auto"/>
              <w:left w:val="nil"/>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8.5%</w:t>
            </w:r>
          </w:p>
        </w:tc>
        <w:tc>
          <w:tcPr>
            <w:tcW w:w="709" w:type="dxa"/>
            <w:tcBorders>
              <w:top w:val="single" w:sz="8" w:space="0" w:color="auto"/>
              <w:left w:val="nil"/>
              <w:bottom w:val="nil"/>
              <w:right w:val="nil"/>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 </w:t>
            </w:r>
          </w:p>
        </w:tc>
        <w:tc>
          <w:tcPr>
            <w:tcW w:w="1297" w:type="dxa"/>
            <w:tcBorders>
              <w:top w:val="single" w:sz="8" w:space="0" w:color="auto"/>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 </w:t>
            </w:r>
          </w:p>
        </w:tc>
      </w:tr>
      <w:tr w:rsidR="008E721E" w:rsidRPr="00F335D6" w:rsidTr="00186FF8">
        <w:trPr>
          <w:trHeight w:val="255"/>
        </w:trPr>
        <w:tc>
          <w:tcPr>
            <w:tcW w:w="1148" w:type="dxa"/>
            <w:vMerge/>
            <w:tcBorders>
              <w:top w:val="nil"/>
              <w:left w:val="single" w:sz="8" w:space="0" w:color="auto"/>
              <w:bottom w:val="single" w:sz="8" w:space="0" w:color="000000"/>
              <w:right w:val="single" w:sz="8" w:space="0" w:color="auto"/>
            </w:tcBorders>
            <w:vAlign w:val="center"/>
          </w:tcPr>
          <w:p w:rsidR="008E721E" w:rsidRPr="00F335D6" w:rsidRDefault="008E721E" w:rsidP="00186FF8">
            <w:pPr>
              <w:pStyle w:val="Paragrafi"/>
              <w:ind w:firstLine="0"/>
              <w:rPr>
                <w:sz w:val="18"/>
                <w:szCs w:val="18"/>
                <w:lang w:val="sq-AL"/>
              </w:rPr>
            </w:pPr>
          </w:p>
        </w:tc>
        <w:tc>
          <w:tcPr>
            <w:tcW w:w="1156" w:type="dxa"/>
            <w:tcBorders>
              <w:top w:val="nil"/>
              <w:left w:val="nil"/>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PBG</w:t>
            </w:r>
          </w:p>
        </w:tc>
        <w:tc>
          <w:tcPr>
            <w:tcW w:w="829" w:type="dxa"/>
            <w:tcBorders>
              <w:top w:val="nil"/>
              <w:left w:val="nil"/>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6.5%</w:t>
            </w:r>
          </w:p>
        </w:tc>
        <w:tc>
          <w:tcPr>
            <w:tcW w:w="709" w:type="dxa"/>
            <w:tcBorders>
              <w:top w:val="nil"/>
              <w:left w:val="nil"/>
              <w:bottom w:val="nil"/>
              <w:right w:val="nil"/>
            </w:tcBorders>
            <w:shd w:val="clear" w:color="auto" w:fill="auto"/>
            <w:noWrap/>
            <w:vAlign w:val="bottom"/>
          </w:tcPr>
          <w:p w:rsidR="008E721E" w:rsidRPr="00F335D6" w:rsidRDefault="008E721E" w:rsidP="00186FF8">
            <w:pPr>
              <w:pStyle w:val="Paragrafi"/>
              <w:ind w:firstLine="0"/>
              <w:rPr>
                <w:sz w:val="18"/>
                <w:szCs w:val="18"/>
                <w:lang w:val="sq-AL"/>
              </w:rPr>
            </w:pPr>
          </w:p>
        </w:tc>
        <w:tc>
          <w:tcPr>
            <w:tcW w:w="1297" w:type="dxa"/>
            <w:tcBorders>
              <w:top w:val="nil"/>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 </w:t>
            </w:r>
          </w:p>
        </w:tc>
      </w:tr>
      <w:tr w:rsidR="008E721E" w:rsidRPr="00F335D6" w:rsidTr="00186FF8">
        <w:trPr>
          <w:trHeight w:val="255"/>
        </w:trPr>
        <w:tc>
          <w:tcPr>
            <w:tcW w:w="1148" w:type="dxa"/>
            <w:vMerge/>
            <w:tcBorders>
              <w:top w:val="nil"/>
              <w:left w:val="single" w:sz="8" w:space="0" w:color="auto"/>
              <w:bottom w:val="single" w:sz="8" w:space="0" w:color="000000"/>
              <w:right w:val="single" w:sz="8" w:space="0" w:color="auto"/>
            </w:tcBorders>
            <w:vAlign w:val="center"/>
          </w:tcPr>
          <w:p w:rsidR="008E721E" w:rsidRPr="00F335D6" w:rsidRDefault="008E721E" w:rsidP="00186FF8">
            <w:pPr>
              <w:pStyle w:val="Paragrafi"/>
              <w:ind w:firstLine="0"/>
              <w:rPr>
                <w:sz w:val="18"/>
                <w:szCs w:val="18"/>
                <w:lang w:val="sq-AL"/>
              </w:rPr>
            </w:pPr>
          </w:p>
        </w:tc>
        <w:tc>
          <w:tcPr>
            <w:tcW w:w="1156" w:type="dxa"/>
            <w:tcBorders>
              <w:top w:val="nil"/>
              <w:left w:val="nil"/>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 xml:space="preserve">Financim i huaj </w:t>
            </w:r>
          </w:p>
        </w:tc>
        <w:tc>
          <w:tcPr>
            <w:tcW w:w="829" w:type="dxa"/>
            <w:tcBorders>
              <w:top w:val="nil"/>
              <w:left w:val="nil"/>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8.0%</w:t>
            </w:r>
          </w:p>
        </w:tc>
        <w:tc>
          <w:tcPr>
            <w:tcW w:w="709" w:type="dxa"/>
            <w:tcBorders>
              <w:top w:val="nil"/>
              <w:left w:val="nil"/>
              <w:bottom w:val="nil"/>
              <w:right w:val="nil"/>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9.0%</w:t>
            </w:r>
          </w:p>
        </w:tc>
        <w:tc>
          <w:tcPr>
            <w:tcW w:w="1297" w:type="dxa"/>
            <w:tcBorders>
              <w:top w:val="nil"/>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6.0%</w:t>
            </w:r>
          </w:p>
        </w:tc>
      </w:tr>
      <w:tr w:rsidR="008E721E" w:rsidRPr="00F335D6" w:rsidTr="00186FF8">
        <w:trPr>
          <w:trHeight w:val="270"/>
        </w:trPr>
        <w:tc>
          <w:tcPr>
            <w:tcW w:w="1148" w:type="dxa"/>
            <w:vMerge/>
            <w:tcBorders>
              <w:top w:val="nil"/>
              <w:left w:val="single" w:sz="8" w:space="0" w:color="auto"/>
              <w:bottom w:val="single" w:sz="8" w:space="0" w:color="000000"/>
              <w:right w:val="single" w:sz="8" w:space="0" w:color="auto"/>
            </w:tcBorders>
            <w:vAlign w:val="center"/>
          </w:tcPr>
          <w:p w:rsidR="008E721E" w:rsidRPr="00F335D6" w:rsidRDefault="008E721E" w:rsidP="00186FF8">
            <w:pPr>
              <w:pStyle w:val="Paragrafi"/>
              <w:ind w:firstLine="0"/>
              <w:rPr>
                <w:sz w:val="18"/>
                <w:szCs w:val="18"/>
                <w:lang w:val="sq-AL"/>
              </w:rPr>
            </w:pPr>
          </w:p>
        </w:tc>
        <w:tc>
          <w:tcPr>
            <w:tcW w:w="1156" w:type="dxa"/>
            <w:tcBorders>
              <w:top w:val="nil"/>
              <w:left w:val="nil"/>
              <w:bottom w:val="single" w:sz="8" w:space="0" w:color="auto"/>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Total</w:t>
            </w:r>
          </w:p>
        </w:tc>
        <w:tc>
          <w:tcPr>
            <w:tcW w:w="829" w:type="dxa"/>
            <w:tcBorders>
              <w:top w:val="nil"/>
              <w:left w:val="nil"/>
              <w:bottom w:val="single" w:sz="8" w:space="0" w:color="auto"/>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23.0%</w:t>
            </w:r>
          </w:p>
        </w:tc>
        <w:tc>
          <w:tcPr>
            <w:tcW w:w="709" w:type="dxa"/>
            <w:tcBorders>
              <w:top w:val="nil"/>
              <w:left w:val="nil"/>
              <w:bottom w:val="single" w:sz="8" w:space="0" w:color="auto"/>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9.0%</w:t>
            </w:r>
          </w:p>
        </w:tc>
        <w:tc>
          <w:tcPr>
            <w:tcW w:w="1297" w:type="dxa"/>
            <w:tcBorders>
              <w:top w:val="nil"/>
              <w:left w:val="nil"/>
              <w:bottom w:val="single" w:sz="8" w:space="0" w:color="auto"/>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6.0%</w:t>
            </w:r>
          </w:p>
        </w:tc>
      </w:tr>
    </w:tbl>
    <w:p w:rsidR="008E721E" w:rsidRPr="00F335D6" w:rsidRDefault="008E721E" w:rsidP="008E721E">
      <w:pPr>
        <w:pStyle w:val="Paragrafi"/>
        <w:rPr>
          <w:spacing w:val="-4"/>
          <w:lang w:val="sq-AL"/>
        </w:rPr>
      </w:pPr>
      <w:r w:rsidRPr="00F335D6">
        <w:rPr>
          <w:spacing w:val="-4"/>
          <w:lang w:val="sq-AL"/>
        </w:rPr>
        <w:t>Vlerësojmë se skenari bazë ka një probabilitet të lartë ndodhjeje. Gjithsesi, SAMB merr parasysh edhe risqet negative të mosndodhjes së skenarit bazë, të materializuara në strategjitë alternative si më poshtë:</w:t>
      </w:r>
    </w:p>
    <w:p w:rsidR="008E721E" w:rsidRPr="00F335D6" w:rsidRDefault="008E721E" w:rsidP="008E721E">
      <w:pPr>
        <w:pStyle w:val="Paragrafi"/>
        <w:rPr>
          <w:b/>
          <w:spacing w:val="-4"/>
          <w:lang w:val="sq-AL"/>
        </w:rPr>
      </w:pPr>
      <w:r w:rsidRPr="00F335D6">
        <w:rPr>
          <w:b/>
          <w:spacing w:val="-4"/>
          <w:lang w:val="sq-AL"/>
        </w:rPr>
        <w:t>4.4.2 Strategjitë alternative</w:t>
      </w:r>
    </w:p>
    <w:p w:rsidR="008E721E" w:rsidRPr="00F335D6" w:rsidRDefault="008E721E" w:rsidP="008E721E">
      <w:pPr>
        <w:pStyle w:val="Paragrafi"/>
        <w:rPr>
          <w:b/>
          <w:i/>
          <w:spacing w:val="-4"/>
          <w:u w:val="single"/>
          <w:lang w:val="sq-AL"/>
        </w:rPr>
      </w:pPr>
      <w:r w:rsidRPr="00F335D6">
        <w:rPr>
          <w:b/>
          <w:i/>
          <w:spacing w:val="-4"/>
          <w:u w:val="single"/>
          <w:lang w:val="sq-AL"/>
        </w:rPr>
        <w:t xml:space="preserve"> Strategjia 2 </w:t>
      </w:r>
    </w:p>
    <w:p w:rsidR="008E721E" w:rsidRPr="00FF4234" w:rsidRDefault="008E721E" w:rsidP="008E721E">
      <w:pPr>
        <w:pStyle w:val="Paragrafi"/>
        <w:rPr>
          <w:lang w:val="sq-AL"/>
        </w:rPr>
      </w:pPr>
      <w:r w:rsidRPr="00F335D6">
        <w:rPr>
          <w:spacing w:val="-4"/>
          <w:lang w:val="sq-AL"/>
        </w:rPr>
        <w:t>Është konceptuar si skenar alternativ i strategjisë bazë dhe merr në konsideratë dështimin e daljes në tregjet ndërkombëtare të kapitalit për arsye nga më të ndryshmet</w:t>
      </w:r>
      <w:r w:rsidRPr="00F335D6">
        <w:rPr>
          <w:spacing w:val="-4"/>
          <w:vertAlign w:val="superscript"/>
          <w:lang w:val="sq-AL"/>
        </w:rPr>
        <w:footnoteReference w:id="7"/>
      </w:r>
      <w:r w:rsidRPr="00F335D6">
        <w:rPr>
          <w:spacing w:val="-4"/>
          <w:vertAlign w:val="superscript"/>
          <w:lang w:val="sq-AL"/>
        </w:rPr>
        <w:t>.</w:t>
      </w:r>
      <w:r w:rsidRPr="00F335D6">
        <w:rPr>
          <w:spacing w:val="-4"/>
          <w:lang w:val="sq-AL"/>
        </w:rPr>
        <w:t xml:space="preserve"> Në një skenar të tillë është parashikuar që rifinancimi i Eurobondit ekzistent të realizohet nëpërmjet një linje krediti. Linja e kreditit parashikon një kredi në vlerën e 200-250 milionë euro, me afat maturimi 5 vjet, por në dallim nga Eurobondi supozohet që të jetë me norma më të larta. Pjesa e mbetur për të ri-financuar Eurobondin do të financohet nëpërmjet huas pjesërisht të garantuar</w:t>
      </w:r>
      <w:r w:rsidRPr="00FF4234">
        <w:rPr>
          <w:lang w:val="sq-AL"/>
        </w:rPr>
        <w:t xml:space="preserve"> nga Banka Botërore.</w:t>
      </w:r>
    </w:p>
    <w:p w:rsidR="008E721E" w:rsidRPr="00FF4234" w:rsidRDefault="008E721E" w:rsidP="008E721E">
      <w:pPr>
        <w:pStyle w:val="Paragrafi"/>
        <w:rPr>
          <w:lang w:val="sq-AL"/>
        </w:rPr>
      </w:pPr>
      <w:r w:rsidRPr="00FF4234">
        <w:rPr>
          <w:lang w:val="sq-AL"/>
        </w:rPr>
        <w:t>Një skenar i kësaj natyre do të rriste kostot e shërbimit të borxhit dhe në të njëjtën kohë do të ushtronte më shumë presion në tregun e brendshëm për shkak të rritjes së fina</w:t>
      </w:r>
      <w:r>
        <w:rPr>
          <w:lang w:val="sq-AL"/>
        </w:rPr>
        <w:t>n</w:t>
      </w:r>
      <w:r w:rsidRPr="00FF4234">
        <w:rPr>
          <w:lang w:val="sq-AL"/>
        </w:rPr>
        <w:t xml:space="preserve">cimit 7 deri në 14 miliardë </w:t>
      </w:r>
      <w:r>
        <w:rPr>
          <w:lang w:val="sq-AL"/>
        </w:rPr>
        <w:t>lekë</w:t>
      </w:r>
      <w:r w:rsidRPr="00FF4234">
        <w:rPr>
          <w:lang w:val="sq-AL"/>
        </w:rPr>
        <w:t xml:space="preserve">. </w:t>
      </w:r>
    </w:p>
    <w:p w:rsidR="008E721E" w:rsidRPr="00FF4234" w:rsidRDefault="008E721E" w:rsidP="008E721E">
      <w:pPr>
        <w:pStyle w:val="Paragrafi"/>
        <w:rPr>
          <w:b/>
          <w:i/>
          <w:u w:val="single"/>
          <w:lang w:val="sq-AL"/>
        </w:rPr>
      </w:pPr>
      <w:r w:rsidRPr="00FF4234">
        <w:rPr>
          <w:b/>
          <w:i/>
          <w:u w:val="single"/>
          <w:lang w:val="sq-AL"/>
        </w:rPr>
        <w:t>Strategjia 3</w:t>
      </w:r>
    </w:p>
    <w:p w:rsidR="008E721E" w:rsidRPr="00FF4234" w:rsidRDefault="008E721E" w:rsidP="008E721E">
      <w:pPr>
        <w:pStyle w:val="Paragrafi"/>
        <w:rPr>
          <w:lang w:val="sq-AL"/>
        </w:rPr>
      </w:pPr>
      <w:r w:rsidRPr="00FF4234">
        <w:rPr>
          <w:lang w:val="sq-AL"/>
        </w:rPr>
        <w:t xml:space="preserve">Është konceptuar si rasti i skenarit më të keq të mundshëm dhe supozon dështimin e daljes në tregjet ndërkombëtare të kapitalit për </w:t>
      </w:r>
      <w:r>
        <w:rPr>
          <w:lang w:val="sq-AL"/>
        </w:rPr>
        <w:t>rifinancim</w:t>
      </w:r>
      <w:r w:rsidRPr="00FF4234">
        <w:rPr>
          <w:lang w:val="sq-AL"/>
        </w:rPr>
        <w:t>in e Eurobondit. Njëkohësisht presupozon edhe mos realizimin e huas pjesërisht të garantuar nga Banka Botërore.</w:t>
      </w:r>
    </w:p>
    <w:p w:rsidR="008E721E" w:rsidRPr="00FF4234" w:rsidRDefault="008E721E" w:rsidP="008E721E">
      <w:pPr>
        <w:pStyle w:val="Paragrafi"/>
        <w:rPr>
          <w:lang w:val="sq-AL"/>
        </w:rPr>
      </w:pPr>
      <w:r w:rsidRPr="00FF4234">
        <w:rPr>
          <w:lang w:val="sq-AL"/>
        </w:rPr>
        <w:t xml:space="preserve">Në këtë rast është menduar që </w:t>
      </w:r>
      <w:r>
        <w:rPr>
          <w:lang w:val="sq-AL"/>
        </w:rPr>
        <w:t>rifinancim</w:t>
      </w:r>
      <w:r w:rsidRPr="00FF4234">
        <w:rPr>
          <w:lang w:val="sq-AL"/>
        </w:rPr>
        <w:t xml:space="preserve">i i Eurobondit të realizohet nëpërmjet linjës së kreditit në vlerën e 300 milionë </w:t>
      </w:r>
      <w:r>
        <w:rPr>
          <w:lang w:val="sq-AL"/>
        </w:rPr>
        <w:t>euro</w:t>
      </w:r>
      <w:r w:rsidRPr="00FF4234">
        <w:rPr>
          <w:lang w:val="sq-AL"/>
        </w:rPr>
        <w:t xml:space="preserve">, ndërkohë që do të kemi një rritje të konsiderueshme në huamarrjen e brendshme në më shumë se 35 miliardë </w:t>
      </w:r>
      <w:r>
        <w:rPr>
          <w:lang w:val="sq-AL"/>
        </w:rPr>
        <w:t>lekë</w:t>
      </w:r>
      <w:r w:rsidRPr="00FF4234">
        <w:rPr>
          <w:lang w:val="sq-AL"/>
        </w:rPr>
        <w:t>.</w:t>
      </w:r>
    </w:p>
    <w:p w:rsidR="008E721E" w:rsidRPr="00FF4234" w:rsidRDefault="008E721E" w:rsidP="008E721E">
      <w:pPr>
        <w:pStyle w:val="Paragrafi"/>
        <w:rPr>
          <w:lang w:val="sq-AL"/>
        </w:rPr>
      </w:pPr>
      <w:r w:rsidRPr="00FF4234">
        <w:rPr>
          <w:lang w:val="sq-AL"/>
        </w:rPr>
        <w:t xml:space="preserve">Presioni i ushtruar nga rritja e huamarrjes në tregun e brendshëm, si edhe fakti që tregu i brendshëm gjatë vitit 2015 do të jetë më tepër i orientuar drejt instrumenteve afatshkurta bën që kjo strategji të këtë një risk </w:t>
      </w:r>
      <w:r>
        <w:rPr>
          <w:lang w:val="sq-AL"/>
        </w:rPr>
        <w:t>rifinancim</w:t>
      </w:r>
      <w:r w:rsidRPr="00FF4234">
        <w:rPr>
          <w:lang w:val="sq-AL"/>
        </w:rPr>
        <w:t>i dhe likuiditeti të lartë dhe në të njëjtën kohë të ushtrojë presion rritës mbi normat e interesit të tregut vendas.</w:t>
      </w:r>
    </w:p>
    <w:p w:rsidR="008E721E" w:rsidRPr="00FF4234" w:rsidRDefault="008E721E" w:rsidP="008E721E">
      <w:pPr>
        <w:pStyle w:val="Paragrafi"/>
        <w:rPr>
          <w:lang w:val="sq-AL"/>
        </w:rPr>
      </w:pPr>
      <w:r w:rsidRPr="00FF4234">
        <w:rPr>
          <w:lang w:val="sq-AL"/>
        </w:rPr>
        <w:t>Ky skenar vlerësohet të ketë një probabilitet tejet t</w:t>
      </w:r>
      <w:r>
        <w:rPr>
          <w:lang w:val="sq-AL"/>
        </w:rPr>
        <w:t>ë ulët ndodhjeje, por gjithsesi</w:t>
      </w:r>
      <w:r w:rsidRPr="00FF4234">
        <w:rPr>
          <w:lang w:val="sq-AL"/>
        </w:rPr>
        <w:t xml:space="preserve"> SAMB merr parasysh dhe është e parapërgatitur edhe në rastet e ndodhjes së skenarëve të tillë ekstrem.</w:t>
      </w:r>
    </w:p>
    <w:p w:rsidR="008E721E" w:rsidRPr="00FF4234" w:rsidRDefault="008E721E" w:rsidP="008E721E">
      <w:pPr>
        <w:pStyle w:val="Paragrafi"/>
        <w:rPr>
          <w:b/>
          <w:i/>
          <w:u w:val="single"/>
          <w:lang w:val="sq-AL"/>
        </w:rPr>
      </w:pPr>
      <w:r w:rsidRPr="00FF4234">
        <w:rPr>
          <w:b/>
          <w:i/>
          <w:u w:val="single"/>
          <w:lang w:val="sq-AL"/>
        </w:rPr>
        <w:t>Strategjia 4</w:t>
      </w:r>
    </w:p>
    <w:p w:rsidR="008E721E" w:rsidRPr="00374BDE" w:rsidRDefault="008E721E" w:rsidP="008E721E">
      <w:pPr>
        <w:pStyle w:val="Paragrafi"/>
        <w:rPr>
          <w:lang w:val="sq-AL"/>
        </w:rPr>
      </w:pPr>
      <w:r w:rsidRPr="00FF4234">
        <w:rPr>
          <w:lang w:val="sq-AL"/>
        </w:rPr>
        <w:t>Është konceptuar si skenar alternativ i strategjisë bazë dhe merr në konsideratë</w:t>
      </w:r>
      <w:r>
        <w:rPr>
          <w:lang w:val="sq-AL"/>
        </w:rPr>
        <w:t xml:space="preserve"> rastin e mos sigurimit të huas</w:t>
      </w:r>
      <w:r w:rsidRPr="00FF4234">
        <w:rPr>
          <w:lang w:val="sq-AL"/>
        </w:rPr>
        <w:t xml:space="preserve"> së garantuar pjesërisht nga BB. Në këtë rast me qëllim përmbushjen e objektivit për uljen e presionit të financimit të brendshëm dhe lehtësimin e kredititimit të sektorit privat, është parashikuar që emetimi i Eurobondit të realizohet në vlerën e 500 milionë </w:t>
      </w:r>
      <w:r>
        <w:rPr>
          <w:lang w:val="sq-AL"/>
        </w:rPr>
        <w:t>euro</w:t>
      </w:r>
      <w:r w:rsidRPr="00FF4234">
        <w:rPr>
          <w:lang w:val="sq-AL"/>
        </w:rPr>
        <w:t>. Kjo është një strategji e cila nga pikëpamja e kostove dhe risqeve është e krahasueshme me strategjinë 2.</w:t>
      </w:r>
    </w:p>
    <w:p w:rsidR="008E721E" w:rsidRPr="00FF4234" w:rsidRDefault="008E721E" w:rsidP="008E721E">
      <w:pPr>
        <w:pStyle w:val="Paragrafi"/>
        <w:rPr>
          <w:b/>
          <w:lang w:val="sq-AL"/>
        </w:rPr>
      </w:pPr>
      <w:r w:rsidRPr="00FF4234">
        <w:rPr>
          <w:b/>
          <w:lang w:val="sq-AL"/>
        </w:rPr>
        <w:t>4.4.3 Supozimet makroekonomike në periudhën afatmesme</w:t>
      </w:r>
    </w:p>
    <w:p w:rsidR="008E721E" w:rsidRPr="00FF4234" w:rsidRDefault="008E721E" w:rsidP="008E721E">
      <w:pPr>
        <w:pStyle w:val="Paragrafi"/>
        <w:rPr>
          <w:lang w:val="sq-AL"/>
        </w:rPr>
      </w:pPr>
      <w:r w:rsidRPr="00FF4234">
        <w:rPr>
          <w:lang w:val="sq-AL"/>
        </w:rPr>
        <w:t xml:space="preserve">Në këtë nënkapitull paraqiten supozimet kryesore makroekonomike të </w:t>
      </w:r>
      <w:r>
        <w:rPr>
          <w:lang w:val="sq-AL"/>
        </w:rPr>
        <w:t>s</w:t>
      </w:r>
      <w:r w:rsidRPr="00FF4234">
        <w:rPr>
          <w:lang w:val="sq-AL"/>
        </w:rPr>
        <w:t xml:space="preserve">trategjisë. </w:t>
      </w:r>
    </w:p>
    <w:p w:rsidR="008E721E" w:rsidRPr="00FF4234" w:rsidRDefault="008E721E" w:rsidP="008E721E">
      <w:pPr>
        <w:pStyle w:val="Paragrafi"/>
        <w:rPr>
          <w:lang w:val="sq-AL"/>
        </w:rPr>
      </w:pPr>
      <w:r w:rsidRPr="00FF4234">
        <w:rPr>
          <w:lang w:val="sq-AL"/>
        </w:rPr>
        <w:t>Këto supozime janë faktorë kyç dhe ndryshimi i tyre mund të ketë ndikim mbi realizimin e objektivave, mbi kostot dhe kryesisht mbi risqet e strategjisë. Në këtë kontekst, është shumë e rëndësishme që bilanci primar të qëndroj në të njëjtat nivele, ekonomia të stimulohet nëpërmjet konsolidimit të politikave fiskale, uljes së informalitetit, etj; qëndrueshmëria e monedhës të garantohet nëpërmjet politikave monetare të shëndosha dhe rritjes së eksporteve.</w:t>
      </w:r>
    </w:p>
    <w:p w:rsidR="008E721E" w:rsidRDefault="008E721E" w:rsidP="008E721E">
      <w:pPr>
        <w:pStyle w:val="Paragrafi"/>
        <w:rPr>
          <w:lang w:val="sq-AL"/>
        </w:rPr>
      </w:pPr>
      <w:r w:rsidRPr="00FF4234">
        <w:rPr>
          <w:lang w:val="sq-AL"/>
        </w:rPr>
        <w:t xml:space="preserve">Pjesë e supozimeve krahas atyre të ilustruara në tabelën e mëposhtme janë edhe normat e interesit të instrumenteve të tregut të brendshëm dhe atyre të tregut të jashtëm. Projeksionet e normave të interesit për tregun vendas janë realizuar duke marrë në konsideratë politikat monetare të Bankës së Shqipërisë </w:t>
      </w:r>
      <w:r w:rsidRPr="00FF4234">
        <w:rPr>
          <w:lang w:val="sq-AL"/>
        </w:rPr>
        <w:lastRenderedPageBreak/>
        <w:t xml:space="preserve">dhe riskun e perceptuar nga ana e investitorëve kundrejt instrumenteve financiarë vendas. Ndërkohë, për sa i përket normave të interesit të tregjeve ndërkombëtare janë marrë në konsideratë parashikimet e institucioneve financiarë si: Banka Qendrore Europiane, BB. </w:t>
      </w:r>
      <w:r>
        <w:rPr>
          <w:lang w:val="sq-AL"/>
        </w:rPr>
        <w:t>e</w:t>
      </w:r>
      <w:r w:rsidRPr="00FF4234">
        <w:rPr>
          <w:lang w:val="sq-AL"/>
        </w:rPr>
        <w:t>tj</w:t>
      </w:r>
      <w:r>
        <w:rPr>
          <w:lang w:val="sq-AL"/>
        </w:rPr>
        <w:t>.</w:t>
      </w:r>
    </w:p>
    <w:p w:rsidR="008E721E" w:rsidRPr="00FF4234" w:rsidRDefault="008E721E" w:rsidP="008E721E">
      <w:pPr>
        <w:pStyle w:val="Paragrafi"/>
        <w:rPr>
          <w:lang w:val="sq-AL"/>
        </w:rPr>
      </w:pPr>
    </w:p>
    <w:p w:rsidR="008E721E" w:rsidRPr="00FF4234" w:rsidRDefault="008E721E" w:rsidP="008E721E">
      <w:pPr>
        <w:pStyle w:val="Paragrafi"/>
        <w:rPr>
          <w:lang w:val="sq-AL"/>
        </w:rPr>
      </w:pPr>
      <w:r w:rsidRPr="00FF4234">
        <w:rPr>
          <w:lang w:val="sq-AL"/>
        </w:rPr>
        <w:t xml:space="preserve"> Tabela 4. Supozimet makroekonomike </w:t>
      </w:r>
    </w:p>
    <w:tbl>
      <w:tblPr>
        <w:tblW w:w="2597" w:type="pct"/>
        <w:jc w:val="center"/>
        <w:tblInd w:w="352" w:type="dxa"/>
        <w:tblLook w:val="0000" w:firstRow="0" w:lastRow="0" w:firstColumn="0" w:lastColumn="0" w:noHBand="0" w:noVBand="0"/>
      </w:tblPr>
      <w:tblGrid>
        <w:gridCol w:w="1411"/>
        <w:gridCol w:w="886"/>
        <w:gridCol w:w="955"/>
        <w:gridCol w:w="981"/>
        <w:gridCol w:w="886"/>
      </w:tblGrid>
      <w:tr w:rsidR="008E721E" w:rsidRPr="00F335D6" w:rsidTr="00186FF8">
        <w:trPr>
          <w:trHeight w:val="160"/>
          <w:jc w:val="center"/>
        </w:trPr>
        <w:tc>
          <w:tcPr>
            <w:tcW w:w="1390" w:type="pct"/>
            <w:tcBorders>
              <w:top w:val="single" w:sz="8" w:space="0" w:color="auto"/>
              <w:left w:val="single" w:sz="8" w:space="0" w:color="auto"/>
              <w:bottom w:val="single" w:sz="8" w:space="0" w:color="auto"/>
              <w:right w:val="single" w:sz="8" w:space="0" w:color="auto"/>
            </w:tcBorders>
            <w:shd w:val="clear" w:color="auto" w:fill="C0C0C0"/>
            <w:noWrap/>
            <w:vAlign w:val="center"/>
          </w:tcPr>
          <w:p w:rsidR="008E721E" w:rsidRPr="00F335D6" w:rsidRDefault="008E721E" w:rsidP="00186FF8">
            <w:pPr>
              <w:pStyle w:val="Paragrafi"/>
              <w:ind w:firstLine="0"/>
              <w:jc w:val="center"/>
              <w:rPr>
                <w:b/>
                <w:sz w:val="18"/>
                <w:szCs w:val="18"/>
                <w:lang w:val="sq-AL"/>
              </w:rPr>
            </w:pPr>
            <w:r w:rsidRPr="00F335D6">
              <w:rPr>
                <w:b/>
                <w:sz w:val="18"/>
                <w:szCs w:val="18"/>
                <w:lang w:val="sq-AL"/>
              </w:rPr>
              <w:t>Treguesi</w:t>
            </w:r>
          </w:p>
        </w:tc>
        <w:tc>
          <w:tcPr>
            <w:tcW w:w="865" w:type="pct"/>
            <w:tcBorders>
              <w:top w:val="single" w:sz="8" w:space="0" w:color="auto"/>
              <w:left w:val="nil"/>
              <w:bottom w:val="single" w:sz="8" w:space="0" w:color="auto"/>
              <w:right w:val="single" w:sz="8" w:space="0" w:color="auto"/>
            </w:tcBorders>
            <w:shd w:val="clear" w:color="auto" w:fill="C0C0C0"/>
            <w:noWrap/>
            <w:vAlign w:val="center"/>
          </w:tcPr>
          <w:p w:rsidR="008E721E" w:rsidRPr="00F335D6" w:rsidRDefault="008E721E" w:rsidP="00186FF8">
            <w:pPr>
              <w:pStyle w:val="Paragrafi"/>
              <w:ind w:firstLine="0"/>
              <w:jc w:val="center"/>
              <w:rPr>
                <w:b/>
                <w:sz w:val="18"/>
                <w:szCs w:val="18"/>
                <w:lang w:val="sq-AL"/>
              </w:rPr>
            </w:pPr>
            <w:r w:rsidRPr="00F335D6">
              <w:rPr>
                <w:b/>
                <w:sz w:val="18"/>
                <w:szCs w:val="18"/>
                <w:lang w:val="sq-AL"/>
              </w:rPr>
              <w:t>2015</w:t>
            </w:r>
          </w:p>
        </w:tc>
        <w:tc>
          <w:tcPr>
            <w:tcW w:w="945" w:type="pct"/>
            <w:tcBorders>
              <w:top w:val="single" w:sz="8" w:space="0" w:color="auto"/>
              <w:left w:val="nil"/>
              <w:bottom w:val="single" w:sz="8" w:space="0" w:color="auto"/>
              <w:right w:val="single" w:sz="4" w:space="0" w:color="auto"/>
            </w:tcBorders>
            <w:shd w:val="clear" w:color="auto" w:fill="C0C0C0"/>
            <w:noWrap/>
            <w:vAlign w:val="center"/>
          </w:tcPr>
          <w:p w:rsidR="008E721E" w:rsidRPr="00F335D6" w:rsidRDefault="008E721E" w:rsidP="00186FF8">
            <w:pPr>
              <w:pStyle w:val="Paragrafi"/>
              <w:ind w:firstLine="0"/>
              <w:jc w:val="center"/>
              <w:rPr>
                <w:b/>
                <w:sz w:val="18"/>
                <w:szCs w:val="18"/>
                <w:lang w:val="sq-AL"/>
              </w:rPr>
            </w:pPr>
            <w:r w:rsidRPr="00F335D6">
              <w:rPr>
                <w:b/>
                <w:sz w:val="18"/>
                <w:szCs w:val="18"/>
                <w:lang w:val="sq-AL"/>
              </w:rPr>
              <w:t>2016</w:t>
            </w:r>
          </w:p>
        </w:tc>
        <w:tc>
          <w:tcPr>
            <w:tcW w:w="969" w:type="pct"/>
            <w:tcBorders>
              <w:top w:val="single" w:sz="4" w:space="0" w:color="auto"/>
              <w:left w:val="single" w:sz="4" w:space="0" w:color="auto"/>
              <w:bottom w:val="single" w:sz="4" w:space="0" w:color="auto"/>
              <w:right w:val="single" w:sz="4" w:space="0" w:color="auto"/>
            </w:tcBorders>
            <w:shd w:val="clear" w:color="auto" w:fill="C0C0C0"/>
            <w:vAlign w:val="center"/>
          </w:tcPr>
          <w:p w:rsidR="008E721E" w:rsidRPr="00F335D6" w:rsidRDefault="008E721E" w:rsidP="00186FF8">
            <w:pPr>
              <w:pStyle w:val="Paragrafi"/>
              <w:ind w:firstLine="0"/>
              <w:jc w:val="center"/>
              <w:rPr>
                <w:b/>
                <w:sz w:val="18"/>
                <w:szCs w:val="18"/>
                <w:lang w:val="sq-AL"/>
              </w:rPr>
            </w:pPr>
            <w:r w:rsidRPr="00F335D6">
              <w:rPr>
                <w:b/>
                <w:sz w:val="18"/>
                <w:szCs w:val="18"/>
                <w:lang w:val="sq-AL"/>
              </w:rPr>
              <w:t>2017</w:t>
            </w:r>
          </w:p>
        </w:tc>
        <w:tc>
          <w:tcPr>
            <w:tcW w:w="831" w:type="pct"/>
            <w:tcBorders>
              <w:top w:val="single" w:sz="8" w:space="0" w:color="auto"/>
              <w:left w:val="single" w:sz="4" w:space="0" w:color="auto"/>
              <w:bottom w:val="single" w:sz="8" w:space="0" w:color="auto"/>
              <w:right w:val="single" w:sz="8" w:space="0" w:color="auto"/>
            </w:tcBorders>
            <w:shd w:val="clear" w:color="auto" w:fill="C0C0C0"/>
            <w:noWrap/>
            <w:vAlign w:val="center"/>
          </w:tcPr>
          <w:p w:rsidR="008E721E" w:rsidRPr="00F335D6" w:rsidRDefault="008E721E" w:rsidP="00186FF8">
            <w:pPr>
              <w:pStyle w:val="Paragrafi"/>
              <w:ind w:firstLine="0"/>
              <w:jc w:val="center"/>
              <w:rPr>
                <w:b/>
                <w:sz w:val="18"/>
                <w:szCs w:val="18"/>
                <w:lang w:val="sq-AL"/>
              </w:rPr>
            </w:pPr>
            <w:r w:rsidRPr="00F335D6">
              <w:rPr>
                <w:b/>
                <w:sz w:val="18"/>
                <w:szCs w:val="18"/>
                <w:lang w:val="sq-AL"/>
              </w:rPr>
              <w:t>2018</w:t>
            </w:r>
          </w:p>
        </w:tc>
      </w:tr>
      <w:tr w:rsidR="008E721E" w:rsidRPr="00F335D6" w:rsidTr="00186FF8">
        <w:trPr>
          <w:trHeight w:val="132"/>
          <w:jc w:val="center"/>
        </w:trPr>
        <w:tc>
          <w:tcPr>
            <w:tcW w:w="1390" w:type="pct"/>
            <w:tcBorders>
              <w:top w:val="nil"/>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 xml:space="preserve">Bilanci primar </w:t>
            </w:r>
          </w:p>
          <w:p w:rsidR="008E721E" w:rsidRPr="00F335D6" w:rsidRDefault="008E721E" w:rsidP="00186FF8">
            <w:pPr>
              <w:pStyle w:val="Paragrafi"/>
              <w:ind w:firstLine="0"/>
              <w:rPr>
                <w:sz w:val="18"/>
                <w:szCs w:val="18"/>
                <w:lang w:val="sq-AL"/>
              </w:rPr>
            </w:pPr>
            <w:r w:rsidRPr="00F335D6">
              <w:rPr>
                <w:sz w:val="18"/>
                <w:szCs w:val="18"/>
                <w:lang w:val="sq-AL"/>
              </w:rPr>
              <w:t>(në mln. lekë)</w:t>
            </w:r>
          </w:p>
        </w:tc>
        <w:tc>
          <w:tcPr>
            <w:tcW w:w="865" w:type="pct"/>
            <w:tcBorders>
              <w:top w:val="nil"/>
              <w:left w:val="nil"/>
              <w:bottom w:val="nil"/>
              <w:right w:val="single" w:sz="8" w:space="0" w:color="auto"/>
            </w:tcBorders>
            <w:shd w:val="clear" w:color="auto" w:fill="auto"/>
            <w:noWrap/>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 xml:space="preserve"> (9,028)</w:t>
            </w:r>
          </w:p>
        </w:tc>
        <w:tc>
          <w:tcPr>
            <w:tcW w:w="945" w:type="pct"/>
            <w:tcBorders>
              <w:top w:val="nil"/>
              <w:left w:val="nil"/>
              <w:bottom w:val="nil"/>
              <w:right w:val="single" w:sz="4" w:space="0" w:color="auto"/>
            </w:tcBorders>
            <w:shd w:val="clear" w:color="auto" w:fill="auto"/>
            <w:noWrap/>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 xml:space="preserve">8,881 </w:t>
            </w:r>
          </w:p>
        </w:tc>
        <w:tc>
          <w:tcPr>
            <w:tcW w:w="969" w:type="pct"/>
            <w:tcBorders>
              <w:top w:val="single" w:sz="4" w:space="0" w:color="auto"/>
              <w:left w:val="single" w:sz="4" w:space="0" w:color="auto"/>
              <w:bottom w:val="nil"/>
              <w:right w:val="single" w:sz="4" w:space="0" w:color="auto"/>
            </w:tcBorders>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 xml:space="preserve">29,416 </w:t>
            </w:r>
          </w:p>
        </w:tc>
        <w:tc>
          <w:tcPr>
            <w:tcW w:w="831" w:type="pct"/>
            <w:tcBorders>
              <w:top w:val="nil"/>
              <w:left w:val="single" w:sz="4" w:space="0" w:color="auto"/>
              <w:bottom w:val="nil"/>
              <w:right w:val="single" w:sz="8" w:space="0" w:color="auto"/>
            </w:tcBorders>
            <w:shd w:val="clear" w:color="auto" w:fill="auto"/>
            <w:noWrap/>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 xml:space="preserve">37,611 </w:t>
            </w:r>
          </w:p>
        </w:tc>
      </w:tr>
      <w:tr w:rsidR="008E721E" w:rsidRPr="00F335D6" w:rsidTr="00186FF8">
        <w:trPr>
          <w:trHeight w:val="132"/>
          <w:jc w:val="center"/>
        </w:trPr>
        <w:tc>
          <w:tcPr>
            <w:tcW w:w="1390" w:type="pct"/>
            <w:tcBorders>
              <w:top w:val="nil"/>
              <w:left w:val="single" w:sz="8" w:space="0" w:color="auto"/>
              <w:bottom w:val="nil"/>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 xml:space="preserve">PBB </w:t>
            </w:r>
          </w:p>
          <w:p w:rsidR="008E721E" w:rsidRPr="00F335D6" w:rsidRDefault="008E721E" w:rsidP="00186FF8">
            <w:pPr>
              <w:pStyle w:val="Paragrafi"/>
              <w:ind w:firstLine="0"/>
              <w:rPr>
                <w:sz w:val="18"/>
                <w:szCs w:val="18"/>
                <w:lang w:val="sq-AL"/>
              </w:rPr>
            </w:pPr>
            <w:r w:rsidRPr="00F335D6">
              <w:rPr>
                <w:sz w:val="18"/>
                <w:szCs w:val="18"/>
                <w:lang w:val="sq-AL"/>
              </w:rPr>
              <w:t>(në milion lekë)</w:t>
            </w:r>
          </w:p>
        </w:tc>
        <w:tc>
          <w:tcPr>
            <w:tcW w:w="865" w:type="pct"/>
            <w:tcBorders>
              <w:top w:val="nil"/>
              <w:left w:val="nil"/>
              <w:bottom w:val="nil"/>
              <w:right w:val="single" w:sz="8" w:space="0" w:color="auto"/>
            </w:tcBorders>
            <w:shd w:val="clear" w:color="auto" w:fill="auto"/>
            <w:noWrap/>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 xml:space="preserve">1,491,990 </w:t>
            </w:r>
          </w:p>
        </w:tc>
        <w:tc>
          <w:tcPr>
            <w:tcW w:w="945" w:type="pct"/>
            <w:tcBorders>
              <w:top w:val="nil"/>
              <w:left w:val="nil"/>
              <w:bottom w:val="nil"/>
              <w:right w:val="single" w:sz="4" w:space="0" w:color="auto"/>
            </w:tcBorders>
            <w:shd w:val="clear" w:color="auto" w:fill="auto"/>
            <w:noWrap/>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 xml:space="preserve">1,595,966 </w:t>
            </w:r>
          </w:p>
        </w:tc>
        <w:tc>
          <w:tcPr>
            <w:tcW w:w="969" w:type="pct"/>
            <w:tcBorders>
              <w:top w:val="nil"/>
              <w:left w:val="single" w:sz="4" w:space="0" w:color="auto"/>
              <w:bottom w:val="nil"/>
              <w:right w:val="single" w:sz="4" w:space="0" w:color="auto"/>
            </w:tcBorders>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 xml:space="preserve">1,717,932 </w:t>
            </w:r>
          </w:p>
        </w:tc>
        <w:tc>
          <w:tcPr>
            <w:tcW w:w="831" w:type="pct"/>
            <w:tcBorders>
              <w:top w:val="nil"/>
              <w:left w:val="single" w:sz="4" w:space="0" w:color="auto"/>
              <w:bottom w:val="nil"/>
              <w:right w:val="single" w:sz="8" w:space="0" w:color="auto"/>
            </w:tcBorders>
            <w:shd w:val="clear" w:color="auto" w:fill="auto"/>
            <w:noWrap/>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 xml:space="preserve">1,848,854 </w:t>
            </w:r>
          </w:p>
        </w:tc>
      </w:tr>
      <w:tr w:rsidR="008E721E" w:rsidRPr="00F335D6" w:rsidTr="00186FF8">
        <w:trPr>
          <w:trHeight w:val="240"/>
          <w:jc w:val="center"/>
        </w:trPr>
        <w:tc>
          <w:tcPr>
            <w:tcW w:w="1390" w:type="pct"/>
            <w:tcBorders>
              <w:top w:val="nil"/>
              <w:left w:val="single" w:sz="8" w:space="0" w:color="auto"/>
              <w:bottom w:val="single" w:sz="8" w:space="0" w:color="auto"/>
              <w:right w:val="single" w:sz="8" w:space="0" w:color="auto"/>
            </w:tcBorders>
            <w:shd w:val="clear" w:color="auto" w:fill="auto"/>
            <w:noWrap/>
            <w:vAlign w:val="bottom"/>
          </w:tcPr>
          <w:p w:rsidR="008E721E" w:rsidRPr="00F335D6" w:rsidRDefault="008E721E" w:rsidP="00186FF8">
            <w:pPr>
              <w:pStyle w:val="Paragrafi"/>
              <w:ind w:firstLine="0"/>
              <w:rPr>
                <w:sz w:val="18"/>
                <w:szCs w:val="18"/>
                <w:lang w:val="sq-AL"/>
              </w:rPr>
            </w:pPr>
            <w:r w:rsidRPr="00F335D6">
              <w:rPr>
                <w:sz w:val="18"/>
                <w:szCs w:val="18"/>
                <w:lang w:val="sq-AL"/>
              </w:rPr>
              <w:t>EUR/ALL</w:t>
            </w:r>
          </w:p>
        </w:tc>
        <w:tc>
          <w:tcPr>
            <w:tcW w:w="865" w:type="pct"/>
            <w:tcBorders>
              <w:top w:val="nil"/>
              <w:left w:val="nil"/>
              <w:bottom w:val="single" w:sz="8" w:space="0" w:color="auto"/>
              <w:right w:val="single" w:sz="8" w:space="0" w:color="auto"/>
            </w:tcBorders>
            <w:shd w:val="clear" w:color="auto" w:fill="auto"/>
            <w:noWrap/>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142.01</w:t>
            </w:r>
          </w:p>
        </w:tc>
        <w:tc>
          <w:tcPr>
            <w:tcW w:w="945" w:type="pct"/>
            <w:tcBorders>
              <w:top w:val="nil"/>
              <w:left w:val="nil"/>
              <w:bottom w:val="single" w:sz="8" w:space="0" w:color="auto"/>
              <w:right w:val="single" w:sz="4" w:space="0" w:color="auto"/>
            </w:tcBorders>
            <w:shd w:val="clear" w:color="auto" w:fill="auto"/>
            <w:noWrap/>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143.85</w:t>
            </w:r>
          </w:p>
        </w:tc>
        <w:tc>
          <w:tcPr>
            <w:tcW w:w="969" w:type="pct"/>
            <w:tcBorders>
              <w:top w:val="nil"/>
              <w:left w:val="single" w:sz="4" w:space="0" w:color="auto"/>
              <w:bottom w:val="single" w:sz="4" w:space="0" w:color="auto"/>
              <w:right w:val="single" w:sz="4" w:space="0" w:color="auto"/>
            </w:tcBorders>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145.68</w:t>
            </w:r>
          </w:p>
        </w:tc>
        <w:tc>
          <w:tcPr>
            <w:tcW w:w="831" w:type="pct"/>
            <w:tcBorders>
              <w:top w:val="nil"/>
              <w:left w:val="single" w:sz="4" w:space="0" w:color="auto"/>
              <w:bottom w:val="single" w:sz="8" w:space="0" w:color="auto"/>
              <w:right w:val="single" w:sz="8" w:space="0" w:color="auto"/>
            </w:tcBorders>
            <w:shd w:val="clear" w:color="auto" w:fill="auto"/>
            <w:noWrap/>
            <w:vAlign w:val="bottom"/>
          </w:tcPr>
          <w:p w:rsidR="008E721E" w:rsidRPr="00F335D6" w:rsidRDefault="008E721E" w:rsidP="00186FF8">
            <w:pPr>
              <w:pStyle w:val="Paragrafi"/>
              <w:ind w:firstLine="0"/>
              <w:jc w:val="left"/>
              <w:rPr>
                <w:sz w:val="18"/>
                <w:szCs w:val="18"/>
                <w:lang w:val="sq-AL"/>
              </w:rPr>
            </w:pPr>
            <w:r w:rsidRPr="00F335D6">
              <w:rPr>
                <w:sz w:val="18"/>
                <w:szCs w:val="18"/>
                <w:lang w:val="sq-AL"/>
              </w:rPr>
              <w:t>145.68</w:t>
            </w:r>
          </w:p>
        </w:tc>
      </w:tr>
    </w:tbl>
    <w:p w:rsidR="008E721E" w:rsidRDefault="008E721E" w:rsidP="008E721E">
      <w:pPr>
        <w:pStyle w:val="Paragrafi"/>
        <w:rPr>
          <w:b/>
          <w:lang w:val="sq-AL"/>
        </w:rPr>
      </w:pPr>
    </w:p>
    <w:p w:rsidR="008E721E" w:rsidRDefault="008E721E" w:rsidP="008E721E">
      <w:pPr>
        <w:pStyle w:val="Paragrafi"/>
        <w:rPr>
          <w:b/>
          <w:lang w:val="sq-AL"/>
        </w:rPr>
      </w:pPr>
      <w:r w:rsidRPr="00FF4234">
        <w:rPr>
          <w:b/>
          <w:lang w:val="sq-AL"/>
        </w:rPr>
        <w:t>4.5 Analiza kosto-risk dhe përzgjedhja e strategjisë bazë</w:t>
      </w:r>
    </w:p>
    <w:p w:rsidR="008E721E" w:rsidRPr="00FF4234" w:rsidRDefault="008E721E" w:rsidP="008E721E">
      <w:pPr>
        <w:pStyle w:val="Paragrafi"/>
        <w:rPr>
          <w:lang w:val="sq-AL"/>
        </w:rPr>
      </w:pPr>
      <w:r w:rsidRPr="00FF4234">
        <w:rPr>
          <w:lang w:val="sq-AL"/>
        </w:rPr>
        <w:t>Pas kompozimit të strategjive të mësipërme, të gjitha strategjitë i janë nënshtruar analizës kosto-risk me qëllim evidentimin e kostove dhe risqeve që mbart secila prej tyre.</w:t>
      </w: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Pr="00FF4234" w:rsidRDefault="008E721E" w:rsidP="008E721E">
      <w:pPr>
        <w:pStyle w:val="Paragrafi"/>
        <w:rPr>
          <w:lang w:val="sq-AL"/>
        </w:rPr>
      </w:pPr>
      <w:r w:rsidRPr="00FF4234">
        <w:rPr>
          <w:lang w:val="sq-AL"/>
        </w:rPr>
        <w:t>Në skenarin bazë</w:t>
      </w:r>
      <w:r w:rsidRPr="003D463F">
        <w:rPr>
          <w:vertAlign w:val="superscript"/>
          <w:lang w:val="sq-AL"/>
        </w:rPr>
        <w:footnoteReference w:id="8"/>
      </w:r>
      <w:r w:rsidRPr="00FF4234">
        <w:rPr>
          <w:lang w:val="sq-AL"/>
        </w:rPr>
        <w:t xml:space="preserve"> Strategjia 1 (bazë) ka rezultuar si strategjia me koston më të ulët për sa i përket shërbimit të borxhit dhe rrjedhimisht edhe nivelit të borxhit të pritshëm në fund të periudhës afatmesme 2015-2019.</w:t>
      </w:r>
    </w:p>
    <w:p w:rsidR="008E721E" w:rsidRPr="00BE2BB7" w:rsidRDefault="008E721E" w:rsidP="008E721E">
      <w:pPr>
        <w:pStyle w:val="Paragrafi"/>
        <w:rPr>
          <w:lang w:val="sq-AL"/>
        </w:rPr>
      </w:pPr>
      <w:r w:rsidRPr="00FF4234">
        <w:rPr>
          <w:lang w:val="sq-AL"/>
        </w:rPr>
        <w:t xml:space="preserve">Ndërkohë për të evidentuar risqet e asociuara me normat e interesit në tregun vendas dhe të huaj, si dhe riskun e kursit të këmbimit, secila prej strategjive i është nënshtruar skenarëve të stresit. </w:t>
      </w:r>
    </w:p>
    <w:p w:rsidR="008E721E" w:rsidRPr="00FF4234" w:rsidRDefault="008E721E" w:rsidP="008E721E">
      <w:pPr>
        <w:pStyle w:val="Paragrafi"/>
        <w:rPr>
          <w:lang w:val="sq-AL"/>
        </w:rPr>
      </w:pPr>
      <w:r w:rsidRPr="00FF4234">
        <w:rPr>
          <w:b/>
          <w:lang w:val="sq-AL"/>
        </w:rPr>
        <w:t>Skenar stresi 1:</w:t>
      </w:r>
      <w:r w:rsidRPr="00FF4234">
        <w:rPr>
          <w:lang w:val="sq-AL"/>
        </w:rPr>
        <w:t xml:space="preserve">   15 % shock mbi kursin e këmbimit</w:t>
      </w:r>
      <w:r w:rsidRPr="003D463F">
        <w:rPr>
          <w:vertAlign w:val="superscript"/>
          <w:lang w:val="sq-AL"/>
        </w:rPr>
        <w:footnoteReference w:id="9"/>
      </w:r>
      <w:r w:rsidRPr="00FF4234">
        <w:rPr>
          <w:lang w:val="sq-AL"/>
        </w:rPr>
        <w:t xml:space="preserve">; </w:t>
      </w:r>
    </w:p>
    <w:p w:rsidR="008E721E" w:rsidRPr="00FF4234" w:rsidRDefault="008E721E" w:rsidP="008E721E">
      <w:pPr>
        <w:pStyle w:val="Paragrafi"/>
        <w:rPr>
          <w:lang w:val="sq-AL"/>
        </w:rPr>
      </w:pPr>
      <w:r w:rsidRPr="00FF4234">
        <w:rPr>
          <w:b/>
          <w:lang w:val="sq-AL"/>
        </w:rPr>
        <w:t>Skenar stresi 2:</w:t>
      </w:r>
      <w:r w:rsidRPr="00FF4234">
        <w:rPr>
          <w:lang w:val="sq-AL"/>
        </w:rPr>
        <w:t xml:space="preserve">   25% shock mbi normat e interesit të tregut vendas;</w:t>
      </w:r>
    </w:p>
    <w:p w:rsidR="008E721E" w:rsidRPr="00FF4234" w:rsidRDefault="008E721E" w:rsidP="008E721E">
      <w:pPr>
        <w:pStyle w:val="Paragrafi"/>
        <w:rPr>
          <w:lang w:val="sq-AL"/>
        </w:rPr>
      </w:pPr>
      <w:r w:rsidRPr="00FF4234">
        <w:rPr>
          <w:b/>
          <w:lang w:val="sq-AL"/>
        </w:rPr>
        <w:t>Skenar stresi 3:</w:t>
      </w:r>
      <w:r w:rsidRPr="00FF4234">
        <w:rPr>
          <w:lang w:val="sq-AL"/>
        </w:rPr>
        <w:t xml:space="preserve">   25% shock mbi normat e interesit të tregjeve të huaja;</w:t>
      </w:r>
    </w:p>
    <w:p w:rsidR="008E721E" w:rsidRPr="00FF4234" w:rsidRDefault="008E721E" w:rsidP="008E721E">
      <w:pPr>
        <w:pStyle w:val="Paragrafi"/>
        <w:rPr>
          <w:lang w:val="sq-AL"/>
        </w:rPr>
      </w:pPr>
      <w:r w:rsidRPr="00FF4234">
        <w:rPr>
          <w:b/>
          <w:lang w:val="sq-AL"/>
        </w:rPr>
        <w:t>Skenar stresi 4</w:t>
      </w:r>
      <w:r w:rsidRPr="00FF4234">
        <w:rPr>
          <w:b/>
          <w:vertAlign w:val="superscript"/>
          <w:lang w:val="sq-AL"/>
        </w:rPr>
        <w:footnoteReference w:id="10"/>
      </w:r>
      <w:r w:rsidRPr="00FF4234">
        <w:rPr>
          <w:b/>
          <w:lang w:val="sq-AL"/>
        </w:rPr>
        <w:t>:</w:t>
      </w:r>
      <w:r w:rsidRPr="00FF4234">
        <w:rPr>
          <w:lang w:val="sq-AL"/>
        </w:rPr>
        <w:t xml:space="preserve"> 10% shock mbi kursin e këmbimit, 25% </w:t>
      </w:r>
      <w:r w:rsidRPr="00AC6C00">
        <w:rPr>
          <w:i/>
          <w:lang w:val="sq-AL"/>
        </w:rPr>
        <w:t>shock</w:t>
      </w:r>
      <w:r w:rsidRPr="00FF4234">
        <w:rPr>
          <w:lang w:val="sq-AL"/>
        </w:rPr>
        <w:t xml:space="preserve"> </w:t>
      </w:r>
      <w:r>
        <w:rPr>
          <w:lang w:val="sq-AL"/>
        </w:rPr>
        <w:t xml:space="preserve">mbi normat e tregut vendas </w:t>
      </w:r>
      <w:r w:rsidRPr="00FF4234">
        <w:rPr>
          <w:lang w:val="sq-AL"/>
        </w:rPr>
        <w:t xml:space="preserve">dhe të huaj.  </w:t>
      </w:r>
    </w:p>
    <w:p w:rsidR="008E721E" w:rsidRDefault="008E721E" w:rsidP="008E721E">
      <w:pPr>
        <w:pStyle w:val="Paragrafi"/>
        <w:rPr>
          <w:lang w:val="sq-AL"/>
        </w:rPr>
      </w:pPr>
      <w:r w:rsidRPr="00FF4234">
        <w:rPr>
          <w:lang w:val="sq-AL"/>
        </w:rPr>
        <w:t xml:space="preserve">Nga testimi i skenarëve të stresit </w:t>
      </w:r>
      <w:r>
        <w:rPr>
          <w:lang w:val="sq-AL"/>
        </w:rPr>
        <w:t>s</w:t>
      </w:r>
      <w:r w:rsidRPr="00FF4234">
        <w:rPr>
          <w:lang w:val="sq-AL"/>
        </w:rPr>
        <w:t>trategjia 1 (bazë) ka rezultuar më pak e ekspozuar në kuadër të shërbimit të borxhit dhe më shumë e ekspozuar, për sa i përket nivelit të borxhit në raport me PBB. Gjithsesi edhe pse mbart risk të konsiderueshëm, për sa i përket nivelit të borxhit, strategjia bazë mbetet më e pranueshme pasi i ofron më shumë hapësirë borxhit vendas për t’u ristrukturuar dhe për të reduktuar risqet që mbart portofoli</w:t>
      </w:r>
    </w:p>
    <w:p w:rsidR="008E721E" w:rsidRDefault="008E721E" w:rsidP="008E721E">
      <w:pPr>
        <w:pStyle w:val="Paragrafi"/>
        <w:rPr>
          <w:lang w:val="sq-AL"/>
        </w:rPr>
      </w:pPr>
      <w:r w:rsidRPr="00FF4234">
        <w:rPr>
          <w:lang w:val="sq-AL"/>
        </w:rPr>
        <w:t>Më poshtë paraqiten grafikisht rezultatet e analizës kosto-risk për secilën nga strategjitë.</w:t>
      </w:r>
      <w:r>
        <w:rPr>
          <w:lang w:val="sq-AL"/>
        </w:rPr>
        <w:t xml:space="preserve"> </w:t>
      </w:r>
    </w:p>
    <w:p w:rsidR="008E721E" w:rsidRDefault="008E721E" w:rsidP="008E721E">
      <w:pPr>
        <w:pStyle w:val="Paragrafi"/>
        <w:ind w:firstLine="0"/>
        <w:jc w:val="center"/>
        <w:rPr>
          <w:sz w:val="20"/>
          <w:lang w:val="sq-AL"/>
        </w:rPr>
      </w:pPr>
    </w:p>
    <w:p w:rsidR="008E721E" w:rsidRDefault="008E721E" w:rsidP="008E721E">
      <w:pPr>
        <w:pStyle w:val="Paragrafi"/>
        <w:ind w:firstLine="0"/>
        <w:jc w:val="center"/>
        <w:rPr>
          <w:sz w:val="20"/>
          <w:lang w:val="sq-AL"/>
        </w:rPr>
      </w:pPr>
    </w:p>
    <w:p w:rsidR="008E721E" w:rsidRDefault="008E721E" w:rsidP="008E721E">
      <w:pPr>
        <w:pStyle w:val="Paragrafi"/>
        <w:ind w:firstLine="0"/>
        <w:jc w:val="center"/>
        <w:rPr>
          <w:sz w:val="20"/>
          <w:lang w:val="sq-AL"/>
        </w:rPr>
        <w:sectPr w:rsidR="008E721E" w:rsidSect="00913CB4">
          <w:type w:val="continuous"/>
          <w:pgSz w:w="11907" w:h="16840" w:code="9"/>
          <w:pgMar w:top="720" w:right="1134" w:bottom="720" w:left="1134" w:header="851" w:footer="851" w:gutter="0"/>
          <w:pgNumType w:start="1591"/>
          <w:cols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4"/>
        <w:gridCol w:w="261"/>
      </w:tblGrid>
      <w:tr w:rsidR="008E721E" w:rsidTr="00186FF8">
        <w:trPr>
          <w:trHeight w:val="3135"/>
        </w:trPr>
        <w:tc>
          <w:tcPr>
            <w:tcW w:w="3652" w:type="dxa"/>
          </w:tcPr>
          <w:p w:rsidR="008E721E" w:rsidRPr="003143D2" w:rsidRDefault="008E721E" w:rsidP="00186FF8">
            <w:pPr>
              <w:pStyle w:val="Paragrafi"/>
              <w:ind w:firstLine="0"/>
              <w:rPr>
                <w:sz w:val="20"/>
                <w:lang w:val="sq-AL"/>
              </w:rPr>
            </w:pPr>
            <w:r>
              <w:rPr>
                <w:sz w:val="20"/>
                <w:lang w:val="sq-AL"/>
              </w:rPr>
              <w:lastRenderedPageBreak/>
              <w:t xml:space="preserve">     </w:t>
            </w:r>
            <w:r w:rsidRPr="003143D2">
              <w:rPr>
                <w:sz w:val="20"/>
                <w:lang w:val="sq-AL"/>
              </w:rPr>
              <w:t>Kostot dhe risqet e shërbimit të borxhit/PBB</w:t>
            </w:r>
          </w:p>
          <w:p w:rsidR="008E721E" w:rsidRDefault="008E721E" w:rsidP="00186FF8">
            <w:pPr>
              <w:pStyle w:val="Paragrafi"/>
              <w:rPr>
                <w:lang w:val="sq-AL"/>
              </w:rPr>
            </w:pPr>
          </w:p>
          <w:p w:rsidR="008E721E" w:rsidRDefault="008E721E" w:rsidP="00186FF8">
            <w:pPr>
              <w:pStyle w:val="Paragrafi"/>
              <w:rPr>
                <w:lang w:val="sq-AL"/>
              </w:rPr>
            </w:pPr>
            <w:r w:rsidRPr="003143D2">
              <w:rPr>
                <w:noProof/>
              </w:rPr>
              <w:drawing>
                <wp:inline distT="0" distB="0" distL="0" distR="0" wp14:anchorId="23867342" wp14:editId="78006199">
                  <wp:extent cx="5955527" cy="1661822"/>
                  <wp:effectExtent l="0" t="0" r="0" b="0"/>
                  <wp:docPr id="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a:stretch>
                            <a:fillRect/>
                          </a:stretch>
                        </pic:blipFill>
                        <pic:spPr bwMode="auto">
                          <a:xfrm>
                            <a:off x="0" y="0"/>
                            <a:ext cx="5955531" cy="1661823"/>
                          </a:xfrm>
                          <a:prstGeom prst="rect">
                            <a:avLst/>
                          </a:prstGeom>
                          <a:noFill/>
                          <a:ln w="9525">
                            <a:noFill/>
                            <a:miter lim="800000"/>
                            <a:headEnd/>
                            <a:tailEnd/>
                          </a:ln>
                        </pic:spPr>
                      </pic:pic>
                    </a:graphicData>
                  </a:graphic>
                </wp:inline>
              </w:drawing>
            </w:r>
          </w:p>
        </w:tc>
        <w:tc>
          <w:tcPr>
            <w:tcW w:w="4253" w:type="dxa"/>
          </w:tcPr>
          <w:p w:rsidR="008E721E" w:rsidRDefault="008E721E" w:rsidP="00186FF8">
            <w:pPr>
              <w:pStyle w:val="Paragrafi"/>
              <w:jc w:val="center"/>
              <w:rPr>
                <w:lang w:val="sq-AL"/>
              </w:rPr>
            </w:pPr>
          </w:p>
        </w:tc>
      </w:tr>
    </w:tbl>
    <w:p w:rsidR="008E721E" w:rsidRDefault="008E721E" w:rsidP="008E721E">
      <w:pPr>
        <w:pStyle w:val="Paragrafi"/>
        <w:rPr>
          <w:lang w:val="sq-AL"/>
        </w:rPr>
      </w:pPr>
    </w:p>
    <w:p w:rsidR="008E721E" w:rsidRPr="003143D2" w:rsidRDefault="008E721E" w:rsidP="008E721E">
      <w:pPr>
        <w:pStyle w:val="Paragrafi"/>
        <w:jc w:val="left"/>
        <w:rPr>
          <w:sz w:val="20"/>
          <w:lang w:val="sq-AL"/>
        </w:rPr>
      </w:pPr>
      <w:r>
        <w:rPr>
          <w:sz w:val="20"/>
          <w:lang w:val="sq-AL"/>
        </w:rPr>
        <w:t xml:space="preserve"> </w:t>
      </w:r>
      <w:r w:rsidRPr="003143D2">
        <w:rPr>
          <w:sz w:val="20"/>
          <w:lang w:val="sq-AL"/>
        </w:rPr>
        <w:t>Kostot dhe risqet e nivelit të borxhit/PBB</w:t>
      </w:r>
    </w:p>
    <w:p w:rsidR="008E721E" w:rsidRDefault="008E721E" w:rsidP="008E721E">
      <w:pPr>
        <w:pStyle w:val="Paragrafi"/>
        <w:rPr>
          <w:lang w:val="sq-AL"/>
        </w:rPr>
      </w:pPr>
    </w:p>
    <w:p w:rsidR="008E721E" w:rsidRDefault="008E721E" w:rsidP="008E721E">
      <w:pPr>
        <w:pStyle w:val="Paragrafi"/>
        <w:rPr>
          <w:lang w:val="sq-AL"/>
        </w:rPr>
      </w:pPr>
      <w:r w:rsidRPr="005E1636">
        <w:rPr>
          <w:noProof/>
        </w:rPr>
        <w:drawing>
          <wp:inline distT="0" distB="0" distL="0" distR="0" wp14:anchorId="41AD1462" wp14:editId="27F3B95D">
            <wp:extent cx="5701086" cy="2161774"/>
            <wp:effectExtent l="0" t="0" r="0" b="0"/>
            <wp:docPr id="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a:stretch>
                      <a:fillRect/>
                    </a:stretch>
                  </pic:blipFill>
                  <pic:spPr bwMode="auto">
                    <a:xfrm>
                      <a:off x="0" y="0"/>
                      <a:ext cx="5703677" cy="2162756"/>
                    </a:xfrm>
                    <a:prstGeom prst="rect">
                      <a:avLst/>
                    </a:prstGeom>
                    <a:noFill/>
                    <a:ln w="9525">
                      <a:noFill/>
                      <a:miter lim="800000"/>
                      <a:headEnd/>
                      <a:tailEnd/>
                    </a:ln>
                  </pic:spPr>
                </pic:pic>
              </a:graphicData>
            </a:graphic>
          </wp:inline>
        </w:drawing>
      </w:r>
    </w:p>
    <w:p w:rsidR="008E721E" w:rsidRDefault="008E721E" w:rsidP="008E721E">
      <w:pPr>
        <w:pStyle w:val="Paragrafi"/>
        <w:rPr>
          <w:lang w:val="sq-AL"/>
        </w:rPr>
      </w:pP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598"/>
          <w:cols w:space="720"/>
          <w:docGrid w:linePitch="360"/>
        </w:sectPr>
      </w:pPr>
    </w:p>
    <w:p w:rsidR="008E721E" w:rsidRPr="00FF4234" w:rsidRDefault="008E721E" w:rsidP="008E721E">
      <w:pPr>
        <w:pStyle w:val="Paragrafi"/>
        <w:rPr>
          <w:lang w:val="sq-AL"/>
        </w:rPr>
      </w:pPr>
      <w:r w:rsidRPr="00FF4234">
        <w:rPr>
          <w:lang w:val="sq-AL"/>
        </w:rPr>
        <w:lastRenderedPageBreak/>
        <w:t>Për sa më sipër dhe duke marrë në konsideratë instrumentet e financimit në dispozicion të vendit, strategjia bazë është një strategji e cila vjen në përputhje me objektivat kryesore të menaxhimit për përmirësimin e strukturës së borxhit dhe në veçanti të borxhit të brendshëm i cili mbart edhe riskun më të lartë.</w:t>
      </w:r>
    </w:p>
    <w:p w:rsidR="008E721E" w:rsidRPr="00FF4234" w:rsidRDefault="008E721E" w:rsidP="008E721E">
      <w:pPr>
        <w:pStyle w:val="Paragrafi"/>
        <w:rPr>
          <w:b/>
          <w:lang w:val="sq-AL"/>
        </w:rPr>
      </w:pPr>
      <w:r w:rsidRPr="00FF4234">
        <w:rPr>
          <w:b/>
          <w:lang w:val="sq-AL"/>
        </w:rPr>
        <w:t>4.5.1 Avantazhet  e strategjisë bazë</w:t>
      </w:r>
    </w:p>
    <w:p w:rsidR="008E721E" w:rsidRDefault="008E721E" w:rsidP="008E721E">
      <w:pPr>
        <w:pStyle w:val="Paragrafi"/>
        <w:rPr>
          <w:lang w:val="sq-AL"/>
        </w:rPr>
      </w:pPr>
      <w:r w:rsidRPr="00FF4234">
        <w:rPr>
          <w:lang w:val="sq-AL"/>
        </w:rPr>
        <w:t xml:space="preserve">Aplikimi i suksesshëm i strategjisë do të garantonte në fund të vitit 2017 një profil shlyerje që karakterizohet nga një risk </w:t>
      </w:r>
      <w:r>
        <w:rPr>
          <w:lang w:val="sq-AL"/>
        </w:rPr>
        <w:t>rifinancim</w:t>
      </w:r>
      <w:r w:rsidRPr="00FF4234">
        <w:rPr>
          <w:lang w:val="sq-AL"/>
        </w:rPr>
        <w:t>i më i ulët dhe gjithashtu një përmirësim të riskut të normave të interesit.</w:t>
      </w:r>
    </w:p>
    <w:p w:rsidR="008E721E" w:rsidRDefault="008E721E" w:rsidP="008E721E">
      <w:pPr>
        <w:pStyle w:val="Paragrafi"/>
        <w:rPr>
          <w:lang w:val="sq-AL"/>
        </w:rPr>
      </w:pP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454"/>
          <w:docGrid w:linePitch="360"/>
        </w:sectPr>
      </w:pPr>
    </w:p>
    <w:p w:rsidR="008E721E" w:rsidRPr="00FF4234" w:rsidRDefault="008E721E" w:rsidP="008E721E">
      <w:pPr>
        <w:pStyle w:val="Paragrafi"/>
        <w:rPr>
          <w:lang w:val="sq-AL"/>
        </w:rPr>
      </w:pPr>
    </w:p>
    <w:p w:rsidR="008E721E" w:rsidRDefault="008E721E" w:rsidP="008E721E">
      <w:pPr>
        <w:pStyle w:val="Paragrafi"/>
        <w:jc w:val="left"/>
        <w:rPr>
          <w:lang w:val="sq-AL"/>
        </w:rPr>
      </w:pPr>
      <w:r w:rsidRPr="00FF4234">
        <w:rPr>
          <w:lang w:val="sq-AL"/>
        </w:rPr>
        <w:t>Krahasimi i profileve të maturimit Aktual VS strategjia bazë (10 vjet periudhë kohore</w:t>
      </w:r>
      <w:r>
        <w:rPr>
          <w:lang w:val="sq-AL"/>
        </w:rPr>
        <w:t>)</w:t>
      </w:r>
      <w:r w:rsidRPr="00FF4234">
        <w:rPr>
          <w:noProof/>
        </w:rPr>
        <w:drawing>
          <wp:inline distT="0" distB="0" distL="0" distR="0" wp14:anchorId="4C1ADC62" wp14:editId="3D856CE6">
            <wp:extent cx="2830664" cy="209119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srcRect/>
                    <a:stretch>
                      <a:fillRect/>
                    </a:stretch>
                  </pic:blipFill>
                  <pic:spPr bwMode="auto">
                    <a:xfrm>
                      <a:off x="0" y="0"/>
                      <a:ext cx="2830830" cy="2091316"/>
                    </a:xfrm>
                    <a:prstGeom prst="rect">
                      <a:avLst/>
                    </a:prstGeom>
                    <a:noFill/>
                    <a:ln w="9525">
                      <a:noFill/>
                      <a:miter lim="800000"/>
                      <a:headEnd/>
                      <a:tailEnd/>
                    </a:ln>
                  </pic:spPr>
                </pic:pic>
              </a:graphicData>
            </a:graphic>
          </wp:inline>
        </w:drawing>
      </w:r>
      <w:r w:rsidRPr="00FF4234">
        <w:rPr>
          <w:lang w:val="sq-AL"/>
        </w:rPr>
        <w:t xml:space="preserve"> </w:t>
      </w:r>
      <w:r w:rsidRPr="00FF4234">
        <w:rPr>
          <w:noProof/>
        </w:rPr>
        <w:drawing>
          <wp:inline distT="0" distB="0" distL="0" distR="0" wp14:anchorId="42AF9077" wp14:editId="6446080F">
            <wp:extent cx="2870171" cy="166977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srcRect/>
                    <a:stretch>
                      <a:fillRect/>
                    </a:stretch>
                  </pic:blipFill>
                  <pic:spPr bwMode="auto">
                    <a:xfrm>
                      <a:off x="0" y="0"/>
                      <a:ext cx="2870200" cy="1669791"/>
                    </a:xfrm>
                    <a:prstGeom prst="rect">
                      <a:avLst/>
                    </a:prstGeom>
                    <a:noFill/>
                    <a:ln w="9525">
                      <a:noFill/>
                      <a:miter lim="800000"/>
                      <a:headEnd/>
                      <a:tailEnd/>
                    </a:ln>
                  </pic:spPr>
                </pic:pic>
              </a:graphicData>
            </a:graphic>
          </wp:inline>
        </w:drawing>
      </w:r>
    </w:p>
    <w:p w:rsidR="008E721E" w:rsidRDefault="008E721E" w:rsidP="008E721E">
      <w:pPr>
        <w:pStyle w:val="Paragrafi"/>
        <w:rPr>
          <w:lang w:val="sq-AL"/>
        </w:rPr>
      </w:pPr>
    </w:p>
    <w:p w:rsidR="008E721E" w:rsidRPr="00FF4234" w:rsidRDefault="008E721E" w:rsidP="008E721E">
      <w:pPr>
        <w:pStyle w:val="Paragrafi"/>
        <w:rPr>
          <w:lang w:val="sq-AL"/>
        </w:rPr>
      </w:pPr>
      <w:r w:rsidRPr="00FF4234">
        <w:rPr>
          <w:lang w:val="sq-AL"/>
        </w:rPr>
        <w:t>Raporti instrumente me norma fikse/instrumente me norma të ndryshueshme (2014-2018)</w:t>
      </w:r>
    </w:p>
    <w:p w:rsidR="008E721E" w:rsidRPr="00FF4234" w:rsidRDefault="008E721E" w:rsidP="008E721E">
      <w:pPr>
        <w:pStyle w:val="Paragrafi"/>
        <w:rPr>
          <w:lang w:val="sq-AL"/>
        </w:rPr>
      </w:pPr>
      <w:r w:rsidRPr="00FF4234">
        <w:rPr>
          <w:noProof/>
        </w:rPr>
        <w:lastRenderedPageBreak/>
        <w:drawing>
          <wp:inline distT="0" distB="0" distL="0" distR="0" wp14:anchorId="6DB017B0" wp14:editId="1789BEE4">
            <wp:extent cx="5852160" cy="254441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srcRect/>
                    <a:stretch>
                      <a:fillRect/>
                    </a:stretch>
                  </pic:blipFill>
                  <pic:spPr bwMode="auto">
                    <a:xfrm>
                      <a:off x="0" y="0"/>
                      <a:ext cx="5852160" cy="2544418"/>
                    </a:xfrm>
                    <a:prstGeom prst="rect">
                      <a:avLst/>
                    </a:prstGeom>
                    <a:noFill/>
                    <a:ln w="9525">
                      <a:noFill/>
                      <a:miter lim="800000"/>
                      <a:headEnd/>
                      <a:tailEnd/>
                    </a:ln>
                  </pic:spPr>
                </pic:pic>
              </a:graphicData>
            </a:graphic>
          </wp:inline>
        </w:drawing>
      </w: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598"/>
          <w:cols w:space="720"/>
          <w:docGrid w:linePitch="360"/>
        </w:sectPr>
      </w:pPr>
    </w:p>
    <w:p w:rsidR="008E721E" w:rsidRPr="00FF4234" w:rsidRDefault="008E721E" w:rsidP="008E721E">
      <w:pPr>
        <w:pStyle w:val="Paragrafi"/>
        <w:rPr>
          <w:lang w:val="sq-AL"/>
        </w:rPr>
      </w:pPr>
      <w:r w:rsidRPr="00FF4234">
        <w:rPr>
          <w:lang w:val="sq-AL"/>
        </w:rPr>
        <w:lastRenderedPageBreak/>
        <w:t xml:space="preserve">Ulja e financimit të brendshëm me rreth 35 miliardë </w:t>
      </w:r>
      <w:r>
        <w:rPr>
          <w:lang w:val="sq-AL"/>
        </w:rPr>
        <w:t>lekë</w:t>
      </w:r>
      <w:r w:rsidRPr="00FF4234">
        <w:rPr>
          <w:lang w:val="sq-AL"/>
        </w:rPr>
        <w:t xml:space="preserve"> i jep mundësi portofolit të borxhit të brendshëm të ristrukturohet, të krijoj benchmarke të instrumenteve afatgjatë dhe në të njëjtën kohë t’i ofrojë mundësi sistemit bankar të ristrukturojë portofolin në kuadër të ekspozimit ndaj riskut sovran dhe të rrisë shanset e kreditimit të sektorit privat.</w:t>
      </w:r>
    </w:p>
    <w:p w:rsidR="008E721E" w:rsidRPr="00FF4234" w:rsidRDefault="008E721E" w:rsidP="008E721E">
      <w:pPr>
        <w:pStyle w:val="Paragrafi"/>
        <w:rPr>
          <w:b/>
          <w:lang w:val="sq-AL"/>
        </w:rPr>
      </w:pPr>
      <w:r w:rsidRPr="00FF4234">
        <w:rPr>
          <w:b/>
          <w:lang w:val="sq-AL"/>
        </w:rPr>
        <w:t xml:space="preserve">4.5.2  Analiza e ndjeshmërisë ndaj risqeve </w:t>
      </w:r>
    </w:p>
    <w:p w:rsidR="008E721E" w:rsidRPr="00FF4234" w:rsidRDefault="008E721E" w:rsidP="008E721E">
      <w:pPr>
        <w:pStyle w:val="Paragrafi"/>
        <w:rPr>
          <w:lang w:val="sq-AL"/>
        </w:rPr>
      </w:pPr>
      <w:r w:rsidRPr="00FF4234">
        <w:rPr>
          <w:lang w:val="sq-AL"/>
        </w:rPr>
        <w:t>Rritja e stokut të borxhit të huaj deri në 45% e bën këtë strategji vulnerabël ndaj luhatjeve të kursit të këmbimit.</w:t>
      </w:r>
    </w:p>
    <w:p w:rsidR="008E721E" w:rsidRPr="00FF4234" w:rsidRDefault="008E721E" w:rsidP="008E721E">
      <w:pPr>
        <w:pStyle w:val="Paragrafi"/>
        <w:rPr>
          <w:lang w:val="sq-AL"/>
        </w:rPr>
      </w:pPr>
      <w:r w:rsidRPr="00FF4234">
        <w:rPr>
          <w:lang w:val="sq-AL"/>
        </w:rPr>
        <w:t xml:space="preserve">Një zhvlerësim i mundshëm i monedhës vendase kundrejt monedhës </w:t>
      </w:r>
      <w:r>
        <w:rPr>
          <w:lang w:val="sq-AL"/>
        </w:rPr>
        <w:t>euro</w:t>
      </w:r>
      <w:r w:rsidRPr="00FF4234">
        <w:rPr>
          <w:lang w:val="sq-AL"/>
        </w:rPr>
        <w:t xml:space="preserve"> ose ndaj monedhave të tjera, të cilat janë pjesë përbërëse e portofolit të borxhit do të kishte efekte rritëse mbi raportin e stokut të borxhit ndaj PBB pavarësisht mbajtjes së njëjtë të stokut në vetvete dhe në të njëjtën kohë efekte financiare rritëse që rrjedhin nga shërbimi i borxhit.</w:t>
      </w:r>
    </w:p>
    <w:p w:rsidR="008E721E" w:rsidRDefault="008E721E" w:rsidP="008E721E">
      <w:pPr>
        <w:pStyle w:val="Paragrafi"/>
        <w:rPr>
          <w:lang w:val="sq-AL"/>
        </w:rPr>
      </w:pPr>
      <w:r w:rsidRPr="00FF4234">
        <w:rPr>
          <w:lang w:val="sq-AL"/>
        </w:rPr>
        <w:t>Më konkretisht, një zhvlerësim i monedhës vendase prej 15% ndaj të gjitha monedhave që kompozojnë portofolin e borxhit të jashtëm do e rriste nivelin e borxhit me rreth 4.1 pikë përqindje dhe në të njëjtën kohë shërbimin e borxhit deri në 12 pikë bazë.</w:t>
      </w: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454"/>
          <w:docGrid w:linePitch="360"/>
        </w:sectPr>
      </w:pPr>
    </w:p>
    <w:p w:rsidR="008E721E" w:rsidRPr="00FF4234" w:rsidRDefault="008E721E" w:rsidP="008E721E">
      <w:pPr>
        <w:pStyle w:val="Paragrafi"/>
        <w:rPr>
          <w:lang w:val="sq-AL"/>
        </w:rPr>
      </w:pPr>
    </w:p>
    <w:p w:rsidR="008E721E" w:rsidRPr="00FF4234" w:rsidRDefault="008E721E" w:rsidP="008E721E">
      <w:pPr>
        <w:pStyle w:val="Paragrafi"/>
        <w:rPr>
          <w:lang w:val="sq-AL"/>
        </w:rPr>
      </w:pPr>
      <w:r w:rsidRPr="00FF4234">
        <w:rPr>
          <w:lang w:val="sq-AL"/>
        </w:rPr>
        <w:t>Ndjeshmëria e nivelit të borxhit në raport me PBB ndaj luhatjeve të kursit të këmbimit</w:t>
      </w:r>
    </w:p>
    <w:p w:rsidR="008E721E" w:rsidRPr="00FF4234" w:rsidRDefault="008E721E" w:rsidP="008E721E">
      <w:pPr>
        <w:pStyle w:val="Paragrafi"/>
        <w:rPr>
          <w:lang w:val="sq-AL"/>
        </w:rPr>
      </w:pPr>
      <w:r w:rsidRPr="00FF4234">
        <w:rPr>
          <w:noProof/>
        </w:rPr>
        <w:drawing>
          <wp:inline distT="0" distB="0" distL="0" distR="0" wp14:anchorId="1A6CDF5C" wp14:editId="5DC19E8B">
            <wp:extent cx="5852160" cy="23774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srcRect/>
                    <a:stretch>
                      <a:fillRect/>
                    </a:stretch>
                  </pic:blipFill>
                  <pic:spPr bwMode="auto">
                    <a:xfrm>
                      <a:off x="0" y="0"/>
                      <a:ext cx="5852160" cy="2377440"/>
                    </a:xfrm>
                    <a:prstGeom prst="rect">
                      <a:avLst/>
                    </a:prstGeom>
                    <a:noFill/>
                    <a:ln w="9525">
                      <a:noFill/>
                      <a:miter lim="800000"/>
                      <a:headEnd/>
                      <a:tailEnd/>
                    </a:ln>
                  </pic:spPr>
                </pic:pic>
              </a:graphicData>
            </a:graphic>
          </wp:inline>
        </w:drawing>
      </w: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Pr="00FF4234" w:rsidRDefault="008E721E" w:rsidP="008E721E">
      <w:pPr>
        <w:pStyle w:val="Paragrafi"/>
        <w:rPr>
          <w:lang w:val="sq-AL"/>
        </w:rPr>
      </w:pPr>
      <w:r w:rsidRPr="00FF4234">
        <w:rPr>
          <w:lang w:val="sq-AL"/>
        </w:rPr>
        <w:t>Ndjeshmëria e shërbimit  të borxhit në raport me PBB ndaj luhatjeve të kursit të këmbimit</w:t>
      </w:r>
    </w:p>
    <w:p w:rsidR="008E721E" w:rsidRPr="00FF4234" w:rsidRDefault="008E721E" w:rsidP="008E721E">
      <w:pPr>
        <w:pStyle w:val="Paragrafi"/>
        <w:rPr>
          <w:lang w:val="sq-AL"/>
        </w:rPr>
      </w:pPr>
      <w:r w:rsidRPr="00FF4234">
        <w:rPr>
          <w:noProof/>
        </w:rPr>
        <w:lastRenderedPageBreak/>
        <w:drawing>
          <wp:inline distT="0" distB="0" distL="0" distR="0" wp14:anchorId="67EC1755" wp14:editId="6747F3BD">
            <wp:extent cx="5642728" cy="16141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srcRect/>
                    <a:stretch>
                      <a:fillRect/>
                    </a:stretch>
                  </pic:blipFill>
                  <pic:spPr bwMode="auto">
                    <a:xfrm>
                      <a:off x="0" y="0"/>
                      <a:ext cx="5645426" cy="1614887"/>
                    </a:xfrm>
                    <a:prstGeom prst="rect">
                      <a:avLst/>
                    </a:prstGeom>
                    <a:noFill/>
                    <a:ln w="9525">
                      <a:noFill/>
                      <a:miter lim="800000"/>
                      <a:headEnd/>
                      <a:tailEnd/>
                    </a:ln>
                  </pic:spPr>
                </pic:pic>
              </a:graphicData>
            </a:graphic>
          </wp:inline>
        </w:drawing>
      </w:r>
    </w:p>
    <w:p w:rsidR="008E721E" w:rsidRPr="00FF4234" w:rsidRDefault="008E721E" w:rsidP="008E721E">
      <w:pPr>
        <w:pStyle w:val="Paragrafi"/>
        <w:ind w:firstLine="0"/>
        <w:rPr>
          <w:highlight w:val="yellow"/>
          <w:lang w:val="sq-AL"/>
        </w:rPr>
      </w:pP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599"/>
          <w:cols w:space="720"/>
          <w:docGrid w:linePitch="360"/>
        </w:sectPr>
      </w:pPr>
    </w:p>
    <w:p w:rsidR="008E721E" w:rsidRPr="00FF4234" w:rsidRDefault="008E721E" w:rsidP="008E721E">
      <w:pPr>
        <w:pStyle w:val="Paragrafi"/>
        <w:rPr>
          <w:lang w:val="sq-AL"/>
        </w:rPr>
      </w:pPr>
      <w:r w:rsidRPr="00FF4234">
        <w:rPr>
          <w:lang w:val="sq-AL"/>
        </w:rPr>
        <w:lastRenderedPageBreak/>
        <w:t>Nga ana tjetër, rritja e ekspozimit të borxhit ndaj monedhës së huaj mund të rrisë ndjeshmërinë ndaj faktorëve të jashtëm duke ndikuar në uljen e qëndrueshmërisë së borxhit dhe si rrjedhojë të shoqërohet me një ulje në vlerësimin e kreditit nga kompanitë e vlerësimit. Një ulje në vlerësim do të shkaktonte rritje të kostos së huamarrjes së jashtme dhe njëkohësisht rritje të nivelit të borxhit.</w:t>
      </w:r>
    </w:p>
    <w:p w:rsidR="008E721E" w:rsidRPr="00FF4234" w:rsidRDefault="008E721E" w:rsidP="008E721E">
      <w:pPr>
        <w:pStyle w:val="Paragrafi"/>
        <w:rPr>
          <w:lang w:val="sq-AL"/>
        </w:rPr>
      </w:pPr>
      <w:r w:rsidRPr="00FF4234">
        <w:rPr>
          <w:lang w:val="sq-AL"/>
        </w:rPr>
        <w:t>Një risk tjetër i cili ka efekte të konsiderueshme mbi nivelin dhe kryesisht mbi shërbimin e borxhit është edhe risku i normave të interesit të tregut të brendshëm dhe atij të huaj.</w:t>
      </w:r>
    </w:p>
    <w:p w:rsidR="008E721E" w:rsidRDefault="008E721E" w:rsidP="008E721E">
      <w:pPr>
        <w:pStyle w:val="Paragrafi"/>
        <w:rPr>
          <w:lang w:val="sq-AL"/>
        </w:rPr>
      </w:pPr>
      <w:r w:rsidRPr="00FF4234">
        <w:rPr>
          <w:lang w:val="sq-AL"/>
        </w:rPr>
        <w:t>Rritja e normave të interesit në tregun vendas dhe atë të huaj me 25% do të kishte efektet të cilat ilustrohen grafikisht si më poshtë:</w:t>
      </w: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454"/>
          <w:docGrid w:linePitch="360"/>
        </w:sectPr>
      </w:pPr>
    </w:p>
    <w:p w:rsidR="008E721E" w:rsidRPr="00FF4234" w:rsidRDefault="008E721E" w:rsidP="008E721E">
      <w:pPr>
        <w:pStyle w:val="Paragrafi"/>
        <w:rPr>
          <w:lang w:val="sq-AL"/>
        </w:rPr>
      </w:pPr>
    </w:p>
    <w:p w:rsidR="008E721E" w:rsidRPr="00FF4234" w:rsidRDefault="008E721E" w:rsidP="008E721E">
      <w:pPr>
        <w:pStyle w:val="Paragrafi"/>
        <w:rPr>
          <w:lang w:val="sq-AL"/>
        </w:rPr>
      </w:pPr>
      <w:r w:rsidRPr="00FF4234">
        <w:rPr>
          <w:lang w:val="sq-AL"/>
        </w:rPr>
        <w:t>Ndjeshmëria e shërbimit  të borxhit në raport me PBB ndaj luhatjeve të normave të interesit</w:t>
      </w:r>
    </w:p>
    <w:p w:rsidR="008E721E" w:rsidRPr="00FF4234" w:rsidRDefault="008E721E" w:rsidP="008E721E">
      <w:pPr>
        <w:pStyle w:val="Paragrafi"/>
        <w:rPr>
          <w:lang w:val="sq-AL"/>
        </w:rPr>
      </w:pPr>
      <w:r w:rsidRPr="00FF4234">
        <w:rPr>
          <w:noProof/>
        </w:rPr>
        <w:drawing>
          <wp:inline distT="0" distB="0" distL="0" distR="0" wp14:anchorId="4E5E8E06" wp14:editId="1C7B5965">
            <wp:extent cx="5852033" cy="159026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5852160" cy="1590296"/>
                    </a:xfrm>
                    <a:prstGeom prst="rect">
                      <a:avLst/>
                    </a:prstGeom>
                    <a:noFill/>
                    <a:ln w="9525">
                      <a:noFill/>
                      <a:miter lim="800000"/>
                      <a:headEnd/>
                      <a:tailEnd/>
                    </a:ln>
                  </pic:spPr>
                </pic:pic>
              </a:graphicData>
            </a:graphic>
          </wp:inline>
        </w:drawing>
      </w:r>
    </w:p>
    <w:p w:rsidR="008E721E" w:rsidRPr="00FF4234" w:rsidRDefault="008E721E" w:rsidP="008E721E">
      <w:pPr>
        <w:pStyle w:val="Paragrafi"/>
        <w:rPr>
          <w:lang w:val="sq-AL"/>
        </w:rPr>
      </w:pPr>
      <w:r w:rsidRPr="00FF4234">
        <w:rPr>
          <w:lang w:val="sq-AL"/>
        </w:rPr>
        <w:t>Ndjeshmëria e nivelit  të borxhit në raport me PBB ndaj luhatjeve të normave të interesit</w:t>
      </w:r>
    </w:p>
    <w:p w:rsidR="008E721E" w:rsidRPr="00FF4234" w:rsidRDefault="008E721E" w:rsidP="008E721E">
      <w:pPr>
        <w:pStyle w:val="Paragrafi"/>
        <w:rPr>
          <w:lang w:val="sq-AL"/>
        </w:rPr>
      </w:pPr>
      <w:r w:rsidRPr="00FF4234">
        <w:rPr>
          <w:noProof/>
        </w:rPr>
        <w:drawing>
          <wp:inline distT="0" distB="0" distL="0" distR="0" wp14:anchorId="432129AB" wp14:editId="6A4864E1">
            <wp:extent cx="5851901" cy="141533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srcRect/>
                    <a:stretch>
                      <a:fillRect/>
                    </a:stretch>
                  </pic:blipFill>
                  <pic:spPr bwMode="auto">
                    <a:xfrm>
                      <a:off x="0" y="0"/>
                      <a:ext cx="5852160" cy="1415395"/>
                    </a:xfrm>
                    <a:prstGeom prst="rect">
                      <a:avLst/>
                    </a:prstGeom>
                    <a:noFill/>
                    <a:ln w="9525">
                      <a:noFill/>
                      <a:miter lim="800000"/>
                      <a:headEnd/>
                      <a:tailEnd/>
                    </a:ln>
                  </pic:spPr>
                </pic:pic>
              </a:graphicData>
            </a:graphic>
          </wp:inline>
        </w:drawing>
      </w:r>
    </w:p>
    <w:p w:rsidR="008E721E" w:rsidRPr="00FF4234" w:rsidRDefault="008E721E" w:rsidP="008E721E">
      <w:pPr>
        <w:pStyle w:val="Paragrafi"/>
        <w:rPr>
          <w:lang w:val="sq-AL"/>
        </w:rPr>
      </w:pP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720"/>
          <w:docGrid w:linePitch="360"/>
        </w:sectPr>
      </w:pPr>
    </w:p>
    <w:p w:rsidR="008E721E" w:rsidRPr="00FF4234" w:rsidRDefault="008E721E" w:rsidP="008E721E">
      <w:pPr>
        <w:pStyle w:val="Paragrafi"/>
        <w:rPr>
          <w:lang w:val="sq-AL"/>
        </w:rPr>
      </w:pPr>
      <w:r w:rsidRPr="00FF4234">
        <w:rPr>
          <w:lang w:val="sq-AL"/>
        </w:rPr>
        <w:lastRenderedPageBreak/>
        <w:t>Strategjia Afatmesme e Menaxhimit të Borxhit duhet theksuar se gjithashtu ka një ndjeshmëri të konsiderueshme në përmbushjen e objektivave të saj edhe ndaj faktorit rritje ekonomike.</w:t>
      </w:r>
    </w:p>
    <w:p w:rsidR="008E721E" w:rsidRPr="00FF4234" w:rsidRDefault="008E721E" w:rsidP="008E721E">
      <w:pPr>
        <w:pStyle w:val="Paragrafi"/>
        <w:rPr>
          <w:lang w:val="sq-AL"/>
        </w:rPr>
      </w:pPr>
      <w:r w:rsidRPr="00FF4234">
        <w:rPr>
          <w:lang w:val="sq-AL"/>
        </w:rPr>
        <w:t>Mosrealizimi i rritjes ekonomike sipas supozimeve afatmesme do të kishte efekte të konsiderueshme mbi nivelin e borxhit, i cili është dhe një nga objektivat primar jo vetëm të menaxhimit të borxhit, por edhe i qeverisë.</w:t>
      </w:r>
    </w:p>
    <w:p w:rsidR="008E721E" w:rsidRDefault="008E721E" w:rsidP="008E721E">
      <w:pPr>
        <w:pStyle w:val="Paragrafi"/>
        <w:rPr>
          <w:lang w:val="sq-AL"/>
        </w:rPr>
      </w:pPr>
      <w:r w:rsidRPr="00FF4234">
        <w:rPr>
          <w:lang w:val="sq-AL"/>
        </w:rPr>
        <w:t>Në analizë është supozuar impakti i një rënie të PBB nominale me 1%.</w:t>
      </w:r>
    </w:p>
    <w:p w:rsidR="008E721E" w:rsidRPr="00FF4234" w:rsidRDefault="008E721E" w:rsidP="008E721E">
      <w:pPr>
        <w:pStyle w:val="Paragrafi"/>
        <w:rPr>
          <w:lang w:val="sq-AL"/>
        </w:rPr>
      </w:pPr>
      <w:r w:rsidRPr="00FF4234">
        <w:rPr>
          <w:lang w:val="sq-AL"/>
        </w:rPr>
        <w:t>Ndjeshmëria e nivelit  të borxhit në raport me PBB ndaj luhatjes së PBB</w:t>
      </w:r>
    </w:p>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454"/>
          <w:docGrid w:linePitch="360"/>
        </w:sectPr>
      </w:pPr>
    </w:p>
    <w:p w:rsidR="008E721E" w:rsidRDefault="008E721E" w:rsidP="008E721E">
      <w:pPr>
        <w:pStyle w:val="Paragrafi"/>
        <w:rPr>
          <w:lang w:val="sq-AL"/>
        </w:rPr>
      </w:pPr>
      <w:r w:rsidRPr="00FF4234">
        <w:rPr>
          <w:noProof/>
        </w:rPr>
        <w:lastRenderedPageBreak/>
        <w:drawing>
          <wp:inline distT="0" distB="0" distL="0" distR="0" wp14:anchorId="7652EAD2" wp14:editId="66076762">
            <wp:extent cx="2655736" cy="132786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srcRect/>
                    <a:stretch>
                      <a:fillRect/>
                    </a:stretch>
                  </pic:blipFill>
                  <pic:spPr bwMode="auto">
                    <a:xfrm>
                      <a:off x="0" y="0"/>
                      <a:ext cx="2655974" cy="1327987"/>
                    </a:xfrm>
                    <a:prstGeom prst="rect">
                      <a:avLst/>
                    </a:prstGeom>
                    <a:noFill/>
                    <a:ln w="9525">
                      <a:noFill/>
                      <a:miter lim="800000"/>
                      <a:headEnd/>
                      <a:tailEnd/>
                    </a:ln>
                  </pic:spPr>
                </pic:pic>
              </a:graphicData>
            </a:graphic>
          </wp:inline>
        </w:drawing>
      </w:r>
    </w:p>
    <w:p w:rsidR="008E721E" w:rsidRPr="00FF4234" w:rsidRDefault="008E721E" w:rsidP="008E721E">
      <w:pPr>
        <w:pStyle w:val="Paragrafi"/>
        <w:rPr>
          <w:lang w:val="sq-AL"/>
        </w:rPr>
      </w:pPr>
      <w:r w:rsidRPr="00FF4234">
        <w:rPr>
          <w:lang w:val="sq-AL"/>
        </w:rPr>
        <w:lastRenderedPageBreak/>
        <w:t xml:space="preserve">Nga analiza rezulton se rënia e PBB nominale me 1% ka efekt të moderuar mbi nivelin e borxhit. Gjithsesi, duhet marrë në konsideratë se në realitet rënia ekonomike shoqërohet me rënie të të ardhurave në buxhetin e shtetit, si edhe jep ndikim edhe mbi tregues të tjerë makro-fiskal, të cilët kanë efekt në zgjerimin e deficitit primar duke bërë që të rritet nevoja për huamarrje. Për sa më sipër, impakti i një rënie të PBB është i një shkalle më të konsiderueshme nga ajo që paraqitet grafikisht. </w:t>
      </w:r>
    </w:p>
    <w:p w:rsidR="008E721E" w:rsidRPr="00FF4234" w:rsidRDefault="008E721E" w:rsidP="008E721E">
      <w:pPr>
        <w:pStyle w:val="Paragrafi"/>
        <w:rPr>
          <w:b/>
          <w:lang w:val="sq-AL"/>
        </w:rPr>
      </w:pPr>
      <w:r>
        <w:rPr>
          <w:b/>
          <w:lang w:val="sq-AL"/>
        </w:rPr>
        <w:t>4.5.3</w:t>
      </w:r>
      <w:r w:rsidRPr="00FF4234">
        <w:rPr>
          <w:b/>
          <w:lang w:val="sq-AL"/>
        </w:rPr>
        <w:t xml:space="preserve"> Qëndrueshmëria e borxhit në periudhën afatmesme</w:t>
      </w:r>
    </w:p>
    <w:p w:rsidR="008E721E" w:rsidRPr="00FF4234" w:rsidRDefault="008E721E" w:rsidP="008E721E">
      <w:pPr>
        <w:pStyle w:val="Paragrafi"/>
        <w:rPr>
          <w:lang w:val="sq-AL"/>
        </w:rPr>
      </w:pPr>
      <w:r w:rsidRPr="00FF4234">
        <w:rPr>
          <w:lang w:val="sq-AL"/>
        </w:rPr>
        <w:t xml:space="preserve">Qëndrueshmëria e borxhit publik në periudhën afatmesme është një element shumë i rëndësishëm, i cili është i lidhur ngushtë me përmirësimin e politikave të menaxhimit të borxhit dhe likuiditetit. Nga ana tjetër, qëndrueshmëria e borxhit do parë jo vetëm në këndvështrimin e menaxhimit të detyrimeve, por edhe në menaxhimin e aseteve në mënyrë që të ketë një harmonizim ndërmjet jetëgjatësisë së aseteve dhe detyrimeve.   </w:t>
      </w:r>
    </w:p>
    <w:p w:rsidR="008E721E" w:rsidRPr="00FF4234" w:rsidRDefault="008E721E" w:rsidP="008E721E">
      <w:pPr>
        <w:pStyle w:val="Paragrafi"/>
        <w:rPr>
          <w:lang w:val="sq-AL"/>
        </w:rPr>
      </w:pPr>
      <w:r w:rsidRPr="00FF4234">
        <w:rPr>
          <w:lang w:val="sq-AL"/>
        </w:rPr>
        <w:t>Është shumë e rëndësishme që nga ana e Qeverisë të ndërmerren reforma me qëllim rritjen e aseteve dhe konsolidimin e treguesve makroekonomik me qëllim uljen e ndjeshmërisë së tyre ndaj risqeve. Në këtë kontekst, Strategjia e Menaxhimit të Borxhit sugjeron marrjen e masave të mëposhtme:</w:t>
      </w:r>
    </w:p>
    <w:p w:rsidR="008E721E" w:rsidRPr="00FF4234" w:rsidRDefault="008E721E" w:rsidP="008E721E">
      <w:pPr>
        <w:pStyle w:val="Paragrafi"/>
        <w:rPr>
          <w:b/>
          <w:lang w:val="sq-AL"/>
        </w:rPr>
      </w:pPr>
      <w:r w:rsidRPr="00FF4234">
        <w:rPr>
          <w:b/>
          <w:lang w:val="sq-AL"/>
        </w:rPr>
        <w:t xml:space="preserve">Në kuadër të rritjes së të ardhurave </w:t>
      </w:r>
    </w:p>
    <w:p w:rsidR="008E721E" w:rsidRPr="00FF4234" w:rsidRDefault="008E721E" w:rsidP="008E721E">
      <w:pPr>
        <w:pStyle w:val="Paragrafi"/>
        <w:rPr>
          <w:lang w:val="sq-AL"/>
        </w:rPr>
      </w:pPr>
      <w:r w:rsidRPr="00FF4234">
        <w:rPr>
          <w:lang w:val="sq-AL"/>
        </w:rPr>
        <w:t>- Konsolidimi makro-fiskal;</w:t>
      </w:r>
    </w:p>
    <w:p w:rsidR="008E721E" w:rsidRPr="00FF4234" w:rsidRDefault="008E721E" w:rsidP="008E721E">
      <w:pPr>
        <w:pStyle w:val="Paragrafi"/>
        <w:rPr>
          <w:lang w:val="sq-AL"/>
        </w:rPr>
      </w:pPr>
      <w:r w:rsidRPr="00FF4234">
        <w:rPr>
          <w:lang w:val="sq-AL"/>
        </w:rPr>
        <w:t>- Reforma në kuadër të luftës kundër informalitetit;</w:t>
      </w:r>
    </w:p>
    <w:p w:rsidR="008E721E" w:rsidRPr="00FF4234" w:rsidRDefault="008E721E" w:rsidP="008E721E">
      <w:pPr>
        <w:pStyle w:val="Paragrafi"/>
        <w:rPr>
          <w:lang w:val="sq-AL"/>
        </w:rPr>
      </w:pPr>
      <w:r w:rsidRPr="00FF4234">
        <w:rPr>
          <w:lang w:val="sq-AL"/>
        </w:rPr>
        <w:t>- Reforma e pensioneve;</w:t>
      </w:r>
    </w:p>
    <w:p w:rsidR="008E721E" w:rsidRPr="00FF4234" w:rsidRDefault="008E721E" w:rsidP="008E721E">
      <w:pPr>
        <w:pStyle w:val="Paragrafi"/>
        <w:rPr>
          <w:lang w:val="sq-AL"/>
        </w:rPr>
      </w:pPr>
      <w:r w:rsidRPr="00FF4234">
        <w:rPr>
          <w:lang w:val="sq-AL"/>
        </w:rPr>
        <w:t>- Reforma në fushën e drejtësisë dhe në kuadër të luftës kundër korrupsionit.</w:t>
      </w:r>
    </w:p>
    <w:p w:rsidR="008E721E" w:rsidRDefault="008E721E" w:rsidP="008E721E">
      <w:pPr>
        <w:pStyle w:val="Paragrafi"/>
        <w:rPr>
          <w:b/>
          <w:lang w:val="sq-AL"/>
        </w:rPr>
      </w:pPr>
    </w:p>
    <w:p w:rsidR="008E721E" w:rsidRDefault="008E721E" w:rsidP="008E721E">
      <w:pPr>
        <w:pStyle w:val="Paragrafi"/>
        <w:rPr>
          <w:b/>
          <w:lang w:val="sq-AL"/>
        </w:rPr>
      </w:pPr>
    </w:p>
    <w:p w:rsidR="008E721E" w:rsidRDefault="008E721E" w:rsidP="008E721E">
      <w:pPr>
        <w:pStyle w:val="Paragrafi"/>
        <w:rPr>
          <w:b/>
          <w:lang w:val="sq-AL"/>
        </w:rPr>
      </w:pPr>
    </w:p>
    <w:p w:rsidR="008E721E" w:rsidRDefault="008E721E" w:rsidP="008E721E">
      <w:pPr>
        <w:pStyle w:val="Paragrafi"/>
        <w:rPr>
          <w:b/>
          <w:lang w:val="sq-AL"/>
        </w:rPr>
      </w:pPr>
    </w:p>
    <w:p w:rsidR="008E721E" w:rsidRDefault="008E721E" w:rsidP="008E721E">
      <w:pPr>
        <w:pStyle w:val="Paragrafi"/>
        <w:rPr>
          <w:b/>
          <w:lang w:val="sq-AL"/>
        </w:rPr>
      </w:pPr>
    </w:p>
    <w:p w:rsidR="008E721E" w:rsidRDefault="008E721E" w:rsidP="008E721E">
      <w:pPr>
        <w:pStyle w:val="Paragrafi"/>
        <w:rPr>
          <w:b/>
          <w:lang w:val="sq-AL"/>
        </w:rPr>
      </w:pPr>
      <w:r w:rsidRPr="00FF4234">
        <w:rPr>
          <w:b/>
          <w:lang w:val="sq-AL"/>
        </w:rPr>
        <w:t xml:space="preserve">Në kuadër të përmirësimit të treguesve makroekonomik dhe ndjeshmërisë nga jashtë </w:t>
      </w:r>
    </w:p>
    <w:p w:rsidR="008E721E" w:rsidRPr="00FF4234" w:rsidRDefault="008E721E" w:rsidP="008E721E">
      <w:pPr>
        <w:pStyle w:val="Paragrafi"/>
        <w:jc w:val="left"/>
        <w:rPr>
          <w:lang w:val="sq-AL"/>
        </w:rPr>
      </w:pPr>
      <w:r w:rsidRPr="00FF4234">
        <w:rPr>
          <w:lang w:val="sq-AL"/>
        </w:rPr>
        <w:t>- Rritja e rezervës valutore;</w:t>
      </w:r>
    </w:p>
    <w:p w:rsidR="008E721E" w:rsidRPr="00FF4234" w:rsidRDefault="008E721E" w:rsidP="008E721E">
      <w:pPr>
        <w:pStyle w:val="Paragrafi"/>
        <w:jc w:val="left"/>
        <w:rPr>
          <w:lang w:val="sq-AL"/>
        </w:rPr>
      </w:pPr>
      <w:r w:rsidRPr="00FF4234">
        <w:rPr>
          <w:lang w:val="sq-AL"/>
        </w:rPr>
        <w:t>- Rritja e eksporteve dhe përmirësimi i bilancit tregtar nëpërmjet politikave të stimulimit të sektorëve që kanë avantazhe konkurruese dhe krahasuese.</w:t>
      </w:r>
    </w:p>
    <w:p w:rsidR="008E721E" w:rsidRPr="00FF4234" w:rsidRDefault="008E721E" w:rsidP="008E721E">
      <w:pPr>
        <w:pStyle w:val="Paragrafi"/>
        <w:jc w:val="left"/>
        <w:rPr>
          <w:b/>
          <w:u w:val="single"/>
          <w:lang w:val="sq-AL"/>
        </w:rPr>
      </w:pPr>
      <w:r w:rsidRPr="00FF4234">
        <w:rPr>
          <w:b/>
          <w:u w:val="single"/>
          <w:lang w:val="sq-AL"/>
        </w:rPr>
        <w:t>Treguesit e qëndrueshmërisë së borxhit</w:t>
      </w:r>
    </w:p>
    <w:p w:rsidR="008E721E" w:rsidRPr="00FF4234" w:rsidRDefault="008E721E" w:rsidP="008E721E">
      <w:pPr>
        <w:pStyle w:val="Paragrafi"/>
        <w:jc w:val="left"/>
        <w:rPr>
          <w:lang w:val="sq-AL"/>
        </w:rPr>
      </w:pPr>
      <w:r w:rsidRPr="00FF4234">
        <w:rPr>
          <w:lang w:val="sq-AL"/>
        </w:rPr>
        <w:t>- Ndër treguesit kryesorë të qëndrueshmërisë së borxhit është treguesi i raportit të borxhit në raport me të ardhurat</w:t>
      </w:r>
      <w:r w:rsidRPr="003B63E5">
        <w:rPr>
          <w:vertAlign w:val="superscript"/>
          <w:lang w:val="sq-AL"/>
        </w:rPr>
        <w:footnoteReference w:id="11"/>
      </w:r>
      <w:r>
        <w:rPr>
          <w:lang w:val="sq-AL"/>
        </w:rPr>
        <w:t>, i cili shpreh aftësinë ri</w:t>
      </w:r>
      <w:r w:rsidRPr="00FF4234">
        <w:rPr>
          <w:lang w:val="sq-AL"/>
        </w:rPr>
        <w:t xml:space="preserve">paguese të </w:t>
      </w:r>
      <w:r>
        <w:rPr>
          <w:lang w:val="sq-AL"/>
        </w:rPr>
        <w:t>q</w:t>
      </w:r>
      <w:r w:rsidRPr="00FF4234">
        <w:rPr>
          <w:lang w:val="sq-AL"/>
        </w:rPr>
        <w:t>everisë.</w:t>
      </w:r>
      <w:r>
        <w:rPr>
          <w:lang w:val="sq-AL"/>
        </w:rPr>
        <w:t xml:space="preserve"> </w:t>
      </w:r>
    </w:p>
    <w:p w:rsidR="008E721E" w:rsidRPr="00FF4234" w:rsidRDefault="008E721E" w:rsidP="008E721E">
      <w:pPr>
        <w:pStyle w:val="Paragrafi"/>
        <w:rPr>
          <w:lang w:val="sq-AL"/>
        </w:rPr>
      </w:pPr>
      <w:r w:rsidRPr="00FF4234">
        <w:rPr>
          <w:noProof/>
        </w:rPr>
        <w:drawing>
          <wp:inline distT="0" distB="0" distL="0" distR="0" wp14:anchorId="4516066C" wp14:editId="790145AE">
            <wp:extent cx="2655736" cy="19957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srcRect/>
                    <a:stretch>
                      <a:fillRect/>
                    </a:stretch>
                  </pic:blipFill>
                  <pic:spPr bwMode="auto">
                    <a:xfrm>
                      <a:off x="0" y="0"/>
                      <a:ext cx="2655772" cy="1995805"/>
                    </a:xfrm>
                    <a:prstGeom prst="rect">
                      <a:avLst/>
                    </a:prstGeom>
                    <a:noFill/>
                    <a:ln w="9525">
                      <a:noFill/>
                      <a:miter lim="800000"/>
                      <a:headEnd/>
                      <a:tailEnd/>
                    </a:ln>
                  </pic:spPr>
                </pic:pic>
              </a:graphicData>
            </a:graphic>
          </wp:inline>
        </w:drawing>
      </w:r>
    </w:p>
    <w:p w:rsidR="008E721E" w:rsidRPr="00FF4234" w:rsidRDefault="008E721E" w:rsidP="008E721E">
      <w:pPr>
        <w:pStyle w:val="Paragrafi"/>
        <w:jc w:val="left"/>
        <w:rPr>
          <w:lang w:val="sq-AL"/>
        </w:rPr>
      </w:pPr>
      <w:r w:rsidRPr="00FF4234">
        <w:rPr>
          <w:lang w:val="sq-AL"/>
        </w:rPr>
        <w:t>Brenda të njëjtit kontekst është edhe treguesi i shërbimit të borxhit në raport me të ardhurat.</w:t>
      </w:r>
    </w:p>
    <w:p w:rsidR="008E721E" w:rsidRPr="00FF4234" w:rsidRDefault="008E721E" w:rsidP="008E721E">
      <w:pPr>
        <w:pStyle w:val="Paragrafi"/>
        <w:rPr>
          <w:lang w:val="sq-AL"/>
        </w:rPr>
      </w:pPr>
      <w:r w:rsidRPr="00FF4234">
        <w:rPr>
          <w:noProof/>
        </w:rPr>
        <w:lastRenderedPageBreak/>
        <w:drawing>
          <wp:inline distT="0" distB="0" distL="0" distR="0" wp14:anchorId="40DB2C5B" wp14:editId="33417A8C">
            <wp:extent cx="2655736" cy="251261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srcRect/>
                    <a:stretch>
                      <a:fillRect/>
                    </a:stretch>
                  </pic:blipFill>
                  <pic:spPr bwMode="auto">
                    <a:xfrm>
                      <a:off x="0" y="0"/>
                      <a:ext cx="2655736" cy="2512612"/>
                    </a:xfrm>
                    <a:prstGeom prst="rect">
                      <a:avLst/>
                    </a:prstGeom>
                    <a:noFill/>
                    <a:ln w="9525">
                      <a:noFill/>
                      <a:miter lim="800000"/>
                      <a:headEnd/>
                      <a:tailEnd/>
                    </a:ln>
                  </pic:spPr>
                </pic:pic>
              </a:graphicData>
            </a:graphic>
          </wp:inline>
        </w:drawing>
      </w:r>
    </w:p>
    <w:p w:rsidR="008E721E" w:rsidRDefault="008E721E" w:rsidP="008E721E">
      <w:pPr>
        <w:pStyle w:val="Paragrafi"/>
        <w:ind w:firstLine="0"/>
        <w:rPr>
          <w:lang w:val="sq-AL"/>
        </w:rPr>
      </w:pPr>
    </w:p>
    <w:p w:rsidR="008E721E" w:rsidRDefault="008E721E" w:rsidP="008E721E">
      <w:pPr>
        <w:pStyle w:val="Paragrafi"/>
        <w:ind w:firstLine="0"/>
        <w:rPr>
          <w:lang w:val="sq-AL"/>
        </w:rPr>
      </w:pPr>
    </w:p>
    <w:p w:rsidR="008E721E" w:rsidRDefault="008E721E" w:rsidP="008E721E">
      <w:pPr>
        <w:pStyle w:val="Paragrafi"/>
        <w:ind w:firstLine="0"/>
        <w:rPr>
          <w:lang w:val="sq-AL"/>
        </w:rPr>
      </w:pPr>
    </w:p>
    <w:p w:rsidR="008E721E" w:rsidRDefault="008E721E" w:rsidP="008E721E">
      <w:pPr>
        <w:pStyle w:val="Paragrafi"/>
        <w:ind w:firstLine="0"/>
        <w:rPr>
          <w:lang w:val="sq-AL"/>
        </w:rPr>
      </w:pPr>
    </w:p>
    <w:p w:rsidR="008E721E" w:rsidRDefault="008E721E" w:rsidP="008E721E">
      <w:pPr>
        <w:pStyle w:val="Paragrafi"/>
        <w:rPr>
          <w:lang w:val="sq-AL"/>
        </w:rPr>
      </w:pPr>
    </w:p>
    <w:p w:rsidR="008E721E" w:rsidRDefault="008E721E" w:rsidP="008E721E">
      <w:pPr>
        <w:pStyle w:val="Paragrafi"/>
        <w:rPr>
          <w:lang w:val="sq-AL"/>
        </w:rPr>
      </w:pPr>
    </w:p>
    <w:p w:rsidR="008E721E" w:rsidRPr="00FF4234" w:rsidRDefault="008E721E" w:rsidP="008E721E">
      <w:pPr>
        <w:pStyle w:val="Paragrafi"/>
        <w:rPr>
          <w:lang w:val="sq-AL"/>
        </w:rPr>
      </w:pPr>
      <w:r>
        <w:rPr>
          <w:lang w:val="sq-AL"/>
        </w:rPr>
        <w:t>B</w:t>
      </w:r>
      <w:r w:rsidRPr="00FF4234">
        <w:rPr>
          <w:lang w:val="sq-AL"/>
        </w:rPr>
        <w:t>orxhi i jashtëm në raport me eksportet dhe rezervat valutore</w:t>
      </w:r>
    </w:p>
    <w:p w:rsidR="008E721E" w:rsidRPr="00FF4234" w:rsidRDefault="008E721E" w:rsidP="008E721E">
      <w:pPr>
        <w:pStyle w:val="Paragrafi"/>
        <w:rPr>
          <w:lang w:val="sq-AL"/>
        </w:rPr>
      </w:pPr>
      <w:r w:rsidRPr="00FF4234">
        <w:rPr>
          <w:noProof/>
        </w:rPr>
        <w:drawing>
          <wp:inline distT="0" distB="0" distL="0" distR="0" wp14:anchorId="72071E61" wp14:editId="1625610F">
            <wp:extent cx="2767054" cy="17969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srcRect/>
                    <a:stretch>
                      <a:fillRect/>
                    </a:stretch>
                  </pic:blipFill>
                  <pic:spPr bwMode="auto">
                    <a:xfrm>
                      <a:off x="0" y="0"/>
                      <a:ext cx="2767054" cy="1796995"/>
                    </a:xfrm>
                    <a:prstGeom prst="rect">
                      <a:avLst/>
                    </a:prstGeom>
                    <a:noFill/>
                    <a:ln w="9525">
                      <a:noFill/>
                      <a:miter lim="800000"/>
                      <a:headEnd/>
                      <a:tailEnd/>
                    </a:ln>
                  </pic:spPr>
                </pic:pic>
              </a:graphicData>
            </a:graphic>
          </wp:inline>
        </w:drawing>
      </w:r>
    </w:p>
    <w:p w:rsidR="008E721E" w:rsidRDefault="008E721E" w:rsidP="008E721E">
      <w:pPr>
        <w:pStyle w:val="Paragrafi"/>
        <w:rPr>
          <w:lang w:val="sq-AL"/>
        </w:rPr>
      </w:pPr>
      <w:r w:rsidRPr="00FF4234">
        <w:rPr>
          <w:noProof/>
        </w:rPr>
        <w:drawing>
          <wp:inline distT="0" distB="0" distL="0" distR="0" wp14:anchorId="33092CA1" wp14:editId="0201EE77">
            <wp:extent cx="2271656" cy="213890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2274073" cy="2141177"/>
                    </a:xfrm>
                    <a:prstGeom prst="rect">
                      <a:avLst/>
                    </a:prstGeom>
                    <a:noFill/>
                    <a:ln w="9525">
                      <a:noFill/>
                      <a:miter lim="800000"/>
                      <a:headEnd/>
                      <a:tailEnd/>
                    </a:ln>
                  </pic:spPr>
                </pic:pic>
              </a:graphicData>
            </a:graphic>
          </wp:inline>
        </w:drawing>
      </w:r>
    </w:p>
    <w:p w:rsidR="008E721E" w:rsidRDefault="008E721E" w:rsidP="008E721E">
      <w:pPr>
        <w:pStyle w:val="Paragrafi"/>
        <w:rPr>
          <w:b/>
          <w:lang w:val="sq-AL"/>
        </w:rPr>
        <w:sectPr w:rsidR="008E721E" w:rsidSect="00913CB4">
          <w:type w:val="continuous"/>
          <w:pgSz w:w="11907" w:h="16840" w:code="9"/>
          <w:pgMar w:top="720" w:right="1134" w:bottom="720" w:left="1134" w:header="851" w:footer="851" w:gutter="0"/>
          <w:pgNumType w:start="1601"/>
          <w:cols w:space="454"/>
          <w:docGrid w:linePitch="360"/>
        </w:sectPr>
      </w:pPr>
    </w:p>
    <w:p w:rsidR="008E721E" w:rsidRPr="00FF4234" w:rsidRDefault="008E721E" w:rsidP="008E721E">
      <w:pPr>
        <w:pStyle w:val="Paragrafi"/>
        <w:rPr>
          <w:b/>
          <w:lang w:val="sq-AL"/>
        </w:rPr>
      </w:pPr>
      <w:r w:rsidRPr="00FF4234">
        <w:rPr>
          <w:b/>
          <w:lang w:val="sq-AL"/>
        </w:rPr>
        <w:lastRenderedPageBreak/>
        <w:t xml:space="preserve">4.5.4 Parashikimi i treguesve të riskut </w:t>
      </w:r>
    </w:p>
    <w:p w:rsidR="008E721E" w:rsidRPr="00FF4234" w:rsidRDefault="008E721E" w:rsidP="008E721E">
      <w:pPr>
        <w:pStyle w:val="Paragrafi"/>
        <w:rPr>
          <w:lang w:val="sq-AL"/>
        </w:rPr>
      </w:pPr>
      <w:r w:rsidRPr="00FF4234">
        <w:rPr>
          <w:lang w:val="sq-AL"/>
        </w:rPr>
        <w:t>Implementimi i strategjisë bazë në përputhje me supozimet e bëra në skenarin bazë, në fund të vitit 2017 do të rezultonte me treguesit e mëposhtëm të riskut:</w:t>
      </w:r>
    </w:p>
    <w:p w:rsidR="008E721E" w:rsidRPr="00FF4234" w:rsidRDefault="008E721E" w:rsidP="008E721E">
      <w:pPr>
        <w:pStyle w:val="Paragrafi"/>
        <w:rPr>
          <w:lang w:val="sq-AL"/>
        </w:rPr>
      </w:pPr>
    </w:p>
    <w:tbl>
      <w:tblPr>
        <w:tblW w:w="9140" w:type="dxa"/>
        <w:tblInd w:w="98" w:type="dxa"/>
        <w:tblLook w:val="0000" w:firstRow="0" w:lastRow="0" w:firstColumn="0" w:lastColumn="0" w:noHBand="0" w:noVBand="0"/>
      </w:tblPr>
      <w:tblGrid>
        <w:gridCol w:w="2079"/>
        <w:gridCol w:w="2460"/>
        <w:gridCol w:w="1060"/>
        <w:gridCol w:w="1060"/>
        <w:gridCol w:w="1061"/>
        <w:gridCol w:w="1420"/>
      </w:tblGrid>
      <w:tr w:rsidR="008E721E" w:rsidRPr="00FF4234" w:rsidTr="00186FF8">
        <w:trPr>
          <w:trHeight w:val="270"/>
        </w:trPr>
        <w:tc>
          <w:tcPr>
            <w:tcW w:w="2079"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8E721E" w:rsidRPr="00AC6C00" w:rsidRDefault="008E721E" w:rsidP="00186FF8">
            <w:pPr>
              <w:pStyle w:val="Paragrafi"/>
              <w:ind w:firstLine="0"/>
              <w:rPr>
                <w:b/>
                <w:sz w:val="20"/>
                <w:szCs w:val="20"/>
                <w:lang w:val="sq-AL"/>
              </w:rPr>
            </w:pPr>
            <w:r w:rsidRPr="00AC6C00">
              <w:rPr>
                <w:b/>
                <w:sz w:val="20"/>
                <w:szCs w:val="20"/>
                <w:lang w:val="sq-AL"/>
              </w:rPr>
              <w:t>Objektivat e riskut</w:t>
            </w:r>
          </w:p>
        </w:tc>
        <w:tc>
          <w:tcPr>
            <w:tcW w:w="24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8E721E" w:rsidRPr="00AC6C00" w:rsidRDefault="008E721E" w:rsidP="00186FF8">
            <w:pPr>
              <w:pStyle w:val="Paragrafi"/>
              <w:ind w:firstLine="0"/>
              <w:rPr>
                <w:b/>
                <w:sz w:val="20"/>
                <w:szCs w:val="20"/>
                <w:lang w:val="sq-AL"/>
              </w:rPr>
            </w:pPr>
            <w:r w:rsidRPr="00AC6C00">
              <w:rPr>
                <w:b/>
                <w:sz w:val="20"/>
                <w:szCs w:val="20"/>
                <w:lang w:val="sq-AL"/>
              </w:rPr>
              <w:t>Treguesi</w:t>
            </w:r>
          </w:p>
        </w:tc>
        <w:tc>
          <w:tcPr>
            <w:tcW w:w="31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E721E" w:rsidRPr="00AC6C00" w:rsidRDefault="008E721E" w:rsidP="00186FF8">
            <w:pPr>
              <w:pStyle w:val="Paragrafi"/>
              <w:ind w:firstLine="0"/>
              <w:rPr>
                <w:b/>
                <w:sz w:val="20"/>
                <w:szCs w:val="20"/>
                <w:lang w:val="sq-AL"/>
              </w:rPr>
            </w:pPr>
            <w:r w:rsidRPr="00AC6C00">
              <w:rPr>
                <w:b/>
                <w:sz w:val="20"/>
                <w:szCs w:val="20"/>
                <w:lang w:val="sq-AL"/>
              </w:rPr>
              <w:t>Vlera</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8E721E" w:rsidRPr="00AC6C00" w:rsidRDefault="008E721E" w:rsidP="00186FF8">
            <w:pPr>
              <w:pStyle w:val="Paragrafi"/>
              <w:ind w:firstLine="0"/>
              <w:rPr>
                <w:b/>
                <w:sz w:val="20"/>
                <w:szCs w:val="20"/>
                <w:lang w:val="sq-AL"/>
              </w:rPr>
            </w:pPr>
            <w:r w:rsidRPr="00AC6C00">
              <w:rPr>
                <w:b/>
                <w:sz w:val="20"/>
                <w:szCs w:val="20"/>
                <w:lang w:val="sq-AL"/>
              </w:rPr>
              <w:t>Rëndësia e objektivit</w:t>
            </w:r>
          </w:p>
        </w:tc>
      </w:tr>
      <w:tr w:rsidR="008E721E" w:rsidRPr="00FF4234" w:rsidTr="00186FF8">
        <w:trPr>
          <w:trHeight w:val="270"/>
        </w:trPr>
        <w:tc>
          <w:tcPr>
            <w:tcW w:w="2079" w:type="dxa"/>
            <w:vMerge/>
            <w:tcBorders>
              <w:top w:val="single" w:sz="8" w:space="0" w:color="auto"/>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vMerge/>
            <w:tcBorders>
              <w:top w:val="single" w:sz="8" w:space="0" w:color="auto"/>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1060" w:type="dxa"/>
            <w:tcBorders>
              <w:top w:val="single" w:sz="4" w:space="0" w:color="auto"/>
              <w:left w:val="nil"/>
              <w:bottom w:val="single" w:sz="8" w:space="0" w:color="auto"/>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2014</w:t>
            </w:r>
          </w:p>
        </w:tc>
        <w:tc>
          <w:tcPr>
            <w:tcW w:w="1060" w:type="dxa"/>
            <w:tcBorders>
              <w:top w:val="single" w:sz="4" w:space="0" w:color="auto"/>
              <w:left w:val="nil"/>
              <w:bottom w:val="single" w:sz="8" w:space="0" w:color="auto"/>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2015</w:t>
            </w:r>
          </w:p>
        </w:tc>
        <w:tc>
          <w:tcPr>
            <w:tcW w:w="1061" w:type="dxa"/>
            <w:tcBorders>
              <w:top w:val="single" w:sz="4" w:space="0" w:color="auto"/>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2017</w:t>
            </w:r>
          </w:p>
        </w:tc>
        <w:tc>
          <w:tcPr>
            <w:tcW w:w="1420" w:type="dxa"/>
            <w:vMerge/>
            <w:tcBorders>
              <w:top w:val="single" w:sz="4" w:space="0" w:color="auto"/>
              <w:left w:val="nil"/>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val="restart"/>
            <w:tcBorders>
              <w:top w:val="nil"/>
              <w:left w:val="single" w:sz="8" w:space="0" w:color="auto"/>
              <w:bottom w:val="single" w:sz="8" w:space="0" w:color="000000"/>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 xml:space="preserve">Risku i rifinancimit </w:t>
            </w:r>
          </w:p>
        </w:tc>
        <w:tc>
          <w:tcPr>
            <w:tcW w:w="2460" w:type="dxa"/>
            <w:tcBorders>
              <w:top w:val="nil"/>
              <w:left w:val="nil"/>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DMM (në vite)</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1" w:type="dxa"/>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nil"/>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E lartë</w:t>
            </w: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Borxhi</w:t>
            </w:r>
            <w:r>
              <w:rPr>
                <w:sz w:val="20"/>
                <w:szCs w:val="20"/>
                <w:lang w:val="sq-AL"/>
              </w:rPr>
              <w:t xml:space="preserve"> i</w:t>
            </w:r>
            <w:r w:rsidRPr="00FF4234">
              <w:rPr>
                <w:sz w:val="20"/>
                <w:szCs w:val="20"/>
                <w:lang w:val="sq-AL"/>
              </w:rPr>
              <w:t xml:space="preserve"> </w:t>
            </w:r>
            <w:r>
              <w:rPr>
                <w:sz w:val="20"/>
                <w:szCs w:val="20"/>
                <w:lang w:val="sq-AL"/>
              </w:rPr>
              <w:t>b</w:t>
            </w:r>
            <w:r w:rsidRPr="00FF4234">
              <w:rPr>
                <w:sz w:val="20"/>
                <w:szCs w:val="20"/>
                <w:lang w:val="sq-AL"/>
              </w:rPr>
              <w:t>rendshëm</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1.80</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1.78</w:t>
            </w:r>
          </w:p>
        </w:tc>
        <w:tc>
          <w:tcPr>
            <w:tcW w:w="1061" w:type="dxa"/>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1.76</w:t>
            </w:r>
          </w:p>
        </w:tc>
        <w:tc>
          <w:tcPr>
            <w:tcW w:w="1420" w:type="dxa"/>
            <w:vMerge/>
            <w:tcBorders>
              <w:top w:val="nil"/>
              <w:left w:val="single" w:sz="8" w:space="0" w:color="auto"/>
              <w:bottom w:val="nil"/>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i j</w:t>
            </w:r>
            <w:r w:rsidRPr="00FF4234">
              <w:rPr>
                <w:sz w:val="20"/>
                <w:szCs w:val="20"/>
                <w:lang w:val="sq-AL"/>
              </w:rPr>
              <w:t>ashtëm</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7.52</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7.91</w:t>
            </w:r>
          </w:p>
        </w:tc>
        <w:tc>
          <w:tcPr>
            <w:tcW w:w="1061" w:type="dxa"/>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7.38</w:t>
            </w:r>
          </w:p>
        </w:tc>
        <w:tc>
          <w:tcPr>
            <w:tcW w:w="1420" w:type="dxa"/>
            <w:vMerge/>
            <w:tcBorders>
              <w:top w:val="nil"/>
              <w:left w:val="single" w:sz="8" w:space="0" w:color="auto"/>
              <w:bottom w:val="nil"/>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t</w:t>
            </w:r>
            <w:r w:rsidRPr="00FF4234">
              <w:rPr>
                <w:sz w:val="20"/>
                <w:szCs w:val="20"/>
                <w:lang w:val="sq-AL"/>
              </w:rPr>
              <w:t>otal</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4.11</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4.5</w:t>
            </w:r>
          </w:p>
        </w:tc>
        <w:tc>
          <w:tcPr>
            <w:tcW w:w="1061" w:type="dxa"/>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4.28</w:t>
            </w:r>
          </w:p>
        </w:tc>
        <w:tc>
          <w:tcPr>
            <w:tcW w:w="1420" w:type="dxa"/>
            <w:vMerge/>
            <w:tcBorders>
              <w:top w:val="nil"/>
              <w:left w:val="single" w:sz="8" w:space="0" w:color="auto"/>
              <w:bottom w:val="nil"/>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60"/>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1" w:type="dxa"/>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42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Maturime brenda 1 viti</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1" w:type="dxa"/>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single" w:sz="8" w:space="0" w:color="000000"/>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E lartë</w:t>
            </w: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i b</w:t>
            </w:r>
            <w:r w:rsidRPr="00FF4234">
              <w:rPr>
                <w:sz w:val="20"/>
                <w:szCs w:val="20"/>
                <w:lang w:val="sq-AL"/>
              </w:rPr>
              <w:t>rendshëm</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59.18%</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59.40%</w:t>
            </w:r>
          </w:p>
        </w:tc>
        <w:tc>
          <w:tcPr>
            <w:tcW w:w="1061" w:type="dxa"/>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56.40%</w:t>
            </w:r>
          </w:p>
        </w:tc>
        <w:tc>
          <w:tcPr>
            <w:tcW w:w="1420"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i j</w:t>
            </w:r>
            <w:r w:rsidRPr="00FF4234">
              <w:rPr>
                <w:sz w:val="20"/>
                <w:szCs w:val="20"/>
                <w:lang w:val="sq-AL"/>
              </w:rPr>
              <w:t>ashtëm</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16.92%</w:t>
            </w:r>
          </w:p>
        </w:tc>
        <w:tc>
          <w:tcPr>
            <w:tcW w:w="1060" w:type="dxa"/>
            <w:tcBorders>
              <w:top w:val="nil"/>
              <w:left w:val="single" w:sz="8" w:space="0" w:color="auto"/>
              <w:bottom w:val="nil"/>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5.45%</w:t>
            </w:r>
          </w:p>
        </w:tc>
        <w:tc>
          <w:tcPr>
            <w:tcW w:w="1061" w:type="dxa"/>
            <w:tcBorders>
              <w:top w:val="nil"/>
              <w:left w:val="single" w:sz="8" w:space="0" w:color="auto"/>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5.98%</w:t>
            </w:r>
          </w:p>
        </w:tc>
        <w:tc>
          <w:tcPr>
            <w:tcW w:w="1420"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70"/>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single" w:sz="8" w:space="0" w:color="auto"/>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t</w:t>
            </w:r>
            <w:r w:rsidRPr="00FF4234">
              <w:rPr>
                <w:sz w:val="20"/>
                <w:szCs w:val="20"/>
                <w:lang w:val="sq-AL"/>
              </w:rPr>
              <w:t>otal</w:t>
            </w:r>
          </w:p>
        </w:tc>
        <w:tc>
          <w:tcPr>
            <w:tcW w:w="1060" w:type="dxa"/>
            <w:tcBorders>
              <w:top w:val="nil"/>
              <w:left w:val="single" w:sz="8" w:space="0" w:color="auto"/>
              <w:bottom w:val="single" w:sz="8" w:space="0" w:color="auto"/>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41.74%</w:t>
            </w:r>
          </w:p>
        </w:tc>
        <w:tc>
          <w:tcPr>
            <w:tcW w:w="1060" w:type="dxa"/>
            <w:tcBorders>
              <w:top w:val="nil"/>
              <w:left w:val="single" w:sz="8" w:space="0" w:color="auto"/>
              <w:bottom w:val="single" w:sz="8" w:space="0" w:color="auto"/>
              <w:right w:val="nil"/>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35.36%</w:t>
            </w:r>
          </w:p>
        </w:tc>
        <w:tc>
          <w:tcPr>
            <w:tcW w:w="1061" w:type="dxa"/>
            <w:tcBorders>
              <w:top w:val="nil"/>
              <w:left w:val="single" w:sz="8" w:space="0" w:color="auto"/>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33.92%</w:t>
            </w:r>
          </w:p>
        </w:tc>
        <w:tc>
          <w:tcPr>
            <w:tcW w:w="1420"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val="restart"/>
            <w:tcBorders>
              <w:top w:val="nil"/>
              <w:left w:val="single" w:sz="8" w:space="0" w:color="auto"/>
              <w:bottom w:val="single" w:sz="8" w:space="0" w:color="000000"/>
              <w:right w:val="single" w:sz="8" w:space="0" w:color="auto"/>
            </w:tcBorders>
            <w:shd w:val="clear" w:color="auto" w:fill="auto"/>
            <w:vAlign w:val="center"/>
          </w:tcPr>
          <w:p w:rsidR="008E721E" w:rsidRPr="00FF4234" w:rsidRDefault="008E721E" w:rsidP="00186FF8">
            <w:pPr>
              <w:pStyle w:val="Paragrafi"/>
              <w:ind w:firstLine="0"/>
              <w:rPr>
                <w:sz w:val="20"/>
                <w:szCs w:val="20"/>
                <w:lang w:val="sq-AL"/>
              </w:rPr>
            </w:pPr>
            <w:r w:rsidRPr="00FF4234">
              <w:rPr>
                <w:sz w:val="20"/>
                <w:szCs w:val="20"/>
                <w:lang w:val="sq-AL"/>
              </w:rPr>
              <w:t xml:space="preserve">Risku i normave të interesit </w:t>
            </w: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KMR</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nil"/>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E lartë</w:t>
            </w: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i b</w:t>
            </w:r>
            <w:r w:rsidRPr="00FF4234">
              <w:rPr>
                <w:sz w:val="20"/>
                <w:szCs w:val="20"/>
                <w:lang w:val="sq-AL"/>
              </w:rPr>
              <w:t>rendshëm</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1.62</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1.63</w:t>
            </w:r>
          </w:p>
        </w:tc>
        <w:tc>
          <w:tcPr>
            <w:tcW w:w="1061" w:type="dxa"/>
            <w:tcBorders>
              <w:top w:val="nil"/>
              <w:left w:val="nil"/>
              <w:bottom w:val="nil"/>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 xml:space="preserve">1.68 </w:t>
            </w:r>
          </w:p>
        </w:tc>
        <w:tc>
          <w:tcPr>
            <w:tcW w:w="1420" w:type="dxa"/>
            <w:vMerge/>
            <w:tcBorders>
              <w:top w:val="nil"/>
              <w:left w:val="single" w:sz="8" w:space="0" w:color="auto"/>
              <w:bottom w:val="nil"/>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 xml:space="preserve">i </w:t>
            </w:r>
            <w:r w:rsidRPr="00FF4234">
              <w:rPr>
                <w:sz w:val="20"/>
                <w:szCs w:val="20"/>
                <w:lang w:val="sq-AL"/>
              </w:rPr>
              <w:t>jashtëm</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4.48</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4.61</w:t>
            </w:r>
          </w:p>
        </w:tc>
        <w:tc>
          <w:tcPr>
            <w:tcW w:w="1061" w:type="dxa"/>
            <w:tcBorders>
              <w:top w:val="nil"/>
              <w:left w:val="nil"/>
              <w:bottom w:val="nil"/>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 xml:space="preserve">3.47 </w:t>
            </w:r>
          </w:p>
        </w:tc>
        <w:tc>
          <w:tcPr>
            <w:tcW w:w="1420" w:type="dxa"/>
            <w:vMerge/>
            <w:tcBorders>
              <w:top w:val="nil"/>
              <w:left w:val="single" w:sz="8" w:space="0" w:color="auto"/>
              <w:bottom w:val="nil"/>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t</w:t>
            </w:r>
            <w:r w:rsidRPr="00FF4234">
              <w:rPr>
                <w:sz w:val="20"/>
                <w:szCs w:val="20"/>
                <w:lang w:val="sq-AL"/>
              </w:rPr>
              <w:t>otal</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2.80</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2.95</w:t>
            </w:r>
          </w:p>
        </w:tc>
        <w:tc>
          <w:tcPr>
            <w:tcW w:w="1061" w:type="dxa"/>
            <w:tcBorders>
              <w:top w:val="nil"/>
              <w:left w:val="nil"/>
              <w:bottom w:val="nil"/>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 xml:space="preserve">2.47 </w:t>
            </w:r>
          </w:p>
        </w:tc>
        <w:tc>
          <w:tcPr>
            <w:tcW w:w="1420" w:type="dxa"/>
            <w:vMerge/>
            <w:tcBorders>
              <w:top w:val="nil"/>
              <w:left w:val="single" w:sz="8" w:space="0" w:color="auto"/>
              <w:bottom w:val="nil"/>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120"/>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42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 xml:space="preserve">i </w:t>
            </w:r>
            <w:r w:rsidRPr="00FF4234">
              <w:rPr>
                <w:sz w:val="20"/>
                <w:szCs w:val="20"/>
                <w:lang w:val="sq-AL"/>
              </w:rPr>
              <w:t>rifiksuar në 1 vit</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nil"/>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E lartë</w:t>
            </w: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i b</w:t>
            </w:r>
            <w:r w:rsidRPr="00FF4234">
              <w:rPr>
                <w:sz w:val="20"/>
                <w:szCs w:val="20"/>
                <w:lang w:val="sq-AL"/>
              </w:rPr>
              <w:t>rendshëm</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72.11%</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70.81%</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65.30%</w:t>
            </w:r>
          </w:p>
        </w:tc>
        <w:tc>
          <w:tcPr>
            <w:tcW w:w="1420" w:type="dxa"/>
            <w:vMerge/>
            <w:tcBorders>
              <w:top w:val="nil"/>
              <w:left w:val="single" w:sz="8" w:space="0" w:color="auto"/>
              <w:bottom w:val="nil"/>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Borxhi</w:t>
            </w:r>
            <w:r>
              <w:rPr>
                <w:sz w:val="20"/>
                <w:szCs w:val="20"/>
                <w:lang w:val="sq-AL"/>
              </w:rPr>
              <w:t xml:space="preserve"> i</w:t>
            </w:r>
            <w:r w:rsidRPr="00FF4234">
              <w:rPr>
                <w:sz w:val="20"/>
                <w:szCs w:val="20"/>
                <w:lang w:val="sq-AL"/>
              </w:rPr>
              <w:t xml:space="preserve"> </w:t>
            </w:r>
            <w:r>
              <w:rPr>
                <w:sz w:val="20"/>
                <w:szCs w:val="20"/>
                <w:lang w:val="sq-AL"/>
              </w:rPr>
              <w:t>j</w:t>
            </w:r>
            <w:r w:rsidRPr="00FF4234">
              <w:rPr>
                <w:sz w:val="20"/>
                <w:szCs w:val="20"/>
                <w:lang w:val="sq-AL"/>
              </w:rPr>
              <w:t>ashtëm</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56.75%</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46.68%</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54.20%</w:t>
            </w:r>
          </w:p>
        </w:tc>
        <w:tc>
          <w:tcPr>
            <w:tcW w:w="1420" w:type="dxa"/>
            <w:vMerge/>
            <w:tcBorders>
              <w:top w:val="nil"/>
              <w:left w:val="single" w:sz="8" w:space="0" w:color="auto"/>
              <w:bottom w:val="nil"/>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t</w:t>
            </w:r>
            <w:r w:rsidRPr="00FF4234">
              <w:rPr>
                <w:sz w:val="20"/>
                <w:szCs w:val="20"/>
                <w:lang w:val="sq-AL"/>
              </w:rPr>
              <w:t>otal</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65.80%</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60.05%</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60.36%</w:t>
            </w:r>
          </w:p>
        </w:tc>
        <w:tc>
          <w:tcPr>
            <w:tcW w:w="1420" w:type="dxa"/>
            <w:vMerge/>
            <w:tcBorders>
              <w:top w:val="nil"/>
              <w:left w:val="single" w:sz="8" w:space="0" w:color="auto"/>
              <w:bottom w:val="nil"/>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120"/>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42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Instrumenta fiks/total</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single" w:sz="8" w:space="0" w:color="000000"/>
              <w:right w:val="single" w:sz="8" w:space="0" w:color="auto"/>
            </w:tcBorders>
            <w:shd w:val="clear" w:color="auto" w:fill="auto"/>
            <w:noWrap/>
            <w:vAlign w:val="center"/>
          </w:tcPr>
          <w:p w:rsidR="008E721E" w:rsidRPr="00FF4234" w:rsidRDefault="008E721E" w:rsidP="00186FF8">
            <w:pPr>
              <w:pStyle w:val="Paragrafi"/>
              <w:ind w:firstLine="0"/>
              <w:rPr>
                <w:sz w:val="20"/>
                <w:szCs w:val="20"/>
                <w:lang w:val="sq-AL"/>
              </w:rPr>
            </w:pPr>
            <w:r w:rsidRPr="00FF4234">
              <w:rPr>
                <w:sz w:val="20"/>
                <w:szCs w:val="20"/>
                <w:lang w:val="sq-AL"/>
              </w:rPr>
              <w:t>E lartë</w:t>
            </w: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i b</w:t>
            </w:r>
            <w:r w:rsidRPr="00FF4234">
              <w:rPr>
                <w:sz w:val="20"/>
                <w:szCs w:val="20"/>
                <w:lang w:val="sq-AL"/>
              </w:rPr>
              <w:t>rendshëm</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37.70%</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40.90%</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46.40%</w:t>
            </w:r>
          </w:p>
        </w:tc>
        <w:tc>
          <w:tcPr>
            <w:tcW w:w="1420"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55"/>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i j</w:t>
            </w:r>
            <w:r w:rsidRPr="00FF4234">
              <w:rPr>
                <w:sz w:val="20"/>
                <w:szCs w:val="20"/>
                <w:lang w:val="sq-AL"/>
              </w:rPr>
              <w:t>ashtëm</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56.77%</w:t>
            </w:r>
          </w:p>
        </w:tc>
        <w:tc>
          <w:tcPr>
            <w:tcW w:w="1060"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55.80%</w:t>
            </w:r>
          </w:p>
        </w:tc>
        <w:tc>
          <w:tcPr>
            <w:tcW w:w="1061" w:type="dxa"/>
            <w:tcBorders>
              <w:top w:val="nil"/>
              <w:left w:val="nil"/>
              <w:bottom w:val="nil"/>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48.80%</w:t>
            </w:r>
          </w:p>
        </w:tc>
        <w:tc>
          <w:tcPr>
            <w:tcW w:w="1420"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270"/>
        </w:trPr>
        <w:tc>
          <w:tcPr>
            <w:tcW w:w="2079"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c>
          <w:tcPr>
            <w:tcW w:w="2460" w:type="dxa"/>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 xml:space="preserve">Borxhi </w:t>
            </w:r>
            <w:r>
              <w:rPr>
                <w:sz w:val="20"/>
                <w:szCs w:val="20"/>
                <w:lang w:val="sq-AL"/>
              </w:rPr>
              <w:t>t</w:t>
            </w:r>
            <w:r w:rsidRPr="00FF4234">
              <w:rPr>
                <w:sz w:val="20"/>
                <w:szCs w:val="20"/>
                <w:lang w:val="sq-AL"/>
              </w:rPr>
              <w:t>otal</w:t>
            </w:r>
          </w:p>
        </w:tc>
        <w:tc>
          <w:tcPr>
            <w:tcW w:w="1060" w:type="dxa"/>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45.57%</w:t>
            </w:r>
          </w:p>
        </w:tc>
        <w:tc>
          <w:tcPr>
            <w:tcW w:w="1060" w:type="dxa"/>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47.55%</w:t>
            </w:r>
          </w:p>
        </w:tc>
        <w:tc>
          <w:tcPr>
            <w:tcW w:w="1061" w:type="dxa"/>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47.50%</w:t>
            </w:r>
          </w:p>
        </w:tc>
        <w:tc>
          <w:tcPr>
            <w:tcW w:w="1420" w:type="dxa"/>
            <w:vMerge/>
            <w:tcBorders>
              <w:top w:val="nil"/>
              <w:left w:val="single" w:sz="8" w:space="0" w:color="auto"/>
              <w:bottom w:val="single" w:sz="8" w:space="0" w:color="000000"/>
              <w:right w:val="single" w:sz="8" w:space="0" w:color="auto"/>
            </w:tcBorders>
            <w:vAlign w:val="center"/>
          </w:tcPr>
          <w:p w:rsidR="008E721E" w:rsidRPr="00FF4234" w:rsidRDefault="008E721E" w:rsidP="00186FF8">
            <w:pPr>
              <w:pStyle w:val="Paragrafi"/>
              <w:ind w:firstLine="0"/>
              <w:rPr>
                <w:sz w:val="20"/>
                <w:szCs w:val="20"/>
                <w:lang w:val="sq-AL"/>
              </w:rPr>
            </w:pPr>
          </w:p>
        </w:tc>
      </w:tr>
      <w:tr w:rsidR="008E721E" w:rsidRPr="00FF4234" w:rsidTr="00186FF8">
        <w:trPr>
          <w:trHeight w:val="585"/>
        </w:trPr>
        <w:tc>
          <w:tcPr>
            <w:tcW w:w="2079" w:type="dxa"/>
            <w:tcBorders>
              <w:top w:val="nil"/>
              <w:left w:val="single" w:sz="8" w:space="0" w:color="auto"/>
              <w:bottom w:val="single" w:sz="8" w:space="0" w:color="auto"/>
              <w:right w:val="single" w:sz="8" w:space="0" w:color="auto"/>
            </w:tcBorders>
            <w:shd w:val="clear" w:color="auto" w:fill="auto"/>
            <w:vAlign w:val="bottom"/>
          </w:tcPr>
          <w:p w:rsidR="008E721E" w:rsidRPr="00FF4234" w:rsidRDefault="008E721E" w:rsidP="00186FF8">
            <w:pPr>
              <w:pStyle w:val="Paragrafi"/>
              <w:ind w:firstLine="0"/>
              <w:rPr>
                <w:sz w:val="20"/>
                <w:szCs w:val="20"/>
                <w:lang w:val="sq-AL"/>
              </w:rPr>
            </w:pPr>
            <w:r w:rsidRPr="00FF4234">
              <w:rPr>
                <w:sz w:val="20"/>
                <w:szCs w:val="20"/>
                <w:lang w:val="sq-AL"/>
              </w:rPr>
              <w:t>Riksu i kursit të këmbimit</w:t>
            </w:r>
          </w:p>
        </w:tc>
        <w:tc>
          <w:tcPr>
            <w:tcW w:w="2460" w:type="dxa"/>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Borxhi në valut/</w:t>
            </w:r>
            <w:r>
              <w:rPr>
                <w:sz w:val="20"/>
                <w:szCs w:val="20"/>
                <w:lang w:val="sq-AL"/>
              </w:rPr>
              <w:t>t</w:t>
            </w:r>
            <w:r w:rsidRPr="00FF4234">
              <w:rPr>
                <w:sz w:val="20"/>
                <w:szCs w:val="20"/>
                <w:lang w:val="sq-AL"/>
              </w:rPr>
              <w:t>otalit</w:t>
            </w:r>
          </w:p>
        </w:tc>
        <w:tc>
          <w:tcPr>
            <w:tcW w:w="1060" w:type="dxa"/>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41.26%</w:t>
            </w:r>
          </w:p>
        </w:tc>
        <w:tc>
          <w:tcPr>
            <w:tcW w:w="1060" w:type="dxa"/>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44.55%</w:t>
            </w:r>
          </w:p>
        </w:tc>
        <w:tc>
          <w:tcPr>
            <w:tcW w:w="1061" w:type="dxa"/>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44.60%</w:t>
            </w:r>
          </w:p>
        </w:tc>
        <w:tc>
          <w:tcPr>
            <w:tcW w:w="1420" w:type="dxa"/>
            <w:tcBorders>
              <w:top w:val="nil"/>
              <w:left w:val="nil"/>
              <w:bottom w:val="single" w:sz="8" w:space="0" w:color="auto"/>
              <w:right w:val="single" w:sz="8" w:space="0" w:color="auto"/>
            </w:tcBorders>
            <w:shd w:val="clear" w:color="auto" w:fill="auto"/>
            <w:noWrap/>
            <w:vAlign w:val="bottom"/>
          </w:tcPr>
          <w:p w:rsidR="008E721E" w:rsidRPr="00FF4234" w:rsidRDefault="008E721E" w:rsidP="00186FF8">
            <w:pPr>
              <w:pStyle w:val="Paragrafi"/>
              <w:ind w:firstLine="0"/>
              <w:rPr>
                <w:sz w:val="20"/>
                <w:szCs w:val="20"/>
                <w:lang w:val="sq-AL"/>
              </w:rPr>
            </w:pPr>
            <w:r w:rsidRPr="00FF4234">
              <w:rPr>
                <w:sz w:val="20"/>
                <w:szCs w:val="20"/>
                <w:lang w:val="sq-AL"/>
              </w:rPr>
              <w:t>E lartë</w:t>
            </w:r>
          </w:p>
        </w:tc>
      </w:tr>
    </w:tbl>
    <w:p w:rsidR="008E721E" w:rsidRDefault="008E721E" w:rsidP="008E721E">
      <w:pPr>
        <w:pStyle w:val="Paragrafi"/>
        <w:rPr>
          <w:lang w:val="sq-AL"/>
        </w:rPr>
        <w:sectPr w:rsidR="008E721E" w:rsidSect="00913CB4">
          <w:type w:val="continuous"/>
          <w:pgSz w:w="11907" w:h="16840" w:code="9"/>
          <w:pgMar w:top="720" w:right="1134" w:bottom="720" w:left="1134" w:header="851" w:footer="851" w:gutter="0"/>
          <w:pgNumType w:start="1"/>
          <w:cols w:space="720"/>
          <w:docGrid w:linePitch="360"/>
        </w:sectPr>
      </w:pPr>
    </w:p>
    <w:p w:rsidR="008E721E" w:rsidRPr="00FF4234" w:rsidRDefault="008E721E" w:rsidP="008E721E">
      <w:pPr>
        <w:pStyle w:val="Paragrafi"/>
        <w:rPr>
          <w:lang w:val="sq-AL"/>
        </w:rPr>
      </w:pPr>
    </w:p>
    <w:p w:rsidR="008E721E" w:rsidRDefault="008E721E" w:rsidP="008E721E">
      <w:pPr>
        <w:pStyle w:val="Akti"/>
        <w:keepNext w:val="0"/>
        <w:rPr>
          <w:lang w:val="sq-AL"/>
        </w:rPr>
      </w:pPr>
    </w:p>
    <w:p w:rsidR="00FD57DC" w:rsidRDefault="00913CB4"/>
    <w:sectPr w:rsidR="00FD57DC" w:rsidSect="00913C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21E" w:rsidRDefault="008E721E" w:rsidP="008E721E">
      <w:pPr>
        <w:spacing w:after="0" w:line="240" w:lineRule="auto"/>
      </w:pPr>
      <w:r>
        <w:separator/>
      </w:r>
    </w:p>
  </w:endnote>
  <w:endnote w:type="continuationSeparator" w:id="0">
    <w:p w:rsidR="008E721E" w:rsidRDefault="008E721E" w:rsidP="008E7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29666"/>
      <w:docPartObj>
        <w:docPartGallery w:val="Page Numbers (Bottom of Page)"/>
        <w:docPartUnique/>
      </w:docPartObj>
    </w:sdtPr>
    <w:sdtEndPr>
      <w:rPr>
        <w:rFonts w:ascii="Garamond" w:hAnsi="Garamond"/>
        <w:noProof/>
        <w:sz w:val="24"/>
        <w:szCs w:val="24"/>
      </w:rPr>
    </w:sdtEndPr>
    <w:sdtContent>
      <w:p w:rsidR="008E721E" w:rsidRPr="00B4283E" w:rsidRDefault="008E721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1602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4729667"/>
      <w:docPartObj>
        <w:docPartGallery w:val="Page Numbers (Bottom of Page)"/>
        <w:docPartUnique/>
      </w:docPartObj>
    </w:sdtPr>
    <w:sdtEndPr>
      <w:rPr>
        <w:noProof/>
      </w:rPr>
    </w:sdtEndPr>
    <w:sdtContent>
      <w:p w:rsidR="008E721E" w:rsidRPr="005B4361" w:rsidRDefault="00913CB4" w:rsidP="00BB433C">
        <w:pPr>
          <w:pStyle w:val="Footer"/>
          <w:ind w:firstLine="0"/>
          <w:jc w:val="right"/>
          <w:rPr>
            <w:rFonts w:ascii="Garamond" w:hAnsi="Garamond"/>
            <w:sz w:val="24"/>
            <w:szCs w:val="24"/>
          </w:rPr>
        </w:pPr>
        <w:sdt>
          <w:sdtPr>
            <w:id w:val="24729668"/>
            <w:docPartObj>
              <w:docPartGallery w:val="Page Numbers (Bottom of Page)"/>
              <w:docPartUnique/>
            </w:docPartObj>
          </w:sdtPr>
          <w:sdtEndPr>
            <w:rPr>
              <w:rFonts w:ascii="Garamond" w:hAnsi="Garamond"/>
              <w:noProof/>
              <w:sz w:val="24"/>
              <w:szCs w:val="24"/>
            </w:rPr>
          </w:sdtEndPr>
          <w:sdtContent>
            <w:r w:rsidR="008E721E" w:rsidRPr="00B4283E">
              <w:rPr>
                <w:rFonts w:ascii="Garamond" w:hAnsi="Garamond"/>
                <w:sz w:val="24"/>
                <w:szCs w:val="24"/>
              </w:rPr>
              <w:t>Faqe|</w:t>
            </w:r>
            <w:r w:rsidR="008E721E" w:rsidRPr="00B4283E">
              <w:rPr>
                <w:rFonts w:ascii="Garamond" w:hAnsi="Garamond"/>
                <w:sz w:val="24"/>
                <w:szCs w:val="24"/>
              </w:rPr>
              <w:fldChar w:fldCharType="begin"/>
            </w:r>
            <w:r w:rsidR="008E721E" w:rsidRPr="00B4283E">
              <w:rPr>
                <w:rFonts w:ascii="Garamond" w:hAnsi="Garamond"/>
                <w:sz w:val="24"/>
                <w:szCs w:val="24"/>
              </w:rPr>
              <w:instrText xml:space="preserve"> PAGE   \* MERGEFORMAT </w:instrText>
            </w:r>
            <w:r w:rsidR="008E721E" w:rsidRPr="00B4283E">
              <w:rPr>
                <w:rFonts w:ascii="Garamond" w:hAnsi="Garamond"/>
                <w:sz w:val="24"/>
                <w:szCs w:val="24"/>
              </w:rPr>
              <w:fldChar w:fldCharType="separate"/>
            </w:r>
            <w:r>
              <w:rPr>
                <w:rFonts w:ascii="Garamond" w:hAnsi="Garamond"/>
                <w:noProof/>
                <w:sz w:val="24"/>
                <w:szCs w:val="24"/>
              </w:rPr>
              <w:t>3</w:t>
            </w:r>
            <w:r w:rsidR="008E721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4729669"/>
      <w:docPartObj>
        <w:docPartGallery w:val="Page Numbers (Bottom of Page)"/>
        <w:docPartUnique/>
      </w:docPartObj>
    </w:sdtPr>
    <w:sdtEndPr>
      <w:rPr>
        <w:noProof/>
        <w:sz w:val="24"/>
        <w:szCs w:val="24"/>
      </w:rPr>
    </w:sdtEndPr>
    <w:sdtContent>
      <w:p w:rsidR="008E721E" w:rsidRPr="00833610" w:rsidRDefault="008E721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E721E" w:rsidRDefault="008E72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21E" w:rsidRDefault="008E721E" w:rsidP="008E721E">
      <w:pPr>
        <w:spacing w:after="0" w:line="240" w:lineRule="auto"/>
      </w:pPr>
      <w:r>
        <w:separator/>
      </w:r>
    </w:p>
  </w:footnote>
  <w:footnote w:type="continuationSeparator" w:id="0">
    <w:p w:rsidR="008E721E" w:rsidRDefault="008E721E" w:rsidP="008E721E">
      <w:pPr>
        <w:spacing w:after="0" w:line="240" w:lineRule="auto"/>
      </w:pPr>
      <w:r>
        <w:continuationSeparator/>
      </w:r>
    </w:p>
  </w:footnote>
  <w:footnote w:id="1">
    <w:p w:rsidR="008E721E" w:rsidRDefault="008E721E" w:rsidP="008E721E">
      <w:pPr>
        <w:pStyle w:val="FootnoteText"/>
      </w:pPr>
      <w:r>
        <w:rPr>
          <w:rStyle w:val="FootnoteReference"/>
        </w:rPr>
        <w:footnoteRef/>
      </w:r>
      <w:r>
        <w:t xml:space="preserve"> Realisht nuk kanë pësuar rënie, por kanë filluar të investojnë në instrumentet financiarë shtetërorë nëpërmjet fondeve të investimeve.</w:t>
      </w:r>
    </w:p>
  </w:footnote>
  <w:footnote w:id="2">
    <w:p w:rsidR="008E721E" w:rsidRPr="00F335D6" w:rsidRDefault="008E721E" w:rsidP="008E721E">
      <w:pPr>
        <w:pStyle w:val="FootnoteText"/>
        <w:ind w:firstLine="0"/>
        <w:rPr>
          <w:rFonts w:ascii="Garamond" w:hAnsi="Garamond"/>
          <w:sz w:val="18"/>
          <w:szCs w:val="18"/>
        </w:rPr>
      </w:pPr>
      <w:r w:rsidRPr="00F335D6">
        <w:rPr>
          <w:rStyle w:val="FootnoteReference"/>
          <w:rFonts w:ascii="Garamond" w:hAnsi="Garamond"/>
          <w:sz w:val="18"/>
          <w:szCs w:val="18"/>
        </w:rPr>
        <w:footnoteRef/>
      </w:r>
      <w:r w:rsidRPr="00F335D6">
        <w:rPr>
          <w:rFonts w:ascii="Garamond" w:hAnsi="Garamond"/>
          <w:sz w:val="18"/>
          <w:szCs w:val="18"/>
        </w:rPr>
        <w:t xml:space="preserve">  Përfshihen edhe instrumentet me afat të shkurtër maturimi pavarësisht faktit që janë me norma intersi fikse, pasi ato rifiksohen mesatarisht çdo 0.7 herë brenda një viti</w:t>
      </w:r>
    </w:p>
  </w:footnote>
  <w:footnote w:id="3">
    <w:p w:rsidR="008E721E" w:rsidRDefault="008E721E" w:rsidP="008E721E">
      <w:pPr>
        <w:pStyle w:val="FootnoteText"/>
      </w:pPr>
      <w:r>
        <w:rPr>
          <w:rStyle w:val="FootnoteReference"/>
        </w:rPr>
        <w:footnoteRef/>
      </w:r>
      <w:r>
        <w:t xml:space="preserve">  Shenja negative i referohet pakësimit të stokut të borxhit të jashtëm kur raportohet në monedhën vendase për shkak të zhvlerësimit të monedhës EUR kundrejt LEK</w:t>
      </w:r>
    </w:p>
  </w:footnote>
  <w:footnote w:id="4">
    <w:p w:rsidR="008E721E" w:rsidRDefault="008E721E" w:rsidP="008E721E">
      <w:pPr>
        <w:pStyle w:val="FootnoteText"/>
      </w:pPr>
      <w:r w:rsidRPr="00D3492F">
        <w:rPr>
          <w:rStyle w:val="FootnoteReference"/>
          <w:b/>
        </w:rPr>
        <w:footnoteRef/>
      </w:r>
      <w:r>
        <w:t xml:space="preserve">Një menaxhim portofoli i kësaj natyre mund të sjellë përfitime duke ushtruar presion për rënien e normave të interesit dhe njëkohësisht të ul riskun e likuiditetit. </w:t>
      </w:r>
    </w:p>
  </w:footnote>
  <w:footnote w:id="5">
    <w:p w:rsidR="008E721E" w:rsidRDefault="008E721E" w:rsidP="008E721E">
      <w:pPr>
        <w:pStyle w:val="FootnoteText"/>
      </w:pPr>
      <w:r w:rsidRPr="00785DDE">
        <w:rPr>
          <w:rStyle w:val="FootnoteReference"/>
          <w:b/>
        </w:rPr>
        <w:footnoteRef/>
      </w:r>
      <w:r>
        <w:t xml:space="preserve"> Ngjarje në tregun </w:t>
      </w:r>
      <w:smartTag w:uri="urn:schemas-microsoft-com:office:smarttags" w:element="place">
        <w:smartTag w:uri="urn:schemas-microsoft-com:office:smarttags" w:element="country-region">
          <w:r>
            <w:t>vendas</w:t>
          </w:r>
        </w:smartTag>
      </w:smartTag>
      <w:r>
        <w:t xml:space="preserve"> ose të huaj që mund të shkaktojnë mosrealizimin e njërës prej alternativave të financimit të përmendura në seksionin 4.3</w:t>
      </w:r>
    </w:p>
  </w:footnote>
  <w:footnote w:id="6">
    <w:p w:rsidR="008E721E" w:rsidRDefault="008E721E" w:rsidP="008E721E">
      <w:pPr>
        <w:pStyle w:val="FootnoteText"/>
      </w:pPr>
      <w:r w:rsidRPr="00785DDE">
        <w:rPr>
          <w:rStyle w:val="FootnoteReference"/>
          <w:b/>
        </w:rPr>
        <w:footnoteRef/>
      </w:r>
      <w:r>
        <w:t xml:space="preserve"> Është përzgjedhur si strategji </w:t>
      </w:r>
      <w:r>
        <w:rPr>
          <w:b/>
        </w:rPr>
        <w:t>b</w:t>
      </w:r>
      <w:r w:rsidRPr="00533692">
        <w:rPr>
          <w:b/>
        </w:rPr>
        <w:t>azë</w:t>
      </w:r>
      <w:r>
        <w:t xml:space="preserve"> pasi janë analizuar kostot /risqet dhe është krahasuar me strategjitë alternative në seksionet pasardhëse</w:t>
      </w:r>
    </w:p>
  </w:footnote>
  <w:footnote w:id="7">
    <w:p w:rsidR="008E721E" w:rsidRDefault="008E721E" w:rsidP="008E721E">
      <w:pPr>
        <w:pStyle w:val="FootnoteText"/>
      </w:pPr>
      <w:r w:rsidRPr="00AD5647">
        <w:rPr>
          <w:rStyle w:val="FootnoteReference"/>
          <w:b/>
        </w:rPr>
        <w:footnoteRef/>
      </w:r>
      <w:r>
        <w:t xml:space="preserve">Arsyet e dështimit të Emetimit të Eurobondit mund të jenë të ndryshme, si p.sh mosshfaqje interesi nga investitorët, mbyllje e përkohshme e tregjeve si pasojë e ndonjë krize globale, etj. </w:t>
      </w:r>
    </w:p>
  </w:footnote>
  <w:footnote w:id="8">
    <w:p w:rsidR="008E721E" w:rsidRPr="00833C39" w:rsidRDefault="008E721E" w:rsidP="008E721E">
      <w:pPr>
        <w:pStyle w:val="FootnoteText"/>
      </w:pPr>
      <w:r>
        <w:rPr>
          <w:rStyle w:val="FootnoteReference"/>
        </w:rPr>
        <w:footnoteRef/>
      </w:r>
      <w:r w:rsidRPr="00833C39">
        <w:t xml:space="preserve"> I referohet skenarit ku strategjit</w:t>
      </w:r>
      <w:r>
        <w:t>ë</w:t>
      </w:r>
      <w:r w:rsidRPr="00833C39">
        <w:t xml:space="preserve"> jan</w:t>
      </w:r>
      <w:r>
        <w:t>ë</w:t>
      </w:r>
      <w:r w:rsidRPr="00833C39">
        <w:t xml:space="preserve"> testuar me supozimet e n</w:t>
      </w:r>
      <w:r>
        <w:t>ë</w:t>
      </w:r>
      <w:r w:rsidRPr="00833C39">
        <w:t>nkapitullit 4.4.5</w:t>
      </w:r>
      <w:r>
        <w:t>.</w:t>
      </w:r>
    </w:p>
  </w:footnote>
  <w:footnote w:id="9">
    <w:p w:rsidR="008E721E" w:rsidRDefault="008E721E" w:rsidP="008E721E">
      <w:pPr>
        <w:pStyle w:val="FootnoteText"/>
      </w:pPr>
      <w:r>
        <w:rPr>
          <w:rStyle w:val="FootnoteReference"/>
        </w:rPr>
        <w:footnoteRef/>
      </w:r>
      <w:r>
        <w:t xml:space="preserve"> Zhvlerësim i monedhës vendase ndaj monedhave të huaja me 15%</w:t>
      </w:r>
    </w:p>
  </w:footnote>
  <w:footnote w:id="10">
    <w:p w:rsidR="008E721E" w:rsidRDefault="008E721E" w:rsidP="008E721E">
      <w:pPr>
        <w:pStyle w:val="FootnoteText"/>
      </w:pPr>
      <w:r>
        <w:rPr>
          <w:rStyle w:val="FootnoteReference"/>
        </w:rPr>
        <w:footnoteRef/>
      </w:r>
      <w:r>
        <w:t xml:space="preserve"> Skenar stresi i kombinuar</w:t>
      </w:r>
    </w:p>
  </w:footnote>
  <w:footnote w:id="11">
    <w:p w:rsidR="008E721E" w:rsidRDefault="008E721E" w:rsidP="008E721E">
      <w:pPr>
        <w:pStyle w:val="FootnoteText"/>
      </w:pPr>
      <w:r>
        <w:rPr>
          <w:rStyle w:val="FootnoteReference"/>
        </w:rPr>
        <w:footnoteRef/>
      </w:r>
      <w:r>
        <w:t xml:space="preserve"> Për vendet në zhvillim, ky tregues preferohet të jetë nën 250%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E721E" w:rsidRPr="00EB260B" w:rsidTr="0065208A">
      <w:trPr>
        <w:trHeight w:val="936"/>
        <w:jc w:val="center"/>
      </w:trPr>
      <w:tc>
        <w:tcPr>
          <w:tcW w:w="2811" w:type="dxa"/>
          <w:shd w:val="pct5" w:color="auto" w:fill="F2F2F2"/>
          <w:vAlign w:val="center"/>
        </w:tcPr>
        <w:p w:rsidR="008E721E" w:rsidRPr="00EB260B" w:rsidRDefault="008E721E" w:rsidP="0065208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721E" w:rsidRPr="00EB260B" w:rsidRDefault="008E721E" w:rsidP="0065208A">
          <w:pPr>
            <w:pStyle w:val="NoSpacing"/>
            <w:spacing w:before="100" w:after="100"/>
            <w:jc w:val="center"/>
            <w:rPr>
              <w:rFonts w:ascii="Garamond" w:hAnsi="Garamond"/>
              <w:b/>
              <w:sz w:val="28"/>
              <w:szCs w:val="28"/>
            </w:rPr>
          </w:pPr>
          <w:r>
            <w:rPr>
              <w:noProof/>
              <w:lang w:val="en-US"/>
            </w:rPr>
            <w:drawing>
              <wp:inline distT="0" distB="0" distL="0" distR="0" wp14:anchorId="49F02BEC" wp14:editId="1DD1E72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E721E" w:rsidRPr="00EB260B" w:rsidRDefault="008E721E" w:rsidP="0065208A">
          <w:pPr>
            <w:pStyle w:val="NoSpacing"/>
            <w:spacing w:before="100" w:after="100"/>
            <w:jc w:val="center"/>
            <w:rPr>
              <w:rFonts w:ascii="Garamond" w:hAnsi="Garamond"/>
              <w:b/>
              <w:sz w:val="28"/>
              <w:szCs w:val="28"/>
            </w:rPr>
          </w:pPr>
          <w:r>
            <w:rPr>
              <w:rFonts w:ascii="Garamond" w:hAnsi="Garamond"/>
              <w:b/>
              <w:sz w:val="28"/>
              <w:szCs w:val="28"/>
            </w:rPr>
            <w:t xml:space="preserve"> Viti 2015 – Numri 34</w:t>
          </w:r>
        </w:p>
      </w:tc>
    </w:tr>
  </w:tbl>
  <w:p w:rsidR="008E721E" w:rsidRPr="00385E2C" w:rsidRDefault="008E721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21E" w:rsidRDefault="008E721E"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4BC2CBD"/>
    <w:multiLevelType w:val="hybridMultilevel"/>
    <w:tmpl w:val="3224E438"/>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5173305"/>
    <w:multiLevelType w:val="hybridMultilevel"/>
    <w:tmpl w:val="09C4F9AC"/>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21E"/>
    <w:rsid w:val="00013606"/>
    <w:rsid w:val="001D125B"/>
    <w:rsid w:val="002C0AA4"/>
    <w:rsid w:val="002E7553"/>
    <w:rsid w:val="00332E0F"/>
    <w:rsid w:val="00455FC5"/>
    <w:rsid w:val="004A4709"/>
    <w:rsid w:val="00627136"/>
    <w:rsid w:val="007A33AA"/>
    <w:rsid w:val="0085733F"/>
    <w:rsid w:val="008E721E"/>
    <w:rsid w:val="00912120"/>
    <w:rsid w:val="00913CB4"/>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721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8E721E"/>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8E721E"/>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8E721E"/>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8E721E"/>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8E721E"/>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8E721E"/>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8E721E"/>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8E721E"/>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8E721E"/>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8E721E"/>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8E721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8E721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E721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8E721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8E721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8E721E"/>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8E721E"/>
    <w:rPr>
      <w:rFonts w:ascii="Cambria" w:eastAsia="MS Mincho" w:hAnsi="Cambria" w:cs="Cambria"/>
      <w:sz w:val="20"/>
      <w:szCs w:val="20"/>
    </w:rPr>
  </w:style>
  <w:style w:type="character" w:customStyle="1" w:styleId="Heading9Char">
    <w:name w:val="Heading 9 Char"/>
    <w:basedOn w:val="DefaultParagraphFont"/>
    <w:link w:val="Heading9"/>
    <w:rsid w:val="008E721E"/>
    <w:rPr>
      <w:rFonts w:ascii="Cambria" w:eastAsia="MS Mincho" w:hAnsi="Cambria" w:cs="Cambria"/>
      <w:i/>
      <w:iCs/>
      <w:spacing w:val="5"/>
      <w:sz w:val="20"/>
      <w:szCs w:val="20"/>
    </w:rPr>
  </w:style>
  <w:style w:type="paragraph" w:styleId="NoSpacing">
    <w:name w:val="No Spacing"/>
    <w:link w:val="NoSpacingChar"/>
    <w:uiPriority w:val="1"/>
    <w:qFormat/>
    <w:rsid w:val="008E721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E721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8E7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E721E"/>
    <w:rPr>
      <w:rFonts w:ascii="Tahoma" w:eastAsia="Calibri" w:hAnsi="Tahoma" w:cs="Tahoma"/>
      <w:sz w:val="16"/>
      <w:szCs w:val="16"/>
    </w:rPr>
  </w:style>
  <w:style w:type="paragraph" w:styleId="Header">
    <w:name w:val="header"/>
    <w:basedOn w:val="Normal"/>
    <w:link w:val="HeaderChar"/>
    <w:uiPriority w:val="99"/>
    <w:unhideWhenUsed/>
    <w:rsid w:val="008E7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21E"/>
    <w:rPr>
      <w:rFonts w:ascii="Calibri" w:eastAsia="Calibri" w:hAnsi="Calibri" w:cs="Times New Roman"/>
    </w:rPr>
  </w:style>
  <w:style w:type="paragraph" w:styleId="Footer">
    <w:name w:val="footer"/>
    <w:basedOn w:val="Normal"/>
    <w:link w:val="FooterChar"/>
    <w:uiPriority w:val="99"/>
    <w:unhideWhenUsed/>
    <w:rsid w:val="008E7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21E"/>
    <w:rPr>
      <w:rFonts w:ascii="Calibri" w:eastAsia="Calibri" w:hAnsi="Calibri" w:cs="Times New Roman"/>
    </w:rPr>
  </w:style>
  <w:style w:type="paragraph" w:customStyle="1" w:styleId="Akti">
    <w:name w:val="Akti"/>
    <w:link w:val="AktiChar"/>
    <w:rsid w:val="008E721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E721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E721E"/>
    <w:rPr>
      <w:rFonts w:ascii="Garamond" w:eastAsia="MS Mincho" w:hAnsi="Garamond" w:cs="CG Times"/>
      <w:b/>
      <w:bCs/>
      <w:sz w:val="24"/>
      <w:lang w:val="en-GB"/>
    </w:rPr>
  </w:style>
  <w:style w:type="paragraph" w:customStyle="1" w:styleId="Paragrafi">
    <w:name w:val="Paragrafi"/>
    <w:link w:val="ParagrafiChar"/>
    <w:uiPriority w:val="99"/>
    <w:rsid w:val="008E721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8E721E"/>
    <w:rPr>
      <w:rFonts w:ascii="Garamond" w:eastAsia="MS Mincho" w:hAnsi="Garamond" w:cs="CG Times"/>
      <w:sz w:val="24"/>
    </w:rPr>
  </w:style>
  <w:style w:type="paragraph" w:customStyle="1" w:styleId="Titulli">
    <w:name w:val="Titulli"/>
    <w:next w:val="Normal"/>
    <w:link w:val="TitulliChar"/>
    <w:rsid w:val="008E721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E721E"/>
    <w:rPr>
      <w:rFonts w:ascii="Garamond" w:eastAsia="MS Mincho" w:hAnsi="Garamond" w:cs="CG Times"/>
      <w:b/>
      <w:bCs/>
      <w:caps/>
      <w:sz w:val="24"/>
      <w:lang w:val="en-GB"/>
    </w:rPr>
  </w:style>
  <w:style w:type="character" w:customStyle="1" w:styleId="AktiChar">
    <w:name w:val="Akti Char"/>
    <w:basedOn w:val="DefaultParagraphFont"/>
    <w:link w:val="Akti"/>
    <w:rsid w:val="008E721E"/>
    <w:rPr>
      <w:rFonts w:ascii="Garamond" w:eastAsia="MS Mincho" w:hAnsi="Garamond" w:cs="CG Times"/>
      <w:b/>
      <w:bCs/>
      <w:caps/>
      <w:color w:val="000000"/>
      <w:sz w:val="24"/>
      <w:lang w:val="en-GB"/>
    </w:rPr>
  </w:style>
  <w:style w:type="paragraph" w:customStyle="1" w:styleId="NeniNr">
    <w:name w:val="Neni_Nr"/>
    <w:next w:val="Normal"/>
    <w:link w:val="NeniNrChar"/>
    <w:rsid w:val="008E721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E721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E721E"/>
    <w:rPr>
      <w:rFonts w:ascii="Garamond" w:eastAsia="MS Mincho" w:hAnsi="Garamond" w:cs="CG Times"/>
      <w:sz w:val="24"/>
      <w:lang w:val="en-GB"/>
    </w:rPr>
  </w:style>
  <w:style w:type="paragraph" w:customStyle="1" w:styleId="Autoriteti">
    <w:name w:val="Autoriteti"/>
    <w:next w:val="Normal"/>
    <w:link w:val="AutoritetiChar"/>
    <w:rsid w:val="008E721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E721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E721E"/>
    <w:rPr>
      <w:rFonts w:ascii="Garamond" w:eastAsia="MS Mincho" w:hAnsi="Garamond" w:cs="CG Times"/>
      <w:caps/>
      <w:sz w:val="24"/>
      <w:lang w:val="en-GB"/>
    </w:rPr>
  </w:style>
  <w:style w:type="character" w:customStyle="1" w:styleId="AutoritetiEmerChar">
    <w:name w:val="Autoriteti_Emer Char"/>
    <w:link w:val="AutoritetiEmer"/>
    <w:locked/>
    <w:rsid w:val="008E721E"/>
    <w:rPr>
      <w:rFonts w:ascii="Garamond" w:eastAsia="MS Mincho" w:hAnsi="Garamond" w:cs="Times New Roman"/>
      <w:b/>
      <w:bCs/>
      <w:sz w:val="24"/>
      <w:lang w:val="en-GB"/>
    </w:rPr>
  </w:style>
  <w:style w:type="paragraph" w:customStyle="1" w:styleId="Titull-Titull">
    <w:name w:val="Titull-Titull"/>
    <w:basedOn w:val="Paragrafi"/>
    <w:qFormat/>
    <w:rsid w:val="008E721E"/>
    <w:pPr>
      <w:ind w:firstLine="0"/>
      <w:jc w:val="center"/>
    </w:pPr>
    <w:rPr>
      <w:caps/>
      <w:szCs w:val="24"/>
    </w:rPr>
  </w:style>
  <w:style w:type="paragraph" w:customStyle="1" w:styleId="Vendosi">
    <w:name w:val="Vendosi"/>
    <w:basedOn w:val="Titull-Titull"/>
    <w:qFormat/>
    <w:rsid w:val="008E721E"/>
  </w:style>
  <w:style w:type="paragraph" w:customStyle="1" w:styleId="Hapesira7">
    <w:name w:val="Hapesira 7"/>
    <w:basedOn w:val="Paragrafi"/>
    <w:qFormat/>
    <w:rsid w:val="008E721E"/>
    <w:rPr>
      <w:sz w:val="14"/>
      <w:szCs w:val="24"/>
    </w:rPr>
  </w:style>
  <w:style w:type="paragraph" w:styleId="ListParagraph">
    <w:name w:val="List Paragraph"/>
    <w:aliases w:val="List Paragraph2"/>
    <w:basedOn w:val="Normal"/>
    <w:link w:val="ListParagraphChar"/>
    <w:uiPriority w:val="34"/>
    <w:qFormat/>
    <w:rsid w:val="008E721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8E721E"/>
    <w:rPr>
      <w:rFonts w:ascii="Calibri" w:eastAsia="Times New Roman" w:hAnsi="Calibri" w:cs="Times New Roman"/>
    </w:rPr>
  </w:style>
  <w:style w:type="paragraph" w:customStyle="1" w:styleId="Style1">
    <w:name w:val="Style1"/>
    <w:basedOn w:val="Akti"/>
    <w:qFormat/>
    <w:rsid w:val="008E721E"/>
    <w:rPr>
      <w:rFonts w:ascii="CG Times" w:hAnsi="CG Times"/>
      <w:sz w:val="21"/>
    </w:rPr>
  </w:style>
  <w:style w:type="character" w:customStyle="1" w:styleId="Heading2Char1">
    <w:name w:val="Heading 2 Char1"/>
    <w:link w:val="Heading2"/>
    <w:uiPriority w:val="9"/>
    <w:locked/>
    <w:rsid w:val="008E721E"/>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8E721E"/>
    <w:rPr>
      <w:rFonts w:ascii="Cambria" w:eastAsia="MS Mincho" w:hAnsi="Cambria" w:cs="Cambria"/>
      <w:b/>
      <w:bCs/>
      <w:sz w:val="24"/>
      <w:szCs w:val="24"/>
    </w:rPr>
  </w:style>
  <w:style w:type="paragraph" w:customStyle="1" w:styleId="ADDRESS">
    <w:name w:val="ADDRESS"/>
    <w:basedOn w:val="Normal"/>
    <w:rsid w:val="008E721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8E721E"/>
    <w:pPr>
      <w:spacing w:after="0" w:line="240" w:lineRule="auto"/>
      <w:jc w:val="both"/>
    </w:pPr>
    <w:rPr>
      <w:rFonts w:ascii="CG Times" w:eastAsia="MS Mincho" w:hAnsi="CG Times" w:cs="CG Times"/>
      <w:sz w:val="21"/>
      <w:lang w:val="en-GB"/>
    </w:rPr>
  </w:style>
  <w:style w:type="paragraph" w:customStyle="1" w:styleId="AneksiNr">
    <w:name w:val="Aneksi_Nr"/>
    <w:next w:val="Normal"/>
    <w:rsid w:val="008E721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E721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8E721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E721E"/>
    <w:rPr>
      <w:rFonts w:ascii="Arial" w:eastAsia="Times New Roman" w:hAnsi="Arial" w:cs="Arial"/>
      <w:color w:val="000000"/>
      <w:sz w:val="24"/>
      <w:szCs w:val="24"/>
    </w:rPr>
  </w:style>
  <w:style w:type="paragraph" w:customStyle="1" w:styleId="BazLigjPropozues">
    <w:name w:val="Baz_Ligj_Propozues"/>
    <w:rsid w:val="008E721E"/>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8E721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8E721E"/>
    <w:rPr>
      <w:rFonts w:ascii="Times New Roman" w:eastAsia="Times New Roman" w:hAnsi="Times New Roman" w:cs="Times New Roman"/>
      <w:caps/>
      <w:sz w:val="26"/>
      <w:szCs w:val="26"/>
      <w:lang w:val="en-GB"/>
    </w:rPr>
  </w:style>
  <w:style w:type="character" w:customStyle="1" w:styleId="apple-converted-space">
    <w:name w:val="apple-converted-space"/>
    <w:rsid w:val="008E721E"/>
  </w:style>
  <w:style w:type="character" w:styleId="Hyperlink">
    <w:name w:val="Hyperlink"/>
    <w:uiPriority w:val="99"/>
    <w:unhideWhenUsed/>
    <w:rsid w:val="008E721E"/>
    <w:rPr>
      <w:color w:val="0000FF"/>
      <w:u w:val="single"/>
    </w:rPr>
  </w:style>
  <w:style w:type="character" w:styleId="FollowedHyperlink">
    <w:name w:val="FollowedHyperlink"/>
    <w:unhideWhenUsed/>
    <w:rsid w:val="008E721E"/>
    <w:rPr>
      <w:color w:val="800080"/>
      <w:u w:val="single"/>
    </w:rPr>
  </w:style>
  <w:style w:type="paragraph" w:customStyle="1" w:styleId="font5">
    <w:name w:val="font5"/>
    <w:basedOn w:val="Normal"/>
    <w:rsid w:val="008E721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E721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E721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E721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E721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8E721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E721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E721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E721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E721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E721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8E721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E721E"/>
    <w:pPr>
      <w:pageBreakBefore/>
      <w:spacing w:after="0" w:line="240" w:lineRule="auto"/>
      <w:jc w:val="both"/>
    </w:pPr>
    <w:rPr>
      <w:rFonts w:ascii="CG Times" w:eastAsia="MS Mincho" w:hAnsi="CG Times" w:cs="CG Times"/>
      <w:b/>
      <w:bCs/>
      <w:sz w:val="21"/>
    </w:rPr>
  </w:style>
  <w:style w:type="paragraph" w:customStyle="1" w:styleId="KapitulliNr">
    <w:name w:val="Kapitulli_Nr"/>
    <w:rsid w:val="008E721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E721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E721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E721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E721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E721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E721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E721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E721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E721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E721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E721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8E721E"/>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E721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E721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E721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E721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E721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E721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E721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E721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E721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E721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8E721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E721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8E721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E721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E721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E721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8E721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E721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E721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E721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E721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E721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8E721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E721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E721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E721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E721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E721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E721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E721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8E721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8E721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E721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E721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E721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E7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E721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E721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E721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E7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E7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E7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E7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E721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8E721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8E721E"/>
    <w:rPr>
      <w:b/>
      <w:bCs/>
    </w:rPr>
  </w:style>
  <w:style w:type="paragraph" w:customStyle="1" w:styleId="xl136">
    <w:name w:val="xl136"/>
    <w:basedOn w:val="Normal"/>
    <w:rsid w:val="008E7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E7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E721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E721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E7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E721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E721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E7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E7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E721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E7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E721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8E72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8E721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8E721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8E7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8E721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8E721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8E72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8E721E"/>
  </w:style>
  <w:style w:type="paragraph" w:styleId="Title">
    <w:name w:val="Title"/>
    <w:basedOn w:val="Heading1"/>
    <w:next w:val="Normal"/>
    <w:link w:val="TitleChar"/>
    <w:qFormat/>
    <w:rsid w:val="008E721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8E721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8E721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8E721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8E721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8E721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8E721E"/>
    <w:pPr>
      <w:spacing w:after="100"/>
      <w:ind w:left="660" w:firstLine="0"/>
      <w:jc w:val="left"/>
    </w:pPr>
    <w:rPr>
      <w:rFonts w:eastAsia="Times New Roman"/>
    </w:rPr>
  </w:style>
  <w:style w:type="paragraph" w:styleId="TOC5">
    <w:name w:val="toc 5"/>
    <w:basedOn w:val="Normal"/>
    <w:next w:val="Normal"/>
    <w:autoRedefine/>
    <w:unhideWhenUsed/>
    <w:rsid w:val="008E721E"/>
    <w:pPr>
      <w:spacing w:after="100"/>
      <w:ind w:left="880" w:firstLine="0"/>
      <w:jc w:val="left"/>
    </w:pPr>
    <w:rPr>
      <w:rFonts w:eastAsia="Times New Roman"/>
    </w:rPr>
  </w:style>
  <w:style w:type="paragraph" w:styleId="TOC6">
    <w:name w:val="toc 6"/>
    <w:basedOn w:val="Normal"/>
    <w:next w:val="Normal"/>
    <w:autoRedefine/>
    <w:unhideWhenUsed/>
    <w:rsid w:val="008E721E"/>
    <w:pPr>
      <w:spacing w:after="100"/>
      <w:ind w:left="1100" w:firstLine="0"/>
      <w:jc w:val="left"/>
    </w:pPr>
    <w:rPr>
      <w:rFonts w:eastAsia="Times New Roman"/>
    </w:rPr>
  </w:style>
  <w:style w:type="paragraph" w:styleId="TOC7">
    <w:name w:val="toc 7"/>
    <w:basedOn w:val="Normal"/>
    <w:next w:val="Normal"/>
    <w:autoRedefine/>
    <w:unhideWhenUsed/>
    <w:rsid w:val="008E721E"/>
    <w:pPr>
      <w:spacing w:after="100"/>
      <w:ind w:left="1320" w:firstLine="0"/>
      <w:jc w:val="left"/>
    </w:pPr>
    <w:rPr>
      <w:rFonts w:eastAsia="Times New Roman"/>
    </w:rPr>
  </w:style>
  <w:style w:type="paragraph" w:styleId="TOC8">
    <w:name w:val="toc 8"/>
    <w:basedOn w:val="Normal"/>
    <w:next w:val="Normal"/>
    <w:autoRedefine/>
    <w:unhideWhenUsed/>
    <w:rsid w:val="008E721E"/>
    <w:pPr>
      <w:spacing w:after="100"/>
      <w:ind w:left="1540" w:firstLine="0"/>
      <w:jc w:val="left"/>
    </w:pPr>
    <w:rPr>
      <w:rFonts w:eastAsia="Times New Roman"/>
    </w:rPr>
  </w:style>
  <w:style w:type="paragraph" w:styleId="TOC9">
    <w:name w:val="toc 9"/>
    <w:basedOn w:val="Normal"/>
    <w:next w:val="Normal"/>
    <w:autoRedefine/>
    <w:unhideWhenUsed/>
    <w:rsid w:val="008E721E"/>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8E721E"/>
    <w:pPr>
      <w:spacing w:after="120"/>
      <w:ind w:left="360"/>
    </w:pPr>
  </w:style>
  <w:style w:type="character" w:customStyle="1" w:styleId="BodyTextIndentChar">
    <w:name w:val="Body Text Indent Char"/>
    <w:basedOn w:val="DefaultParagraphFont"/>
    <w:link w:val="BodyTextIndent"/>
    <w:uiPriority w:val="99"/>
    <w:rsid w:val="008E721E"/>
    <w:rPr>
      <w:rFonts w:ascii="Calibri" w:eastAsia="Calibri" w:hAnsi="Calibri" w:cs="Times New Roman"/>
    </w:rPr>
  </w:style>
  <w:style w:type="paragraph" w:customStyle="1" w:styleId="numridata0">
    <w:name w:val="numridata"/>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8E721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8E721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E721E"/>
    <w:rPr>
      <w:rFonts w:ascii="Times New Roman" w:eastAsia="Times New Roman" w:hAnsi="Times New Roman" w:cs="Times New Roman"/>
      <w:sz w:val="16"/>
      <w:szCs w:val="16"/>
    </w:rPr>
  </w:style>
  <w:style w:type="paragraph" w:customStyle="1" w:styleId="s32b251d">
    <w:name w:val="s32b251d"/>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8E721E"/>
  </w:style>
  <w:style w:type="paragraph" w:customStyle="1" w:styleId="s30eec3f8">
    <w:name w:val="s30eec3f8"/>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8E721E"/>
    <w:rPr>
      <w:sz w:val="24"/>
      <w:lang w:val="en-GB" w:eastAsia="fr-FR"/>
    </w:rPr>
  </w:style>
  <w:style w:type="paragraph" w:customStyle="1" w:styleId="JuPara">
    <w:name w:val="Ju_Para"/>
    <w:basedOn w:val="Normal"/>
    <w:link w:val="JuParaCar"/>
    <w:rsid w:val="008E721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8E721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8E721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E721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E721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8E721E"/>
    <w:rPr>
      <w:vertAlign w:val="superscript"/>
    </w:rPr>
  </w:style>
  <w:style w:type="paragraph" w:customStyle="1" w:styleId="ju-005fpara">
    <w:name w:val="ju-005fpara"/>
    <w:basedOn w:val="Normal"/>
    <w:rsid w:val="008E721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8E721E"/>
  </w:style>
  <w:style w:type="character" w:customStyle="1" w:styleId="s7d2086b4">
    <w:name w:val="s7d2086b4"/>
    <w:basedOn w:val="DefaultParagraphFont"/>
    <w:uiPriority w:val="99"/>
    <w:rsid w:val="008E721E"/>
  </w:style>
  <w:style w:type="character" w:customStyle="1" w:styleId="hps">
    <w:name w:val="hps"/>
    <w:basedOn w:val="DefaultParagraphFont"/>
    <w:rsid w:val="008E721E"/>
  </w:style>
  <w:style w:type="paragraph" w:customStyle="1" w:styleId="paragrafi0">
    <w:name w:val="paragraf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8E721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8E721E"/>
    <w:rPr>
      <w:rFonts w:cs="Times New Roman"/>
    </w:rPr>
  </w:style>
  <w:style w:type="paragraph" w:customStyle="1" w:styleId="titulli0">
    <w:name w:val="titull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8E721E"/>
  </w:style>
  <w:style w:type="paragraph" w:customStyle="1" w:styleId="akti0">
    <w:name w:val="akt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8E721E"/>
  </w:style>
  <w:style w:type="paragraph" w:customStyle="1" w:styleId="CM49">
    <w:name w:val="CM49"/>
    <w:basedOn w:val="Normal"/>
    <w:next w:val="Normal"/>
    <w:rsid w:val="008E721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8E721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8E721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8E721E"/>
    <w:pPr>
      <w:widowControl w:val="0"/>
    </w:pPr>
    <w:rPr>
      <w:rFonts w:ascii="Helvetica" w:eastAsia="Times New Roman" w:hAnsi="Helvetica" w:cs="Helvetica"/>
      <w:lang w:val="sq-AL"/>
    </w:rPr>
  </w:style>
  <w:style w:type="paragraph" w:customStyle="1" w:styleId="CM57">
    <w:name w:val="CM57"/>
    <w:basedOn w:val="Normal"/>
    <w:next w:val="Normal"/>
    <w:rsid w:val="008E721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8E721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8E721E"/>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E72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E721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E721E"/>
  </w:style>
  <w:style w:type="character" w:customStyle="1" w:styleId="StyleHeading6BoldChar">
    <w:name w:val="Style Heading 6 + Bold Char"/>
    <w:link w:val="StyleHeading6Bold"/>
    <w:rsid w:val="008E721E"/>
    <w:rPr>
      <w:rFonts w:ascii="Cambria" w:eastAsia="MS Mincho" w:hAnsi="Cambria" w:cs="Cambria"/>
      <w:b/>
      <w:bCs/>
      <w:i/>
      <w:iCs/>
      <w:color w:val="7F7F7F"/>
      <w:sz w:val="24"/>
      <w:szCs w:val="24"/>
    </w:rPr>
  </w:style>
  <w:style w:type="paragraph" w:customStyle="1" w:styleId="tableheaders">
    <w:name w:val="table headers"/>
    <w:rsid w:val="008E721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E721E"/>
    <w:rPr>
      <w:b w:val="0"/>
    </w:rPr>
  </w:style>
  <w:style w:type="paragraph" w:styleId="PlainText">
    <w:name w:val="Plain Text"/>
    <w:basedOn w:val="Normal"/>
    <w:link w:val="PlainTextChar"/>
    <w:uiPriority w:val="99"/>
    <w:unhideWhenUsed/>
    <w:rsid w:val="008E721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8E721E"/>
    <w:rPr>
      <w:rFonts w:ascii="Consolas" w:eastAsia="Calibri" w:hAnsi="Consolas" w:cs="Times New Roman"/>
      <w:sz w:val="21"/>
      <w:szCs w:val="21"/>
      <w:lang w:val="sq-AL"/>
    </w:rPr>
  </w:style>
  <w:style w:type="paragraph" w:customStyle="1" w:styleId="StyleStyle1Bold">
    <w:name w:val="Style Style1 + Bold"/>
    <w:basedOn w:val="Style1"/>
    <w:rsid w:val="008E721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8E721E"/>
    <w:rPr>
      <w:rFonts w:ascii="EUAlbertina" w:hAnsi="EUAlbertina"/>
      <w:color w:val="auto"/>
    </w:rPr>
  </w:style>
  <w:style w:type="paragraph" w:customStyle="1" w:styleId="CM4">
    <w:name w:val="CM4"/>
    <w:basedOn w:val="Normal"/>
    <w:next w:val="Normal"/>
    <w:rsid w:val="008E721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8E721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8E721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8E721E"/>
    <w:rPr>
      <w:rFonts w:ascii="Tahoma" w:eastAsia="Times New Roman" w:hAnsi="Tahoma" w:cs="Times New Roman"/>
      <w:sz w:val="16"/>
      <w:szCs w:val="16"/>
      <w:lang w:val="sq-AL"/>
    </w:rPr>
  </w:style>
  <w:style w:type="numbering" w:customStyle="1" w:styleId="NoList3">
    <w:name w:val="No List3"/>
    <w:next w:val="NoList"/>
    <w:semiHidden/>
    <w:rsid w:val="008E721E"/>
  </w:style>
  <w:style w:type="numbering" w:customStyle="1" w:styleId="NoList4">
    <w:name w:val="No List4"/>
    <w:next w:val="NoList"/>
    <w:semiHidden/>
    <w:rsid w:val="008E721E"/>
  </w:style>
  <w:style w:type="paragraph" w:customStyle="1" w:styleId="Point1">
    <w:name w:val="Point 1"/>
    <w:basedOn w:val="Normal"/>
    <w:link w:val="Point1Char"/>
    <w:rsid w:val="008E721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8E721E"/>
    <w:rPr>
      <w:rFonts w:ascii="Calibri" w:eastAsia="Times New Roman" w:hAnsi="Calibri" w:cs="Times New Roman"/>
      <w:sz w:val="24"/>
      <w:szCs w:val="24"/>
      <w:lang w:val="en-GB" w:eastAsia="en-GB"/>
    </w:rPr>
  </w:style>
  <w:style w:type="character" w:customStyle="1" w:styleId="longtext">
    <w:name w:val="long_text"/>
    <w:rsid w:val="008E721E"/>
    <w:rPr>
      <w:rFonts w:ascii="Comic Sans MS" w:hAnsi="Comic Sans MS"/>
      <w:b/>
      <w:sz w:val="96"/>
      <w:szCs w:val="24"/>
      <w:lang w:val="pl-PL" w:eastAsia="pl-PL" w:bidi="ar-SA"/>
    </w:rPr>
  </w:style>
  <w:style w:type="paragraph" w:customStyle="1" w:styleId="Text1">
    <w:name w:val="Text 1"/>
    <w:basedOn w:val="Normal"/>
    <w:link w:val="Text1Char"/>
    <w:rsid w:val="008E721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8E721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8E721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8E721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8E721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8E721E"/>
  </w:style>
  <w:style w:type="character" w:customStyle="1" w:styleId="SectionTitleCharCharChar">
    <w:name w:val="SectionTitle Char Char Char"/>
    <w:link w:val="SectionTitleCharChar"/>
    <w:rsid w:val="008E721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E721E"/>
    <w:rPr>
      <w:rFonts w:ascii="Calibri" w:eastAsia="Times New Roman" w:hAnsi="Calibri" w:cs="Times New Roman"/>
      <w:b/>
      <w:bCs/>
      <w:smallCaps/>
      <w:sz w:val="28"/>
      <w:szCs w:val="28"/>
      <w:lang w:val="en-GB" w:eastAsia="en-GB"/>
    </w:rPr>
  </w:style>
  <w:style w:type="character" w:customStyle="1" w:styleId="Text1Char">
    <w:name w:val="Text 1 Char"/>
    <w:link w:val="Text1"/>
    <w:rsid w:val="008E721E"/>
    <w:rPr>
      <w:rFonts w:ascii="Calibri" w:eastAsia="Times New Roman" w:hAnsi="Calibri" w:cs="Times New Roman"/>
      <w:sz w:val="24"/>
      <w:szCs w:val="24"/>
      <w:lang w:val="en-GB" w:eastAsia="en-GB"/>
    </w:rPr>
  </w:style>
  <w:style w:type="character" w:customStyle="1" w:styleId="Point1CharChar">
    <w:name w:val="Point 1 Char Char"/>
    <w:rsid w:val="008E721E"/>
    <w:rPr>
      <w:sz w:val="24"/>
      <w:szCs w:val="24"/>
      <w:lang w:val="en-GB" w:eastAsia="en-GB" w:bidi="ar-SA"/>
    </w:rPr>
  </w:style>
  <w:style w:type="paragraph" w:customStyle="1" w:styleId="Point0">
    <w:name w:val="Point 0"/>
    <w:basedOn w:val="Normal"/>
    <w:rsid w:val="008E721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8E721E"/>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8E721E"/>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8E721E"/>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8E721E"/>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8E721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8E721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8E721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E721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8E721E"/>
    <w:rPr>
      <w:rFonts w:ascii="CG Times" w:hAnsi="CG Times"/>
      <w:sz w:val="22"/>
      <w:lang w:val="en-US" w:eastAsia="en-US" w:bidi="ar-SA"/>
    </w:rPr>
  </w:style>
  <w:style w:type="paragraph" w:customStyle="1" w:styleId="SectionTitle">
    <w:name w:val="SectionTitle"/>
    <w:basedOn w:val="Normal"/>
    <w:next w:val="Heading1"/>
    <w:rsid w:val="008E721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8E721E"/>
  </w:style>
  <w:style w:type="paragraph" w:styleId="TableofFigures">
    <w:name w:val="table of figures"/>
    <w:basedOn w:val="Normal"/>
    <w:next w:val="Normal"/>
    <w:rsid w:val="008E721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8E721E"/>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8E721E"/>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8E721E"/>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8E721E"/>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8E721E"/>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8E721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8E721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8E721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8E721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8E721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8E721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8E721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8E721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8E721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8E721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8E721E"/>
    <w:pPr>
      <w:spacing w:after="0" w:line="360" w:lineRule="auto"/>
      <w:ind w:firstLine="0"/>
      <w:jc w:val="left"/>
    </w:pPr>
    <w:rPr>
      <w:rFonts w:ascii="Tahoma" w:eastAsia="Times New Roman" w:hAnsi="Tahoma"/>
      <w:lang w:val="de-AT" w:eastAsia="de-DE"/>
    </w:rPr>
  </w:style>
  <w:style w:type="paragraph" w:styleId="List">
    <w:name w:val="List"/>
    <w:basedOn w:val="Normal"/>
    <w:rsid w:val="008E721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8E721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8E721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8E721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8E721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8E721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8E721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8E721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8E721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8E721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8E721E"/>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8E721E"/>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8E721E"/>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8E721E"/>
    <w:rPr>
      <w:sz w:val="16"/>
      <w:szCs w:val="16"/>
    </w:rPr>
  </w:style>
  <w:style w:type="paragraph" w:styleId="CommentText">
    <w:name w:val="annotation text"/>
    <w:aliases w:val=" Char"/>
    <w:basedOn w:val="Normal"/>
    <w:link w:val="CommentTextChar"/>
    <w:unhideWhenUsed/>
    <w:rsid w:val="008E721E"/>
    <w:rPr>
      <w:rFonts w:eastAsia="MS Mincho"/>
      <w:sz w:val="20"/>
      <w:szCs w:val="20"/>
      <w:lang w:val="sq-AL"/>
    </w:rPr>
  </w:style>
  <w:style w:type="character" w:customStyle="1" w:styleId="CommentTextChar">
    <w:name w:val="Comment Text Char"/>
    <w:aliases w:val=" Char Char1"/>
    <w:basedOn w:val="DefaultParagraphFont"/>
    <w:link w:val="CommentText"/>
    <w:rsid w:val="008E721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8E721E"/>
    <w:rPr>
      <w:b/>
      <w:bCs/>
    </w:rPr>
  </w:style>
  <w:style w:type="character" w:customStyle="1" w:styleId="CommentSubjectChar">
    <w:name w:val="Comment Subject Char"/>
    <w:basedOn w:val="CommentTextChar"/>
    <w:link w:val="CommentSubject"/>
    <w:rsid w:val="008E721E"/>
    <w:rPr>
      <w:rFonts w:ascii="Calibri" w:eastAsia="MS Mincho" w:hAnsi="Calibri" w:cs="Times New Roman"/>
      <w:b/>
      <w:bCs/>
      <w:sz w:val="20"/>
      <w:szCs w:val="20"/>
      <w:lang w:val="sq-AL"/>
    </w:rPr>
  </w:style>
  <w:style w:type="paragraph" w:styleId="ListNumber4">
    <w:name w:val="List Number 4"/>
    <w:basedOn w:val="Normal"/>
    <w:rsid w:val="008E721E"/>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8E721E"/>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8E721E"/>
  </w:style>
  <w:style w:type="paragraph" w:styleId="MacroText">
    <w:name w:val="macro"/>
    <w:link w:val="MacroTextChar"/>
    <w:semiHidden/>
    <w:rsid w:val="008E721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E721E"/>
    <w:rPr>
      <w:rFonts w:ascii="Courier New" w:eastAsia="Times New Roman" w:hAnsi="Courier New" w:cs="Times New Roman"/>
      <w:lang w:val="de-DE" w:eastAsia="de-DE"/>
    </w:rPr>
  </w:style>
  <w:style w:type="paragraph" w:styleId="NormalIndent">
    <w:name w:val="Normal Indent"/>
    <w:basedOn w:val="Normal"/>
    <w:link w:val="NormalIndentChar"/>
    <w:rsid w:val="008E721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8E721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8E721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8E721E"/>
    <w:rPr>
      <w:rFonts w:ascii="Tahoma" w:hAnsi="Tahoma"/>
      <w:sz w:val="22"/>
    </w:rPr>
  </w:style>
  <w:style w:type="paragraph" w:styleId="BlockText">
    <w:name w:val="Block Text"/>
    <w:basedOn w:val="Normal"/>
    <w:rsid w:val="008E721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8E721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8E721E"/>
    <w:rPr>
      <w:rFonts w:ascii="Tahoma" w:eastAsia="Times New Roman" w:hAnsi="Tahoma" w:cs="Times New Roman"/>
      <w:lang w:val="de-AT" w:eastAsia="de-DE"/>
    </w:rPr>
  </w:style>
  <w:style w:type="character" w:customStyle="1" w:styleId="Emphasis1">
    <w:name w:val="Emphasis1"/>
    <w:semiHidden/>
    <w:rsid w:val="008E721E"/>
  </w:style>
  <w:style w:type="paragraph" w:styleId="NoteHeading">
    <w:name w:val="Note Heading"/>
    <w:basedOn w:val="Normal"/>
    <w:next w:val="Normal"/>
    <w:link w:val="NoteHeadingChar"/>
    <w:rsid w:val="008E721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8E721E"/>
    <w:rPr>
      <w:rFonts w:ascii="Tahoma" w:eastAsia="Times New Roman" w:hAnsi="Tahoma" w:cs="Times New Roman"/>
      <w:lang w:val="de-AT" w:eastAsia="de-DE"/>
    </w:rPr>
  </w:style>
  <w:style w:type="paragraph" w:styleId="MessageHeader">
    <w:name w:val="Message Header"/>
    <w:basedOn w:val="Normal"/>
    <w:link w:val="MessageHeaderChar"/>
    <w:semiHidden/>
    <w:rsid w:val="008E721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8E721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E721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8E721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8E721E"/>
    <w:rPr>
      <w:rFonts w:ascii="Tahoma" w:eastAsia="Times New Roman" w:hAnsi="Tahoma" w:cs="Times New Roman"/>
      <w:sz w:val="20"/>
      <w:szCs w:val="20"/>
    </w:rPr>
  </w:style>
  <w:style w:type="character" w:styleId="EndnoteReference">
    <w:name w:val="endnote reference"/>
    <w:semiHidden/>
    <w:unhideWhenUsed/>
    <w:rsid w:val="008E721E"/>
    <w:rPr>
      <w:vertAlign w:val="superscript"/>
    </w:rPr>
  </w:style>
  <w:style w:type="paragraph" w:styleId="BodyTextFirstIndent2">
    <w:name w:val="Body Text First Indent 2"/>
    <w:basedOn w:val="BodyTextIndent"/>
    <w:link w:val="BodyTextFirstIndent2Char"/>
    <w:semiHidden/>
    <w:rsid w:val="008E721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E721E"/>
    <w:rPr>
      <w:rFonts w:ascii="Tahoma" w:eastAsia="Times New Roman" w:hAnsi="Tahoma" w:cs="Times New Roman"/>
      <w:lang w:val="de-AT" w:eastAsia="de-DE"/>
    </w:rPr>
  </w:style>
  <w:style w:type="numbering" w:styleId="111111">
    <w:name w:val="Outline List 2"/>
    <w:basedOn w:val="NoList"/>
    <w:semiHidden/>
    <w:rsid w:val="008E721E"/>
    <w:pPr>
      <w:numPr>
        <w:numId w:val="14"/>
      </w:numPr>
    </w:pPr>
  </w:style>
  <w:style w:type="paragraph" w:customStyle="1" w:styleId="Zusatz2">
    <w:name w:val="Zusatz 2"/>
    <w:basedOn w:val="Normal"/>
    <w:next w:val="Normal"/>
    <w:semiHidden/>
    <w:rsid w:val="008E721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8E721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8E721E"/>
    <w:pPr>
      <w:numPr>
        <w:numId w:val="15"/>
      </w:numPr>
    </w:pPr>
  </w:style>
  <w:style w:type="paragraph" w:styleId="Salutation">
    <w:name w:val="Salutation"/>
    <w:basedOn w:val="Normal"/>
    <w:next w:val="Normal"/>
    <w:link w:val="SalutationChar"/>
    <w:semiHidden/>
    <w:rsid w:val="008E721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8E721E"/>
    <w:rPr>
      <w:rFonts w:ascii="Tahoma" w:eastAsia="Times New Roman" w:hAnsi="Tahoma" w:cs="Times New Roman"/>
      <w:lang w:val="de-AT" w:eastAsia="de-DE"/>
    </w:rPr>
  </w:style>
  <w:style w:type="numbering" w:styleId="ArticleSection">
    <w:name w:val="Outline List 3"/>
    <w:basedOn w:val="NoList"/>
    <w:semiHidden/>
    <w:rsid w:val="008E721E"/>
    <w:pPr>
      <w:numPr>
        <w:numId w:val="16"/>
      </w:numPr>
    </w:pPr>
  </w:style>
  <w:style w:type="paragraph" w:styleId="Closing">
    <w:name w:val="Closing"/>
    <w:basedOn w:val="Normal"/>
    <w:link w:val="ClosingChar"/>
    <w:semiHidden/>
    <w:rsid w:val="008E721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8E721E"/>
    <w:rPr>
      <w:rFonts w:ascii="Tahoma" w:eastAsia="Times New Roman" w:hAnsi="Tahoma" w:cs="Times New Roman"/>
      <w:lang w:val="de-AT" w:eastAsia="de-DE"/>
    </w:rPr>
  </w:style>
  <w:style w:type="character" w:styleId="Emphasis">
    <w:name w:val="Emphasis"/>
    <w:uiPriority w:val="20"/>
    <w:qFormat/>
    <w:rsid w:val="008E721E"/>
    <w:rPr>
      <w:i/>
      <w:iCs/>
    </w:rPr>
  </w:style>
  <w:style w:type="paragraph" w:styleId="HTMLAddress">
    <w:name w:val="HTML Address"/>
    <w:basedOn w:val="Normal"/>
    <w:link w:val="HTMLAddressChar"/>
    <w:semiHidden/>
    <w:rsid w:val="008E721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E721E"/>
    <w:rPr>
      <w:rFonts w:ascii="Tahoma" w:eastAsia="Times New Roman" w:hAnsi="Tahoma" w:cs="Times New Roman"/>
      <w:i/>
      <w:iCs/>
      <w:lang w:val="de-AT" w:eastAsia="de-DE"/>
    </w:rPr>
  </w:style>
  <w:style w:type="character" w:styleId="HTMLAcronym">
    <w:name w:val="HTML Acronym"/>
    <w:semiHidden/>
    <w:rsid w:val="008E721E"/>
  </w:style>
  <w:style w:type="character" w:styleId="HTMLSample">
    <w:name w:val="HTML Sample"/>
    <w:semiHidden/>
    <w:rsid w:val="008E721E"/>
    <w:rPr>
      <w:rFonts w:ascii="Courier New" w:hAnsi="Courier New" w:cs="Courier New"/>
    </w:rPr>
  </w:style>
  <w:style w:type="character" w:styleId="HTMLCode">
    <w:name w:val="HTML Code"/>
    <w:semiHidden/>
    <w:rsid w:val="008E721E"/>
    <w:rPr>
      <w:rFonts w:ascii="Courier New" w:hAnsi="Courier New" w:cs="Courier New"/>
      <w:sz w:val="20"/>
      <w:szCs w:val="20"/>
    </w:rPr>
  </w:style>
  <w:style w:type="character" w:styleId="HTMLDefinition">
    <w:name w:val="HTML Definition"/>
    <w:semiHidden/>
    <w:rsid w:val="008E721E"/>
    <w:rPr>
      <w:i/>
      <w:iCs/>
    </w:rPr>
  </w:style>
  <w:style w:type="character" w:styleId="HTMLTypewriter">
    <w:name w:val="HTML Typewriter"/>
    <w:semiHidden/>
    <w:rsid w:val="008E721E"/>
    <w:rPr>
      <w:rFonts w:ascii="Courier New" w:hAnsi="Courier New" w:cs="Courier New"/>
      <w:sz w:val="20"/>
      <w:szCs w:val="20"/>
    </w:rPr>
  </w:style>
  <w:style w:type="character" w:styleId="HTMLKeyboard">
    <w:name w:val="HTML Keyboard"/>
    <w:semiHidden/>
    <w:rsid w:val="008E721E"/>
    <w:rPr>
      <w:rFonts w:ascii="Courier New" w:hAnsi="Courier New" w:cs="Courier New"/>
      <w:sz w:val="20"/>
      <w:szCs w:val="20"/>
    </w:rPr>
  </w:style>
  <w:style w:type="character" w:styleId="HTMLVariable">
    <w:name w:val="HTML Variable"/>
    <w:semiHidden/>
    <w:rsid w:val="008E721E"/>
    <w:rPr>
      <w:i/>
      <w:iCs/>
    </w:rPr>
  </w:style>
  <w:style w:type="paragraph" w:styleId="HTMLPreformatted">
    <w:name w:val="HTML Preformatted"/>
    <w:basedOn w:val="Normal"/>
    <w:link w:val="HTMLPreformattedChar"/>
    <w:semiHidden/>
    <w:rsid w:val="008E721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8E721E"/>
    <w:rPr>
      <w:rFonts w:ascii="Courier New" w:eastAsia="Times New Roman" w:hAnsi="Courier New" w:cs="Times New Roman"/>
      <w:sz w:val="20"/>
      <w:lang w:val="de-AT" w:eastAsia="de-DE"/>
    </w:rPr>
  </w:style>
  <w:style w:type="character" w:styleId="HTMLCite">
    <w:name w:val="HTML Cite"/>
    <w:semiHidden/>
    <w:rsid w:val="008E721E"/>
    <w:rPr>
      <w:i/>
      <w:iCs/>
    </w:rPr>
  </w:style>
  <w:style w:type="table" w:styleId="Table3Deffects1">
    <w:name w:val="Table 3D effects 1"/>
    <w:basedOn w:val="TableNormal"/>
    <w:semiHidden/>
    <w:rsid w:val="008E721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E721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E721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E721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E721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E721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E721E"/>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E721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E721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E721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E721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E721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E721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E721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E721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E721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E721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E721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E721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E721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E721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E721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8E721E"/>
    <w:rPr>
      <w:rFonts w:ascii="Tahoma" w:eastAsia="Times New Roman" w:hAnsi="Tahoma" w:cs="Times New Roman"/>
      <w:lang w:val="de-AT" w:eastAsia="de-DE"/>
    </w:rPr>
  </w:style>
  <w:style w:type="paragraph" w:styleId="E-mailSignature">
    <w:name w:val="E-mail Signature"/>
    <w:basedOn w:val="Normal"/>
    <w:link w:val="E-mailSignatureChar"/>
    <w:rsid w:val="008E721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8E721E"/>
    <w:rPr>
      <w:rFonts w:ascii="Tahoma" w:eastAsia="Times New Roman" w:hAnsi="Tahoma" w:cs="Times New Roman"/>
      <w:lang w:val="de-AT" w:eastAsia="de-DE"/>
    </w:rPr>
  </w:style>
  <w:style w:type="paragraph" w:styleId="BodyText2">
    <w:name w:val="Body Text 2"/>
    <w:basedOn w:val="Normal"/>
    <w:link w:val="BodyText2Char"/>
    <w:uiPriority w:val="99"/>
    <w:rsid w:val="008E721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8E721E"/>
    <w:rPr>
      <w:rFonts w:ascii="Tahoma" w:eastAsia="Times New Roman" w:hAnsi="Tahoma" w:cs="Times New Roman"/>
      <w:lang w:val="de-AT" w:eastAsia="de-DE"/>
    </w:rPr>
  </w:style>
  <w:style w:type="paragraph" w:styleId="BodyTextIndent2">
    <w:name w:val="Body Text Indent 2"/>
    <w:basedOn w:val="Normal"/>
    <w:link w:val="BodyTextIndent2Char"/>
    <w:semiHidden/>
    <w:rsid w:val="008E721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8E721E"/>
    <w:rPr>
      <w:rFonts w:ascii="Tahoma" w:eastAsia="Times New Roman" w:hAnsi="Tahoma" w:cs="Times New Roman"/>
      <w:lang w:val="de-AT" w:eastAsia="de-DE"/>
    </w:rPr>
  </w:style>
  <w:style w:type="paragraph" w:styleId="BodyTextIndent3">
    <w:name w:val="Body Text Indent 3"/>
    <w:basedOn w:val="Normal"/>
    <w:link w:val="BodyTextIndent3Char"/>
    <w:semiHidden/>
    <w:rsid w:val="008E721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8E721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E721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E721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E721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8E721E"/>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E721E"/>
    <w:rPr>
      <w:rFonts w:ascii="CG Times" w:eastAsia="Times New Roman" w:hAnsi="CG Times" w:cs="Times New Roman"/>
      <w:b/>
      <w:szCs w:val="24"/>
    </w:rPr>
  </w:style>
  <w:style w:type="character" w:customStyle="1" w:styleId="SubtitleChar1">
    <w:name w:val="Subtitle Char1"/>
    <w:locked/>
    <w:rsid w:val="008E721E"/>
    <w:rPr>
      <w:rFonts w:ascii="Cambria" w:hAnsi="Cambria"/>
      <w:sz w:val="24"/>
      <w:szCs w:val="24"/>
    </w:rPr>
  </w:style>
  <w:style w:type="paragraph" w:customStyle="1" w:styleId="Char1">
    <w:name w:val="Char1"/>
    <w:basedOn w:val="Normal"/>
    <w:rsid w:val="008E721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8E721E"/>
    <w:rPr>
      <w:rFonts w:ascii="Tahoma" w:hAnsi="Tahoma" w:cs="Tahoma"/>
      <w:i/>
      <w:iCs/>
      <w:sz w:val="22"/>
      <w:szCs w:val="22"/>
      <w:lang w:val="de-AT" w:eastAsia="de-DE" w:bidi="ar-SA"/>
    </w:rPr>
  </w:style>
  <w:style w:type="character" w:customStyle="1" w:styleId="CharChar36">
    <w:name w:val="Char Char36"/>
    <w:locked/>
    <w:rsid w:val="008E721E"/>
    <w:rPr>
      <w:rFonts w:ascii="Arial" w:hAnsi="Arial" w:cs="Arial"/>
      <w:b/>
      <w:bCs/>
      <w:kern w:val="32"/>
      <w:sz w:val="32"/>
      <w:szCs w:val="32"/>
      <w:lang w:val="sq-AL" w:eastAsia="en-US" w:bidi="ar-SA"/>
    </w:rPr>
  </w:style>
  <w:style w:type="character" w:customStyle="1" w:styleId="CharChar35">
    <w:name w:val="Char Char35"/>
    <w:locked/>
    <w:rsid w:val="008E721E"/>
    <w:rPr>
      <w:rFonts w:ascii="Arial" w:hAnsi="Arial" w:cs="Arial"/>
      <w:b/>
      <w:bCs/>
      <w:i/>
      <w:iCs/>
      <w:sz w:val="28"/>
      <w:szCs w:val="28"/>
      <w:lang w:val="sq-AL" w:eastAsia="en-US" w:bidi="ar-SA"/>
    </w:rPr>
  </w:style>
  <w:style w:type="character" w:customStyle="1" w:styleId="CharChar34">
    <w:name w:val="Char Char34"/>
    <w:locked/>
    <w:rsid w:val="008E721E"/>
    <w:rPr>
      <w:rFonts w:ascii="Tahoma" w:hAnsi="Tahoma"/>
      <w:b/>
      <w:kern w:val="28"/>
      <w:sz w:val="24"/>
      <w:szCs w:val="28"/>
      <w:lang w:val="de-AT" w:eastAsia="de-DE" w:bidi="ar-SA"/>
    </w:rPr>
  </w:style>
  <w:style w:type="character" w:customStyle="1" w:styleId="CharChar33">
    <w:name w:val="Char Char33"/>
    <w:locked/>
    <w:rsid w:val="008E721E"/>
    <w:rPr>
      <w:rFonts w:ascii="Tahoma" w:hAnsi="Tahoma"/>
      <w:b/>
      <w:i/>
      <w:kern w:val="28"/>
      <w:sz w:val="22"/>
      <w:szCs w:val="22"/>
      <w:lang w:val="de-AT" w:eastAsia="de-DE" w:bidi="ar-SA"/>
    </w:rPr>
  </w:style>
  <w:style w:type="character" w:customStyle="1" w:styleId="CharChar32">
    <w:name w:val="Char Char32"/>
    <w:locked/>
    <w:rsid w:val="008E721E"/>
    <w:rPr>
      <w:rFonts w:ascii="Tahoma" w:hAnsi="Tahoma"/>
      <w:b/>
      <w:i/>
      <w:kern w:val="28"/>
      <w:sz w:val="22"/>
      <w:szCs w:val="22"/>
      <w:lang w:val="de-AT" w:eastAsia="de-DE" w:bidi="ar-SA"/>
    </w:rPr>
  </w:style>
  <w:style w:type="character" w:customStyle="1" w:styleId="CharChar31">
    <w:name w:val="Char Char31"/>
    <w:locked/>
    <w:rsid w:val="008E721E"/>
    <w:rPr>
      <w:rFonts w:ascii="Tahoma" w:hAnsi="Tahoma"/>
      <w:b/>
      <w:i/>
      <w:kern w:val="28"/>
      <w:sz w:val="22"/>
      <w:szCs w:val="22"/>
      <w:lang w:val="de-AT" w:eastAsia="de-DE" w:bidi="ar-SA"/>
    </w:rPr>
  </w:style>
  <w:style w:type="character" w:customStyle="1" w:styleId="CharChar10">
    <w:name w:val="Char Char10"/>
    <w:semiHidden/>
    <w:locked/>
    <w:rsid w:val="008E721E"/>
    <w:rPr>
      <w:rFonts w:ascii="Courier New" w:hAnsi="Courier New" w:cs="Courier New"/>
      <w:szCs w:val="22"/>
      <w:lang w:val="de-AT" w:eastAsia="de-DE" w:bidi="ar-SA"/>
    </w:rPr>
  </w:style>
  <w:style w:type="character" w:customStyle="1" w:styleId="CharChar30">
    <w:name w:val="Char Char30"/>
    <w:locked/>
    <w:rsid w:val="008E721E"/>
    <w:rPr>
      <w:rFonts w:ascii="Tahoma" w:hAnsi="Tahoma"/>
      <w:b/>
      <w:i/>
      <w:kern w:val="28"/>
      <w:sz w:val="22"/>
      <w:szCs w:val="22"/>
      <w:lang w:val="de-AT" w:eastAsia="de-DE" w:bidi="ar-SA"/>
    </w:rPr>
  </w:style>
  <w:style w:type="character" w:customStyle="1" w:styleId="CharChar29">
    <w:name w:val="Char Char29"/>
    <w:locked/>
    <w:rsid w:val="008E721E"/>
    <w:rPr>
      <w:rFonts w:ascii="Tahoma" w:hAnsi="Tahoma"/>
      <w:b/>
      <w:i/>
      <w:kern w:val="28"/>
      <w:sz w:val="22"/>
      <w:szCs w:val="22"/>
      <w:lang w:val="de-AT" w:eastAsia="de-DE" w:bidi="ar-SA"/>
    </w:rPr>
  </w:style>
  <w:style w:type="character" w:customStyle="1" w:styleId="CharChar28">
    <w:name w:val="Char Char28"/>
    <w:locked/>
    <w:rsid w:val="008E721E"/>
    <w:rPr>
      <w:rFonts w:ascii="Tahoma" w:hAnsi="Tahoma"/>
      <w:b/>
      <w:i/>
      <w:kern w:val="28"/>
      <w:sz w:val="22"/>
      <w:szCs w:val="22"/>
      <w:lang w:val="de-AT" w:eastAsia="de-DE" w:bidi="ar-SA"/>
    </w:rPr>
  </w:style>
  <w:style w:type="character" w:customStyle="1" w:styleId="CharChar27">
    <w:name w:val="Char Char27"/>
    <w:locked/>
    <w:rsid w:val="008E721E"/>
    <w:rPr>
      <w:rFonts w:ascii="Calibri" w:eastAsia="Calibri" w:hAnsi="Calibri"/>
      <w:lang w:val="sq-AL" w:eastAsia="en-US" w:bidi="ar-SA"/>
    </w:rPr>
  </w:style>
  <w:style w:type="character" w:customStyle="1" w:styleId="CharChar24">
    <w:name w:val="Char Char24"/>
    <w:locked/>
    <w:rsid w:val="008E721E"/>
    <w:rPr>
      <w:rFonts w:ascii="Tahoma" w:hAnsi="Tahoma" w:cs="Tahoma"/>
      <w:sz w:val="22"/>
      <w:szCs w:val="22"/>
      <w:lang w:val="de-AT" w:eastAsia="de-DE" w:bidi="ar-SA"/>
    </w:rPr>
  </w:style>
  <w:style w:type="character" w:customStyle="1" w:styleId="CharChar23">
    <w:name w:val="Char Char23"/>
    <w:locked/>
    <w:rsid w:val="008E721E"/>
    <w:rPr>
      <w:rFonts w:ascii="Tahoma" w:hAnsi="Tahoma" w:cs="Tahoma"/>
      <w:sz w:val="22"/>
      <w:szCs w:val="22"/>
      <w:lang w:val="de-AT" w:eastAsia="de-DE" w:bidi="ar-SA"/>
    </w:rPr>
  </w:style>
  <w:style w:type="character" w:customStyle="1" w:styleId="CharChar22">
    <w:name w:val="Char Char22"/>
    <w:semiHidden/>
    <w:locked/>
    <w:rsid w:val="008E721E"/>
    <w:rPr>
      <w:rFonts w:ascii="Courier New" w:hAnsi="Courier New" w:cs="Courier New"/>
      <w:sz w:val="22"/>
      <w:szCs w:val="22"/>
      <w:lang w:val="de-DE" w:eastAsia="de-DE" w:bidi="ar-SA"/>
    </w:rPr>
  </w:style>
  <w:style w:type="character" w:customStyle="1" w:styleId="CharChar21">
    <w:name w:val="Char Char21"/>
    <w:locked/>
    <w:rsid w:val="008E721E"/>
    <w:rPr>
      <w:rFonts w:ascii="Tahoma" w:hAnsi="Tahoma" w:cs="Tahoma"/>
      <w:b/>
      <w:kern w:val="28"/>
      <w:sz w:val="36"/>
      <w:szCs w:val="36"/>
      <w:lang w:val="de-AT" w:eastAsia="de-DE" w:bidi="ar-SA"/>
    </w:rPr>
  </w:style>
  <w:style w:type="character" w:customStyle="1" w:styleId="CharChar12">
    <w:name w:val="Char Char12"/>
    <w:semiHidden/>
    <w:locked/>
    <w:rsid w:val="008E721E"/>
    <w:rPr>
      <w:rFonts w:ascii="Tahoma" w:hAnsi="Tahoma" w:cs="Tahoma"/>
      <w:sz w:val="22"/>
      <w:szCs w:val="22"/>
      <w:lang w:val="de-AT" w:eastAsia="de-DE" w:bidi="ar-SA"/>
    </w:rPr>
  </w:style>
  <w:style w:type="character" w:customStyle="1" w:styleId="CharChar9">
    <w:name w:val="Char Char9"/>
    <w:semiHidden/>
    <w:locked/>
    <w:rsid w:val="008E721E"/>
    <w:rPr>
      <w:rFonts w:ascii="Tahoma" w:hAnsi="Tahoma" w:cs="Tahoma"/>
      <w:sz w:val="22"/>
      <w:szCs w:val="22"/>
      <w:lang w:val="de-AT" w:eastAsia="de-DE" w:bidi="ar-SA"/>
    </w:rPr>
  </w:style>
  <w:style w:type="character" w:customStyle="1" w:styleId="CharChar25">
    <w:name w:val="Char Char25"/>
    <w:semiHidden/>
    <w:locked/>
    <w:rsid w:val="008E721E"/>
    <w:rPr>
      <w:rFonts w:ascii="Tahoma" w:hAnsi="Tahoma" w:cs="Tahoma"/>
      <w:sz w:val="22"/>
      <w:szCs w:val="22"/>
      <w:lang w:val="de-AT" w:eastAsia="de-DE" w:bidi="ar-SA"/>
    </w:rPr>
  </w:style>
  <w:style w:type="character" w:customStyle="1" w:styleId="CharChar15">
    <w:name w:val="Char Char15"/>
    <w:semiHidden/>
    <w:locked/>
    <w:rsid w:val="008E721E"/>
    <w:rPr>
      <w:rFonts w:ascii="Tahoma" w:hAnsi="Tahoma" w:cs="Tahoma"/>
      <w:sz w:val="22"/>
      <w:szCs w:val="22"/>
      <w:lang w:val="de-AT" w:eastAsia="de-DE" w:bidi="ar-SA"/>
    </w:rPr>
  </w:style>
  <w:style w:type="character" w:customStyle="1" w:styleId="CharChar16">
    <w:name w:val="Char Char16"/>
    <w:semiHidden/>
    <w:locked/>
    <w:rsid w:val="008E721E"/>
    <w:rPr>
      <w:rFonts w:ascii="Tahoma" w:hAnsi="Tahoma" w:cs="Arial"/>
      <w:sz w:val="24"/>
      <w:szCs w:val="24"/>
      <w:lang w:val="de-AT" w:eastAsia="de-DE" w:bidi="ar-SA"/>
    </w:rPr>
  </w:style>
  <w:style w:type="character" w:customStyle="1" w:styleId="CharChar20">
    <w:name w:val="Char Char20"/>
    <w:locked/>
    <w:rsid w:val="008E721E"/>
    <w:rPr>
      <w:rFonts w:ascii="Tahoma" w:hAnsi="Tahoma" w:cs="Tahoma"/>
      <w:b/>
      <w:kern w:val="28"/>
      <w:sz w:val="32"/>
      <w:szCs w:val="36"/>
      <w:lang w:val="de-AT" w:eastAsia="de-DE" w:bidi="ar-SA"/>
    </w:rPr>
  </w:style>
  <w:style w:type="character" w:customStyle="1" w:styleId="CharChar13">
    <w:name w:val="Char Char13"/>
    <w:semiHidden/>
    <w:locked/>
    <w:rsid w:val="008E721E"/>
    <w:rPr>
      <w:rFonts w:ascii="Tahoma" w:hAnsi="Tahoma" w:cs="Tahoma"/>
      <w:sz w:val="22"/>
      <w:szCs w:val="22"/>
      <w:lang w:val="de-AT" w:eastAsia="de-DE" w:bidi="ar-SA"/>
    </w:rPr>
  </w:style>
  <w:style w:type="character" w:customStyle="1" w:styleId="CharChar19">
    <w:name w:val="Char Char19"/>
    <w:semiHidden/>
    <w:locked/>
    <w:rsid w:val="008E721E"/>
    <w:rPr>
      <w:rFonts w:ascii="Tahoma" w:hAnsi="Tahoma" w:cs="Tahoma"/>
      <w:sz w:val="22"/>
      <w:szCs w:val="22"/>
      <w:lang w:val="de-AT" w:eastAsia="de-DE" w:bidi="ar-SA"/>
    </w:rPr>
  </w:style>
  <w:style w:type="character" w:customStyle="1" w:styleId="CharChar3">
    <w:name w:val="Char Char3"/>
    <w:semiHidden/>
    <w:locked/>
    <w:rsid w:val="008E721E"/>
  </w:style>
  <w:style w:type="character" w:customStyle="1" w:styleId="CharChar14">
    <w:name w:val="Char Char14"/>
    <w:semiHidden/>
    <w:locked/>
    <w:rsid w:val="008E721E"/>
  </w:style>
  <w:style w:type="character" w:customStyle="1" w:styleId="CharChar17">
    <w:name w:val="Char Char17"/>
    <w:locked/>
    <w:rsid w:val="008E721E"/>
    <w:rPr>
      <w:rFonts w:ascii="Tahoma" w:hAnsi="Tahoma" w:cs="Tahoma"/>
      <w:sz w:val="22"/>
      <w:szCs w:val="22"/>
      <w:lang w:val="de-AT" w:eastAsia="de-DE" w:bidi="ar-SA"/>
    </w:rPr>
  </w:style>
  <w:style w:type="character" w:customStyle="1" w:styleId="CharChar7">
    <w:name w:val="Char Char7"/>
    <w:semiHidden/>
    <w:locked/>
    <w:rsid w:val="008E721E"/>
    <w:rPr>
      <w:rFonts w:ascii="Tahoma" w:hAnsi="Tahoma" w:cs="Tahoma"/>
      <w:sz w:val="22"/>
      <w:szCs w:val="22"/>
      <w:lang w:val="de-AT" w:eastAsia="de-DE" w:bidi="ar-SA"/>
    </w:rPr>
  </w:style>
  <w:style w:type="character" w:customStyle="1" w:styleId="CharChar6">
    <w:name w:val="Char Char6"/>
    <w:semiHidden/>
    <w:locked/>
    <w:rsid w:val="008E721E"/>
    <w:rPr>
      <w:rFonts w:ascii="Tahoma" w:hAnsi="Tahoma" w:cs="Tahoma"/>
      <w:sz w:val="16"/>
      <w:szCs w:val="16"/>
      <w:lang w:val="de-AT" w:eastAsia="de-DE" w:bidi="ar-SA"/>
    </w:rPr>
  </w:style>
  <w:style w:type="character" w:customStyle="1" w:styleId="CharChar5">
    <w:name w:val="Char Char5"/>
    <w:semiHidden/>
    <w:locked/>
    <w:rsid w:val="008E721E"/>
    <w:rPr>
      <w:rFonts w:ascii="Tahoma" w:hAnsi="Tahoma" w:cs="Tahoma"/>
      <w:sz w:val="22"/>
      <w:szCs w:val="22"/>
      <w:lang w:val="de-AT" w:eastAsia="de-DE" w:bidi="ar-SA"/>
    </w:rPr>
  </w:style>
  <w:style w:type="character" w:customStyle="1" w:styleId="CharChar4">
    <w:name w:val="Char Char4"/>
    <w:semiHidden/>
    <w:locked/>
    <w:rsid w:val="008E721E"/>
    <w:rPr>
      <w:rFonts w:ascii="Tahoma" w:hAnsi="Tahoma" w:cs="Tahoma"/>
      <w:sz w:val="16"/>
      <w:szCs w:val="16"/>
      <w:lang w:val="de-AT" w:eastAsia="de-DE" w:bidi="ar-SA"/>
    </w:rPr>
  </w:style>
  <w:style w:type="character" w:customStyle="1" w:styleId="CharChar18">
    <w:name w:val="Char Char18"/>
    <w:semiHidden/>
    <w:locked/>
    <w:rsid w:val="008E721E"/>
    <w:rPr>
      <w:rFonts w:ascii="Tahoma" w:hAnsi="Tahoma" w:cs="Tahoma"/>
      <w:sz w:val="22"/>
      <w:szCs w:val="22"/>
      <w:lang w:val="de-AT" w:eastAsia="de-DE" w:bidi="ar-SA"/>
    </w:rPr>
  </w:style>
  <w:style w:type="character" w:customStyle="1" w:styleId="CharChar8">
    <w:name w:val="Char Char8"/>
    <w:locked/>
    <w:rsid w:val="008E721E"/>
    <w:rPr>
      <w:rFonts w:ascii="Tahoma" w:hAnsi="Tahoma" w:cs="Tahoma"/>
      <w:sz w:val="22"/>
      <w:szCs w:val="22"/>
      <w:lang w:val="de-AT" w:eastAsia="de-DE" w:bidi="ar-SA"/>
    </w:rPr>
  </w:style>
  <w:style w:type="character" w:customStyle="1" w:styleId="CharChar2">
    <w:name w:val="Char Char2"/>
    <w:locked/>
    <w:rsid w:val="008E721E"/>
    <w:rPr>
      <w:rFonts w:ascii="Calibri" w:eastAsia="Calibri" w:hAnsi="Calibri" w:cs="Times New Roman"/>
      <w:b/>
      <w:bCs/>
      <w:sz w:val="20"/>
      <w:szCs w:val="20"/>
      <w:lang w:val="sq-AL" w:eastAsia="en-US" w:bidi="ar-SA"/>
    </w:rPr>
  </w:style>
  <w:style w:type="character" w:customStyle="1" w:styleId="CharChar26">
    <w:name w:val="Char Char26"/>
    <w:semiHidden/>
    <w:locked/>
    <w:rsid w:val="008E721E"/>
    <w:rPr>
      <w:rFonts w:ascii="Tahoma" w:hAnsi="Tahoma" w:cs="Tahoma"/>
      <w:sz w:val="16"/>
      <w:szCs w:val="16"/>
      <w:lang w:val="sq-AL" w:eastAsia="en-US" w:bidi="ar-SA"/>
    </w:rPr>
  </w:style>
  <w:style w:type="character" w:customStyle="1" w:styleId="CommentTextChar11">
    <w:name w:val="Comment Text Char11"/>
    <w:aliases w:val="Char Char37"/>
    <w:semiHidden/>
    <w:rsid w:val="008E721E"/>
    <w:rPr>
      <w:rFonts w:ascii="Calibri" w:hAnsi="Calibri" w:hint="default"/>
      <w:lang w:val="sq-AL"/>
    </w:rPr>
  </w:style>
  <w:style w:type="character" w:customStyle="1" w:styleId="NormalIndentChar">
    <w:name w:val="Normal Indent Char"/>
    <w:link w:val="NormalIndent"/>
    <w:rsid w:val="008E721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E721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8E721E"/>
    <w:pPr>
      <w:tabs>
        <w:tab w:val="num" w:pos="360"/>
        <w:tab w:val="num" w:pos="1935"/>
        <w:tab w:val="num" w:pos="2563"/>
        <w:tab w:val="num" w:pos="3474"/>
      </w:tabs>
      <w:ind w:left="1935" w:hanging="360"/>
      <w:outlineLvl w:val="6"/>
    </w:pPr>
  </w:style>
  <w:style w:type="character" w:customStyle="1" w:styleId="AODefHeadChar">
    <w:name w:val="AODefHead Char"/>
    <w:link w:val="AODefHead"/>
    <w:rsid w:val="008E721E"/>
    <w:rPr>
      <w:rFonts w:ascii="Times New Roman" w:eastAsia="Times New Roman" w:hAnsi="Times New Roman" w:cs="Times New Roman"/>
      <w:szCs w:val="20"/>
      <w:lang w:val="sq-AL" w:eastAsia="sq-AL" w:bidi="sq-AL"/>
    </w:rPr>
  </w:style>
  <w:style w:type="paragraph" w:customStyle="1" w:styleId="PARA">
    <w:name w:val="PARA"/>
    <w:basedOn w:val="Normal"/>
    <w:locked/>
    <w:rsid w:val="008E721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8E721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8E721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E721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8E721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E721E"/>
    <w:rPr>
      <w:color w:val="0000FF"/>
      <w:spacing w:val="0"/>
      <w:u w:val="double"/>
    </w:rPr>
  </w:style>
  <w:style w:type="paragraph" w:customStyle="1" w:styleId="dia">
    <w:name w:val="di(a)"/>
    <w:basedOn w:val="Normal"/>
    <w:rsid w:val="008E721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8E721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8E721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8E721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8E721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E72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semiHidden/>
    <w:rsid w:val="008E721E"/>
    <w:rPr>
      <w:rFonts w:cs="Times New Roman"/>
      <w:color w:val="808080"/>
    </w:rPr>
  </w:style>
  <w:style w:type="character" w:customStyle="1" w:styleId="az12">
    <w:name w:val="az12"/>
    <w:uiPriority w:val="99"/>
    <w:rsid w:val="008E721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E721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E721E"/>
    <w:rPr>
      <w:rFonts w:ascii="Calibri" w:eastAsia="Times New Roman" w:hAnsi="Calibri" w:cs="Times New Roman"/>
      <w:sz w:val="24"/>
      <w:szCs w:val="24"/>
      <w:lang w:val="en-GB" w:eastAsia="en-GB"/>
    </w:rPr>
  </w:style>
  <w:style w:type="paragraph" w:customStyle="1" w:styleId="Paragraf02">
    <w:name w:val="Paragraf 0.2"/>
    <w:basedOn w:val="Paragrafi"/>
    <w:qFormat/>
    <w:rsid w:val="008E721E"/>
    <w:pPr>
      <w:tabs>
        <w:tab w:val="left" w:pos="6575"/>
      </w:tabs>
    </w:pPr>
    <w:rPr>
      <w:spacing w:val="-4"/>
    </w:rPr>
  </w:style>
  <w:style w:type="table" w:customStyle="1" w:styleId="TableGrid30">
    <w:name w:val="Table Grid3"/>
    <w:basedOn w:val="TableNormal"/>
    <w:next w:val="TableGrid"/>
    <w:uiPriority w:val="59"/>
    <w:rsid w:val="008E7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E721E"/>
  </w:style>
  <w:style w:type="character" w:styleId="BookTitle">
    <w:name w:val="Book Title"/>
    <w:uiPriority w:val="33"/>
    <w:qFormat/>
    <w:rsid w:val="008E721E"/>
    <w:rPr>
      <w:b/>
      <w:bCs/>
      <w:smallCaps/>
      <w:spacing w:val="5"/>
    </w:rPr>
  </w:style>
  <w:style w:type="paragraph" w:customStyle="1" w:styleId="Cover1">
    <w:name w:val="Cover1"/>
    <w:basedOn w:val="Normal"/>
    <w:next w:val="Normal"/>
    <w:rsid w:val="008E721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8E721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8E721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8E721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8E721E"/>
    <w:rPr>
      <w:rFonts w:ascii="Times New Roman" w:eastAsia="Times New Roman" w:hAnsi="Times New Roman" w:cs="Times New Roman"/>
      <w:szCs w:val="20"/>
      <w:lang w:val="sq-AL"/>
    </w:rPr>
  </w:style>
  <w:style w:type="character" w:customStyle="1" w:styleId="Bodytext0">
    <w:name w:val="Body text_"/>
    <w:link w:val="BodyText1"/>
    <w:rsid w:val="008E721E"/>
    <w:rPr>
      <w:rFonts w:ascii="Times New Roman" w:hAnsi="Times New Roman"/>
      <w:sz w:val="21"/>
      <w:szCs w:val="21"/>
      <w:shd w:val="clear" w:color="auto" w:fill="FFFFFF"/>
    </w:rPr>
  </w:style>
  <w:style w:type="paragraph" w:customStyle="1" w:styleId="BodyText1">
    <w:name w:val="Body Text1"/>
    <w:basedOn w:val="Normal"/>
    <w:link w:val="Bodytext0"/>
    <w:rsid w:val="008E721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8E721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8E721E"/>
    <w:pPr>
      <w:spacing w:after="160" w:line="240" w:lineRule="exact"/>
      <w:ind w:firstLine="0"/>
      <w:jc w:val="left"/>
    </w:pPr>
    <w:rPr>
      <w:rFonts w:ascii="Tahoma" w:eastAsia="MS Mincho" w:hAnsi="Tahoma"/>
      <w:sz w:val="20"/>
      <w:szCs w:val="20"/>
      <w:lang w:val="sq-AL"/>
    </w:rPr>
  </w:style>
  <w:style w:type="paragraph" w:customStyle="1" w:styleId="BodyA">
    <w:name w:val="Body A"/>
    <w:rsid w:val="008E721E"/>
    <w:pPr>
      <w:pBdr>
        <w:top w:val="nil"/>
        <w:left w:val="nil"/>
        <w:bottom w:val="nil"/>
        <w:right w:val="nil"/>
        <w:between w:val="nil"/>
        <w:bar w:val="nil"/>
      </w:pBdr>
      <w:suppressAutoHyphens/>
      <w:spacing w:after="0" w:line="360" w:lineRule="auto"/>
      <w:jc w:val="both"/>
    </w:pPr>
    <w:rPr>
      <w:rFonts w:ascii="Arial" w:eastAsia="Arial Unicode MS" w:hAnsi="Arial Unicode MS" w:cs="Arial Unicode MS"/>
      <w:color w:val="000000"/>
      <w:u w:color="000000"/>
      <w:bdr w:val="nil"/>
    </w:rPr>
  </w:style>
  <w:style w:type="paragraph" w:customStyle="1" w:styleId="Normal2">
    <w:name w:val="Normal2"/>
    <w:rsid w:val="008E721E"/>
    <w:rPr>
      <w:rFonts w:ascii="Calibri" w:eastAsia="Calibri" w:hAnsi="Calibri" w:cs="Calibri"/>
      <w:color w:val="000000"/>
      <w:szCs w:val="20"/>
    </w:rPr>
  </w:style>
  <w:style w:type="paragraph" w:customStyle="1" w:styleId="Placholdertext">
    <w:name w:val="Placholder text"/>
    <w:basedOn w:val="Normal"/>
    <w:rsid w:val="008E721E"/>
    <w:pPr>
      <w:spacing w:after="0" w:line="240" w:lineRule="auto"/>
      <w:ind w:firstLine="0"/>
      <w:jc w:val="left"/>
    </w:pPr>
    <w:rPr>
      <w:rFonts w:ascii="Calibri Light" w:eastAsia="Times New Roman" w:hAnsi="Calibri Light" w:cs="Arial"/>
      <w:szCs w:val="24"/>
      <w:lang w:val="sq-AL"/>
    </w:rPr>
  </w:style>
  <w:style w:type="paragraph" w:customStyle="1" w:styleId="p104ft316">
    <w:name w:val="p104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5">
    <w:name w:val="ft315"/>
    <w:basedOn w:val="DefaultParagraphFont"/>
    <w:rsid w:val="008E721E"/>
  </w:style>
  <w:style w:type="paragraph" w:customStyle="1" w:styleId="p123ft316">
    <w:name w:val="p123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paragraph" w:customStyle="1" w:styleId="p61ft316">
    <w:name w:val="p61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7">
    <w:name w:val="ft317"/>
    <w:basedOn w:val="DefaultParagraphFont"/>
    <w:rsid w:val="008E721E"/>
  </w:style>
  <w:style w:type="paragraph" w:customStyle="1" w:styleId="p7ft9">
    <w:name w:val="p7 ft9"/>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paragraph" w:customStyle="1" w:styleId="p426ft25">
    <w:name w:val="p426 ft25"/>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2">
    <w:name w:val="ft312"/>
    <w:basedOn w:val="DefaultParagraphFont"/>
    <w:rsid w:val="008E721E"/>
  </w:style>
  <w:style w:type="character" w:customStyle="1" w:styleId="ft61">
    <w:name w:val="ft61"/>
    <w:basedOn w:val="DefaultParagraphFont"/>
    <w:rsid w:val="008E721E"/>
  </w:style>
  <w:style w:type="paragraph" w:customStyle="1" w:styleId="p28ft25">
    <w:name w:val="p28 ft25"/>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8">
    <w:name w:val="ft318"/>
    <w:basedOn w:val="DefaultParagraphFont"/>
    <w:rsid w:val="008E721E"/>
  </w:style>
  <w:style w:type="paragraph" w:customStyle="1" w:styleId="p8ft316">
    <w:name w:val="p8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paragraph" w:customStyle="1" w:styleId="p215ft320">
    <w:name w:val="p215 ft320"/>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9">
    <w:name w:val="ft319"/>
    <w:basedOn w:val="DefaultParagraphFont"/>
    <w:rsid w:val="008E721E"/>
  </w:style>
  <w:style w:type="paragraph" w:customStyle="1" w:styleId="p29ft316">
    <w:name w:val="p29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721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8E721E"/>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8E721E"/>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8E721E"/>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8E721E"/>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8E721E"/>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8E721E"/>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8E721E"/>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8E721E"/>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8E721E"/>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8E721E"/>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8E721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8E721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E721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8E721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8E721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8E721E"/>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8E721E"/>
    <w:rPr>
      <w:rFonts w:ascii="Cambria" w:eastAsia="MS Mincho" w:hAnsi="Cambria" w:cs="Cambria"/>
      <w:sz w:val="20"/>
      <w:szCs w:val="20"/>
    </w:rPr>
  </w:style>
  <w:style w:type="character" w:customStyle="1" w:styleId="Heading9Char">
    <w:name w:val="Heading 9 Char"/>
    <w:basedOn w:val="DefaultParagraphFont"/>
    <w:link w:val="Heading9"/>
    <w:rsid w:val="008E721E"/>
    <w:rPr>
      <w:rFonts w:ascii="Cambria" w:eastAsia="MS Mincho" w:hAnsi="Cambria" w:cs="Cambria"/>
      <w:i/>
      <w:iCs/>
      <w:spacing w:val="5"/>
      <w:sz w:val="20"/>
      <w:szCs w:val="20"/>
    </w:rPr>
  </w:style>
  <w:style w:type="paragraph" w:styleId="NoSpacing">
    <w:name w:val="No Spacing"/>
    <w:link w:val="NoSpacingChar"/>
    <w:uiPriority w:val="1"/>
    <w:qFormat/>
    <w:rsid w:val="008E721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E721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8E7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E721E"/>
    <w:rPr>
      <w:rFonts w:ascii="Tahoma" w:eastAsia="Calibri" w:hAnsi="Tahoma" w:cs="Tahoma"/>
      <w:sz w:val="16"/>
      <w:szCs w:val="16"/>
    </w:rPr>
  </w:style>
  <w:style w:type="paragraph" w:styleId="Header">
    <w:name w:val="header"/>
    <w:basedOn w:val="Normal"/>
    <w:link w:val="HeaderChar"/>
    <w:uiPriority w:val="99"/>
    <w:unhideWhenUsed/>
    <w:rsid w:val="008E7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21E"/>
    <w:rPr>
      <w:rFonts w:ascii="Calibri" w:eastAsia="Calibri" w:hAnsi="Calibri" w:cs="Times New Roman"/>
    </w:rPr>
  </w:style>
  <w:style w:type="paragraph" w:styleId="Footer">
    <w:name w:val="footer"/>
    <w:basedOn w:val="Normal"/>
    <w:link w:val="FooterChar"/>
    <w:uiPriority w:val="99"/>
    <w:unhideWhenUsed/>
    <w:rsid w:val="008E7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21E"/>
    <w:rPr>
      <w:rFonts w:ascii="Calibri" w:eastAsia="Calibri" w:hAnsi="Calibri" w:cs="Times New Roman"/>
    </w:rPr>
  </w:style>
  <w:style w:type="paragraph" w:customStyle="1" w:styleId="Akti">
    <w:name w:val="Akti"/>
    <w:link w:val="AktiChar"/>
    <w:rsid w:val="008E721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E721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E721E"/>
    <w:rPr>
      <w:rFonts w:ascii="Garamond" w:eastAsia="MS Mincho" w:hAnsi="Garamond" w:cs="CG Times"/>
      <w:b/>
      <w:bCs/>
      <w:sz w:val="24"/>
      <w:lang w:val="en-GB"/>
    </w:rPr>
  </w:style>
  <w:style w:type="paragraph" w:customStyle="1" w:styleId="Paragrafi">
    <w:name w:val="Paragrafi"/>
    <w:link w:val="ParagrafiChar"/>
    <w:uiPriority w:val="99"/>
    <w:rsid w:val="008E721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8E721E"/>
    <w:rPr>
      <w:rFonts w:ascii="Garamond" w:eastAsia="MS Mincho" w:hAnsi="Garamond" w:cs="CG Times"/>
      <w:sz w:val="24"/>
    </w:rPr>
  </w:style>
  <w:style w:type="paragraph" w:customStyle="1" w:styleId="Titulli">
    <w:name w:val="Titulli"/>
    <w:next w:val="Normal"/>
    <w:link w:val="TitulliChar"/>
    <w:rsid w:val="008E721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E721E"/>
    <w:rPr>
      <w:rFonts w:ascii="Garamond" w:eastAsia="MS Mincho" w:hAnsi="Garamond" w:cs="CG Times"/>
      <w:b/>
      <w:bCs/>
      <w:caps/>
      <w:sz w:val="24"/>
      <w:lang w:val="en-GB"/>
    </w:rPr>
  </w:style>
  <w:style w:type="character" w:customStyle="1" w:styleId="AktiChar">
    <w:name w:val="Akti Char"/>
    <w:basedOn w:val="DefaultParagraphFont"/>
    <w:link w:val="Akti"/>
    <w:rsid w:val="008E721E"/>
    <w:rPr>
      <w:rFonts w:ascii="Garamond" w:eastAsia="MS Mincho" w:hAnsi="Garamond" w:cs="CG Times"/>
      <w:b/>
      <w:bCs/>
      <w:caps/>
      <w:color w:val="000000"/>
      <w:sz w:val="24"/>
      <w:lang w:val="en-GB"/>
    </w:rPr>
  </w:style>
  <w:style w:type="paragraph" w:customStyle="1" w:styleId="NeniNr">
    <w:name w:val="Neni_Nr"/>
    <w:next w:val="Normal"/>
    <w:link w:val="NeniNrChar"/>
    <w:rsid w:val="008E721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E721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E721E"/>
    <w:rPr>
      <w:rFonts w:ascii="Garamond" w:eastAsia="MS Mincho" w:hAnsi="Garamond" w:cs="CG Times"/>
      <w:sz w:val="24"/>
      <w:lang w:val="en-GB"/>
    </w:rPr>
  </w:style>
  <w:style w:type="paragraph" w:customStyle="1" w:styleId="Autoriteti">
    <w:name w:val="Autoriteti"/>
    <w:next w:val="Normal"/>
    <w:link w:val="AutoritetiChar"/>
    <w:rsid w:val="008E721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E721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E721E"/>
    <w:rPr>
      <w:rFonts w:ascii="Garamond" w:eastAsia="MS Mincho" w:hAnsi="Garamond" w:cs="CG Times"/>
      <w:caps/>
      <w:sz w:val="24"/>
      <w:lang w:val="en-GB"/>
    </w:rPr>
  </w:style>
  <w:style w:type="character" w:customStyle="1" w:styleId="AutoritetiEmerChar">
    <w:name w:val="Autoriteti_Emer Char"/>
    <w:link w:val="AutoritetiEmer"/>
    <w:locked/>
    <w:rsid w:val="008E721E"/>
    <w:rPr>
      <w:rFonts w:ascii="Garamond" w:eastAsia="MS Mincho" w:hAnsi="Garamond" w:cs="Times New Roman"/>
      <w:b/>
      <w:bCs/>
      <w:sz w:val="24"/>
      <w:lang w:val="en-GB"/>
    </w:rPr>
  </w:style>
  <w:style w:type="paragraph" w:customStyle="1" w:styleId="Titull-Titull">
    <w:name w:val="Titull-Titull"/>
    <w:basedOn w:val="Paragrafi"/>
    <w:qFormat/>
    <w:rsid w:val="008E721E"/>
    <w:pPr>
      <w:ind w:firstLine="0"/>
      <w:jc w:val="center"/>
    </w:pPr>
    <w:rPr>
      <w:caps/>
      <w:szCs w:val="24"/>
    </w:rPr>
  </w:style>
  <w:style w:type="paragraph" w:customStyle="1" w:styleId="Vendosi">
    <w:name w:val="Vendosi"/>
    <w:basedOn w:val="Titull-Titull"/>
    <w:qFormat/>
    <w:rsid w:val="008E721E"/>
  </w:style>
  <w:style w:type="paragraph" w:customStyle="1" w:styleId="Hapesira7">
    <w:name w:val="Hapesira 7"/>
    <w:basedOn w:val="Paragrafi"/>
    <w:qFormat/>
    <w:rsid w:val="008E721E"/>
    <w:rPr>
      <w:sz w:val="14"/>
      <w:szCs w:val="24"/>
    </w:rPr>
  </w:style>
  <w:style w:type="paragraph" w:styleId="ListParagraph">
    <w:name w:val="List Paragraph"/>
    <w:aliases w:val="List Paragraph2"/>
    <w:basedOn w:val="Normal"/>
    <w:link w:val="ListParagraphChar"/>
    <w:uiPriority w:val="34"/>
    <w:qFormat/>
    <w:rsid w:val="008E721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8E721E"/>
    <w:rPr>
      <w:rFonts w:ascii="Calibri" w:eastAsia="Times New Roman" w:hAnsi="Calibri" w:cs="Times New Roman"/>
    </w:rPr>
  </w:style>
  <w:style w:type="paragraph" w:customStyle="1" w:styleId="Style1">
    <w:name w:val="Style1"/>
    <w:basedOn w:val="Akti"/>
    <w:qFormat/>
    <w:rsid w:val="008E721E"/>
    <w:rPr>
      <w:rFonts w:ascii="CG Times" w:hAnsi="CG Times"/>
      <w:sz w:val="21"/>
    </w:rPr>
  </w:style>
  <w:style w:type="character" w:customStyle="1" w:styleId="Heading2Char1">
    <w:name w:val="Heading 2 Char1"/>
    <w:link w:val="Heading2"/>
    <w:uiPriority w:val="9"/>
    <w:locked/>
    <w:rsid w:val="008E721E"/>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8E721E"/>
    <w:rPr>
      <w:rFonts w:ascii="Cambria" w:eastAsia="MS Mincho" w:hAnsi="Cambria" w:cs="Cambria"/>
      <w:b/>
      <w:bCs/>
      <w:sz w:val="24"/>
      <w:szCs w:val="24"/>
    </w:rPr>
  </w:style>
  <w:style w:type="paragraph" w:customStyle="1" w:styleId="ADDRESS">
    <w:name w:val="ADDRESS"/>
    <w:basedOn w:val="Normal"/>
    <w:rsid w:val="008E721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8E721E"/>
    <w:pPr>
      <w:spacing w:after="0" w:line="240" w:lineRule="auto"/>
      <w:jc w:val="both"/>
    </w:pPr>
    <w:rPr>
      <w:rFonts w:ascii="CG Times" w:eastAsia="MS Mincho" w:hAnsi="CG Times" w:cs="CG Times"/>
      <w:sz w:val="21"/>
      <w:lang w:val="en-GB"/>
    </w:rPr>
  </w:style>
  <w:style w:type="paragraph" w:customStyle="1" w:styleId="AneksiNr">
    <w:name w:val="Aneksi_Nr"/>
    <w:next w:val="Normal"/>
    <w:rsid w:val="008E721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E721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8E721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E721E"/>
    <w:rPr>
      <w:rFonts w:ascii="Arial" w:eastAsia="Times New Roman" w:hAnsi="Arial" w:cs="Arial"/>
      <w:color w:val="000000"/>
      <w:sz w:val="24"/>
      <w:szCs w:val="24"/>
    </w:rPr>
  </w:style>
  <w:style w:type="paragraph" w:customStyle="1" w:styleId="BazLigjPropozues">
    <w:name w:val="Baz_Ligj_Propozues"/>
    <w:rsid w:val="008E721E"/>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8E721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8E721E"/>
    <w:rPr>
      <w:rFonts w:ascii="Times New Roman" w:eastAsia="Times New Roman" w:hAnsi="Times New Roman" w:cs="Times New Roman"/>
      <w:caps/>
      <w:sz w:val="26"/>
      <w:szCs w:val="26"/>
      <w:lang w:val="en-GB"/>
    </w:rPr>
  </w:style>
  <w:style w:type="character" w:customStyle="1" w:styleId="apple-converted-space">
    <w:name w:val="apple-converted-space"/>
    <w:rsid w:val="008E721E"/>
  </w:style>
  <w:style w:type="character" w:styleId="Hyperlink">
    <w:name w:val="Hyperlink"/>
    <w:uiPriority w:val="99"/>
    <w:unhideWhenUsed/>
    <w:rsid w:val="008E721E"/>
    <w:rPr>
      <w:color w:val="0000FF"/>
      <w:u w:val="single"/>
    </w:rPr>
  </w:style>
  <w:style w:type="character" w:styleId="FollowedHyperlink">
    <w:name w:val="FollowedHyperlink"/>
    <w:unhideWhenUsed/>
    <w:rsid w:val="008E721E"/>
    <w:rPr>
      <w:color w:val="800080"/>
      <w:u w:val="single"/>
    </w:rPr>
  </w:style>
  <w:style w:type="paragraph" w:customStyle="1" w:styleId="font5">
    <w:name w:val="font5"/>
    <w:basedOn w:val="Normal"/>
    <w:rsid w:val="008E721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E721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E721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E721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E721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8E721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E721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E721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E721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E721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E721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8E721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E721E"/>
    <w:pPr>
      <w:pageBreakBefore/>
      <w:spacing w:after="0" w:line="240" w:lineRule="auto"/>
      <w:jc w:val="both"/>
    </w:pPr>
    <w:rPr>
      <w:rFonts w:ascii="CG Times" w:eastAsia="MS Mincho" w:hAnsi="CG Times" w:cs="CG Times"/>
      <w:b/>
      <w:bCs/>
      <w:sz w:val="21"/>
    </w:rPr>
  </w:style>
  <w:style w:type="paragraph" w:customStyle="1" w:styleId="KapitulliNr">
    <w:name w:val="Kapitulli_Nr"/>
    <w:rsid w:val="008E721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E721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E721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E721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E721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E721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E721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E721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E721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E721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E721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E721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8E721E"/>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E721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E721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E721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E721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E721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E721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E721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E721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E721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E721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8E721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E721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8E721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E721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E721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E721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8E721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E721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E721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E721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E721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E721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8E721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E721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E721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E721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E721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E721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E721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E721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8E721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8E721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E721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E721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E721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E7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E721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E721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E721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E7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E7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E7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E7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E721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8E721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E7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8E721E"/>
    <w:rPr>
      <w:b/>
      <w:bCs/>
    </w:rPr>
  </w:style>
  <w:style w:type="paragraph" w:customStyle="1" w:styleId="xl136">
    <w:name w:val="xl136"/>
    <w:basedOn w:val="Normal"/>
    <w:rsid w:val="008E7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E7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E721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E721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E7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E721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E721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E7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E7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E721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E7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E721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8E7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8E72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8E721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8E721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8E7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8E7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8E721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8E721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8E72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8E721E"/>
  </w:style>
  <w:style w:type="paragraph" w:styleId="Title">
    <w:name w:val="Title"/>
    <w:basedOn w:val="Heading1"/>
    <w:next w:val="Normal"/>
    <w:link w:val="TitleChar"/>
    <w:qFormat/>
    <w:rsid w:val="008E721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8E721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8E721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8E721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8E721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8E721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8E721E"/>
    <w:pPr>
      <w:spacing w:after="100"/>
      <w:ind w:left="660" w:firstLine="0"/>
      <w:jc w:val="left"/>
    </w:pPr>
    <w:rPr>
      <w:rFonts w:eastAsia="Times New Roman"/>
    </w:rPr>
  </w:style>
  <w:style w:type="paragraph" w:styleId="TOC5">
    <w:name w:val="toc 5"/>
    <w:basedOn w:val="Normal"/>
    <w:next w:val="Normal"/>
    <w:autoRedefine/>
    <w:unhideWhenUsed/>
    <w:rsid w:val="008E721E"/>
    <w:pPr>
      <w:spacing w:after="100"/>
      <w:ind w:left="880" w:firstLine="0"/>
      <w:jc w:val="left"/>
    </w:pPr>
    <w:rPr>
      <w:rFonts w:eastAsia="Times New Roman"/>
    </w:rPr>
  </w:style>
  <w:style w:type="paragraph" w:styleId="TOC6">
    <w:name w:val="toc 6"/>
    <w:basedOn w:val="Normal"/>
    <w:next w:val="Normal"/>
    <w:autoRedefine/>
    <w:unhideWhenUsed/>
    <w:rsid w:val="008E721E"/>
    <w:pPr>
      <w:spacing w:after="100"/>
      <w:ind w:left="1100" w:firstLine="0"/>
      <w:jc w:val="left"/>
    </w:pPr>
    <w:rPr>
      <w:rFonts w:eastAsia="Times New Roman"/>
    </w:rPr>
  </w:style>
  <w:style w:type="paragraph" w:styleId="TOC7">
    <w:name w:val="toc 7"/>
    <w:basedOn w:val="Normal"/>
    <w:next w:val="Normal"/>
    <w:autoRedefine/>
    <w:unhideWhenUsed/>
    <w:rsid w:val="008E721E"/>
    <w:pPr>
      <w:spacing w:after="100"/>
      <w:ind w:left="1320" w:firstLine="0"/>
      <w:jc w:val="left"/>
    </w:pPr>
    <w:rPr>
      <w:rFonts w:eastAsia="Times New Roman"/>
    </w:rPr>
  </w:style>
  <w:style w:type="paragraph" w:styleId="TOC8">
    <w:name w:val="toc 8"/>
    <w:basedOn w:val="Normal"/>
    <w:next w:val="Normal"/>
    <w:autoRedefine/>
    <w:unhideWhenUsed/>
    <w:rsid w:val="008E721E"/>
    <w:pPr>
      <w:spacing w:after="100"/>
      <w:ind w:left="1540" w:firstLine="0"/>
      <w:jc w:val="left"/>
    </w:pPr>
    <w:rPr>
      <w:rFonts w:eastAsia="Times New Roman"/>
    </w:rPr>
  </w:style>
  <w:style w:type="paragraph" w:styleId="TOC9">
    <w:name w:val="toc 9"/>
    <w:basedOn w:val="Normal"/>
    <w:next w:val="Normal"/>
    <w:autoRedefine/>
    <w:unhideWhenUsed/>
    <w:rsid w:val="008E721E"/>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8E721E"/>
    <w:pPr>
      <w:spacing w:after="120"/>
      <w:ind w:left="360"/>
    </w:pPr>
  </w:style>
  <w:style w:type="character" w:customStyle="1" w:styleId="BodyTextIndentChar">
    <w:name w:val="Body Text Indent Char"/>
    <w:basedOn w:val="DefaultParagraphFont"/>
    <w:link w:val="BodyTextIndent"/>
    <w:uiPriority w:val="99"/>
    <w:rsid w:val="008E721E"/>
    <w:rPr>
      <w:rFonts w:ascii="Calibri" w:eastAsia="Calibri" w:hAnsi="Calibri" w:cs="Times New Roman"/>
    </w:rPr>
  </w:style>
  <w:style w:type="paragraph" w:customStyle="1" w:styleId="numridata0">
    <w:name w:val="numridata"/>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8E721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8E721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E721E"/>
    <w:rPr>
      <w:rFonts w:ascii="Times New Roman" w:eastAsia="Times New Roman" w:hAnsi="Times New Roman" w:cs="Times New Roman"/>
      <w:sz w:val="16"/>
      <w:szCs w:val="16"/>
    </w:rPr>
  </w:style>
  <w:style w:type="paragraph" w:customStyle="1" w:styleId="s32b251d">
    <w:name w:val="s32b251d"/>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8E721E"/>
  </w:style>
  <w:style w:type="paragraph" w:customStyle="1" w:styleId="s30eec3f8">
    <w:name w:val="s30eec3f8"/>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8E721E"/>
    <w:rPr>
      <w:sz w:val="24"/>
      <w:lang w:val="en-GB" w:eastAsia="fr-FR"/>
    </w:rPr>
  </w:style>
  <w:style w:type="paragraph" w:customStyle="1" w:styleId="JuPara">
    <w:name w:val="Ju_Para"/>
    <w:basedOn w:val="Normal"/>
    <w:link w:val="JuParaCar"/>
    <w:rsid w:val="008E721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8E721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8E721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E721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E721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8E721E"/>
    <w:rPr>
      <w:vertAlign w:val="superscript"/>
    </w:rPr>
  </w:style>
  <w:style w:type="paragraph" w:customStyle="1" w:styleId="ju-005fpara">
    <w:name w:val="ju-005fpara"/>
    <w:basedOn w:val="Normal"/>
    <w:rsid w:val="008E721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8E721E"/>
  </w:style>
  <w:style w:type="character" w:customStyle="1" w:styleId="s7d2086b4">
    <w:name w:val="s7d2086b4"/>
    <w:basedOn w:val="DefaultParagraphFont"/>
    <w:uiPriority w:val="99"/>
    <w:rsid w:val="008E721E"/>
  </w:style>
  <w:style w:type="character" w:customStyle="1" w:styleId="hps">
    <w:name w:val="hps"/>
    <w:basedOn w:val="DefaultParagraphFont"/>
    <w:rsid w:val="008E721E"/>
  </w:style>
  <w:style w:type="paragraph" w:customStyle="1" w:styleId="paragrafi0">
    <w:name w:val="paragraf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8E721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8E721E"/>
    <w:rPr>
      <w:rFonts w:cs="Times New Roman"/>
    </w:rPr>
  </w:style>
  <w:style w:type="paragraph" w:customStyle="1" w:styleId="titulli0">
    <w:name w:val="titull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8E721E"/>
  </w:style>
  <w:style w:type="paragraph" w:customStyle="1" w:styleId="akti0">
    <w:name w:val="akt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8E721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8E721E"/>
  </w:style>
  <w:style w:type="paragraph" w:customStyle="1" w:styleId="CM49">
    <w:name w:val="CM49"/>
    <w:basedOn w:val="Normal"/>
    <w:next w:val="Normal"/>
    <w:rsid w:val="008E721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8E721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8E721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8E721E"/>
    <w:pPr>
      <w:widowControl w:val="0"/>
    </w:pPr>
    <w:rPr>
      <w:rFonts w:ascii="Helvetica" w:eastAsia="Times New Roman" w:hAnsi="Helvetica" w:cs="Helvetica"/>
      <w:lang w:val="sq-AL"/>
    </w:rPr>
  </w:style>
  <w:style w:type="paragraph" w:customStyle="1" w:styleId="CM57">
    <w:name w:val="CM57"/>
    <w:basedOn w:val="Normal"/>
    <w:next w:val="Normal"/>
    <w:rsid w:val="008E721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8E721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8E721E"/>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E72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E721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E721E"/>
  </w:style>
  <w:style w:type="character" w:customStyle="1" w:styleId="StyleHeading6BoldChar">
    <w:name w:val="Style Heading 6 + Bold Char"/>
    <w:link w:val="StyleHeading6Bold"/>
    <w:rsid w:val="008E721E"/>
    <w:rPr>
      <w:rFonts w:ascii="Cambria" w:eastAsia="MS Mincho" w:hAnsi="Cambria" w:cs="Cambria"/>
      <w:b/>
      <w:bCs/>
      <w:i/>
      <w:iCs/>
      <w:color w:val="7F7F7F"/>
      <w:sz w:val="24"/>
      <w:szCs w:val="24"/>
    </w:rPr>
  </w:style>
  <w:style w:type="paragraph" w:customStyle="1" w:styleId="tableheaders">
    <w:name w:val="table headers"/>
    <w:rsid w:val="008E721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E721E"/>
    <w:rPr>
      <w:b w:val="0"/>
    </w:rPr>
  </w:style>
  <w:style w:type="paragraph" w:styleId="PlainText">
    <w:name w:val="Plain Text"/>
    <w:basedOn w:val="Normal"/>
    <w:link w:val="PlainTextChar"/>
    <w:uiPriority w:val="99"/>
    <w:unhideWhenUsed/>
    <w:rsid w:val="008E721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8E721E"/>
    <w:rPr>
      <w:rFonts w:ascii="Consolas" w:eastAsia="Calibri" w:hAnsi="Consolas" w:cs="Times New Roman"/>
      <w:sz w:val="21"/>
      <w:szCs w:val="21"/>
      <w:lang w:val="sq-AL"/>
    </w:rPr>
  </w:style>
  <w:style w:type="paragraph" w:customStyle="1" w:styleId="StyleStyle1Bold">
    <w:name w:val="Style Style1 + Bold"/>
    <w:basedOn w:val="Style1"/>
    <w:rsid w:val="008E721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8E721E"/>
    <w:rPr>
      <w:rFonts w:ascii="EUAlbertina" w:hAnsi="EUAlbertina"/>
      <w:color w:val="auto"/>
    </w:rPr>
  </w:style>
  <w:style w:type="paragraph" w:customStyle="1" w:styleId="CM4">
    <w:name w:val="CM4"/>
    <w:basedOn w:val="Normal"/>
    <w:next w:val="Normal"/>
    <w:rsid w:val="008E721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8E721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8E721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8E721E"/>
    <w:rPr>
      <w:rFonts w:ascii="Tahoma" w:eastAsia="Times New Roman" w:hAnsi="Tahoma" w:cs="Times New Roman"/>
      <w:sz w:val="16"/>
      <w:szCs w:val="16"/>
      <w:lang w:val="sq-AL"/>
    </w:rPr>
  </w:style>
  <w:style w:type="numbering" w:customStyle="1" w:styleId="NoList3">
    <w:name w:val="No List3"/>
    <w:next w:val="NoList"/>
    <w:semiHidden/>
    <w:rsid w:val="008E721E"/>
  </w:style>
  <w:style w:type="numbering" w:customStyle="1" w:styleId="NoList4">
    <w:name w:val="No List4"/>
    <w:next w:val="NoList"/>
    <w:semiHidden/>
    <w:rsid w:val="008E721E"/>
  </w:style>
  <w:style w:type="paragraph" w:customStyle="1" w:styleId="Point1">
    <w:name w:val="Point 1"/>
    <w:basedOn w:val="Normal"/>
    <w:link w:val="Point1Char"/>
    <w:rsid w:val="008E721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8E721E"/>
    <w:rPr>
      <w:rFonts w:ascii="Calibri" w:eastAsia="Times New Roman" w:hAnsi="Calibri" w:cs="Times New Roman"/>
      <w:sz w:val="24"/>
      <w:szCs w:val="24"/>
      <w:lang w:val="en-GB" w:eastAsia="en-GB"/>
    </w:rPr>
  </w:style>
  <w:style w:type="character" w:customStyle="1" w:styleId="longtext">
    <w:name w:val="long_text"/>
    <w:rsid w:val="008E721E"/>
    <w:rPr>
      <w:rFonts w:ascii="Comic Sans MS" w:hAnsi="Comic Sans MS"/>
      <w:b/>
      <w:sz w:val="96"/>
      <w:szCs w:val="24"/>
      <w:lang w:val="pl-PL" w:eastAsia="pl-PL" w:bidi="ar-SA"/>
    </w:rPr>
  </w:style>
  <w:style w:type="paragraph" w:customStyle="1" w:styleId="Text1">
    <w:name w:val="Text 1"/>
    <w:basedOn w:val="Normal"/>
    <w:link w:val="Text1Char"/>
    <w:rsid w:val="008E721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8E721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8E721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8E721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8E721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8E721E"/>
  </w:style>
  <w:style w:type="character" w:customStyle="1" w:styleId="SectionTitleCharCharChar">
    <w:name w:val="SectionTitle Char Char Char"/>
    <w:link w:val="SectionTitleCharChar"/>
    <w:rsid w:val="008E721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E721E"/>
    <w:rPr>
      <w:rFonts w:ascii="Calibri" w:eastAsia="Times New Roman" w:hAnsi="Calibri" w:cs="Times New Roman"/>
      <w:b/>
      <w:bCs/>
      <w:smallCaps/>
      <w:sz w:val="28"/>
      <w:szCs w:val="28"/>
      <w:lang w:val="en-GB" w:eastAsia="en-GB"/>
    </w:rPr>
  </w:style>
  <w:style w:type="character" w:customStyle="1" w:styleId="Text1Char">
    <w:name w:val="Text 1 Char"/>
    <w:link w:val="Text1"/>
    <w:rsid w:val="008E721E"/>
    <w:rPr>
      <w:rFonts w:ascii="Calibri" w:eastAsia="Times New Roman" w:hAnsi="Calibri" w:cs="Times New Roman"/>
      <w:sz w:val="24"/>
      <w:szCs w:val="24"/>
      <w:lang w:val="en-GB" w:eastAsia="en-GB"/>
    </w:rPr>
  </w:style>
  <w:style w:type="character" w:customStyle="1" w:styleId="Point1CharChar">
    <w:name w:val="Point 1 Char Char"/>
    <w:rsid w:val="008E721E"/>
    <w:rPr>
      <w:sz w:val="24"/>
      <w:szCs w:val="24"/>
      <w:lang w:val="en-GB" w:eastAsia="en-GB" w:bidi="ar-SA"/>
    </w:rPr>
  </w:style>
  <w:style w:type="paragraph" w:customStyle="1" w:styleId="Point0">
    <w:name w:val="Point 0"/>
    <w:basedOn w:val="Normal"/>
    <w:rsid w:val="008E721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8E721E"/>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8E721E"/>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8E721E"/>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8E721E"/>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8E721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8E721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8E721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E721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8E721E"/>
    <w:rPr>
      <w:rFonts w:ascii="CG Times" w:hAnsi="CG Times"/>
      <w:sz w:val="22"/>
      <w:lang w:val="en-US" w:eastAsia="en-US" w:bidi="ar-SA"/>
    </w:rPr>
  </w:style>
  <w:style w:type="paragraph" w:customStyle="1" w:styleId="SectionTitle">
    <w:name w:val="SectionTitle"/>
    <w:basedOn w:val="Normal"/>
    <w:next w:val="Heading1"/>
    <w:rsid w:val="008E721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8E721E"/>
  </w:style>
  <w:style w:type="paragraph" w:styleId="TableofFigures">
    <w:name w:val="table of figures"/>
    <w:basedOn w:val="Normal"/>
    <w:next w:val="Normal"/>
    <w:rsid w:val="008E721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8E721E"/>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8E721E"/>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8E721E"/>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8E721E"/>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8E721E"/>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8E721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8E721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8E721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8E721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8E721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8E721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8E721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8E721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8E721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8E721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8E721E"/>
    <w:pPr>
      <w:spacing w:after="0" w:line="360" w:lineRule="auto"/>
      <w:ind w:firstLine="0"/>
      <w:jc w:val="left"/>
    </w:pPr>
    <w:rPr>
      <w:rFonts w:ascii="Tahoma" w:eastAsia="Times New Roman" w:hAnsi="Tahoma"/>
      <w:lang w:val="de-AT" w:eastAsia="de-DE"/>
    </w:rPr>
  </w:style>
  <w:style w:type="paragraph" w:styleId="List">
    <w:name w:val="List"/>
    <w:basedOn w:val="Normal"/>
    <w:rsid w:val="008E721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8E721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8E721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8E721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8E721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8E721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8E721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8E721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8E721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8E721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8E721E"/>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8E721E"/>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8E721E"/>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8E721E"/>
    <w:rPr>
      <w:sz w:val="16"/>
      <w:szCs w:val="16"/>
    </w:rPr>
  </w:style>
  <w:style w:type="paragraph" w:styleId="CommentText">
    <w:name w:val="annotation text"/>
    <w:aliases w:val=" Char"/>
    <w:basedOn w:val="Normal"/>
    <w:link w:val="CommentTextChar"/>
    <w:unhideWhenUsed/>
    <w:rsid w:val="008E721E"/>
    <w:rPr>
      <w:rFonts w:eastAsia="MS Mincho"/>
      <w:sz w:val="20"/>
      <w:szCs w:val="20"/>
      <w:lang w:val="sq-AL"/>
    </w:rPr>
  </w:style>
  <w:style w:type="character" w:customStyle="1" w:styleId="CommentTextChar">
    <w:name w:val="Comment Text Char"/>
    <w:aliases w:val=" Char Char1"/>
    <w:basedOn w:val="DefaultParagraphFont"/>
    <w:link w:val="CommentText"/>
    <w:rsid w:val="008E721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8E721E"/>
    <w:rPr>
      <w:b/>
      <w:bCs/>
    </w:rPr>
  </w:style>
  <w:style w:type="character" w:customStyle="1" w:styleId="CommentSubjectChar">
    <w:name w:val="Comment Subject Char"/>
    <w:basedOn w:val="CommentTextChar"/>
    <w:link w:val="CommentSubject"/>
    <w:rsid w:val="008E721E"/>
    <w:rPr>
      <w:rFonts w:ascii="Calibri" w:eastAsia="MS Mincho" w:hAnsi="Calibri" w:cs="Times New Roman"/>
      <w:b/>
      <w:bCs/>
      <w:sz w:val="20"/>
      <w:szCs w:val="20"/>
      <w:lang w:val="sq-AL"/>
    </w:rPr>
  </w:style>
  <w:style w:type="paragraph" w:styleId="ListNumber4">
    <w:name w:val="List Number 4"/>
    <w:basedOn w:val="Normal"/>
    <w:rsid w:val="008E721E"/>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8E721E"/>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8E721E"/>
  </w:style>
  <w:style w:type="paragraph" w:styleId="MacroText">
    <w:name w:val="macro"/>
    <w:link w:val="MacroTextChar"/>
    <w:semiHidden/>
    <w:rsid w:val="008E721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E721E"/>
    <w:rPr>
      <w:rFonts w:ascii="Courier New" w:eastAsia="Times New Roman" w:hAnsi="Courier New" w:cs="Times New Roman"/>
      <w:lang w:val="de-DE" w:eastAsia="de-DE"/>
    </w:rPr>
  </w:style>
  <w:style w:type="paragraph" w:styleId="NormalIndent">
    <w:name w:val="Normal Indent"/>
    <w:basedOn w:val="Normal"/>
    <w:link w:val="NormalIndentChar"/>
    <w:rsid w:val="008E721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8E721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8E721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8E721E"/>
    <w:rPr>
      <w:rFonts w:ascii="Tahoma" w:hAnsi="Tahoma"/>
      <w:sz w:val="22"/>
    </w:rPr>
  </w:style>
  <w:style w:type="paragraph" w:styleId="BlockText">
    <w:name w:val="Block Text"/>
    <w:basedOn w:val="Normal"/>
    <w:rsid w:val="008E721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8E721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8E721E"/>
    <w:rPr>
      <w:rFonts w:ascii="Tahoma" w:eastAsia="Times New Roman" w:hAnsi="Tahoma" w:cs="Times New Roman"/>
      <w:lang w:val="de-AT" w:eastAsia="de-DE"/>
    </w:rPr>
  </w:style>
  <w:style w:type="character" w:customStyle="1" w:styleId="Emphasis1">
    <w:name w:val="Emphasis1"/>
    <w:semiHidden/>
    <w:rsid w:val="008E721E"/>
  </w:style>
  <w:style w:type="paragraph" w:styleId="NoteHeading">
    <w:name w:val="Note Heading"/>
    <w:basedOn w:val="Normal"/>
    <w:next w:val="Normal"/>
    <w:link w:val="NoteHeadingChar"/>
    <w:rsid w:val="008E721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8E721E"/>
    <w:rPr>
      <w:rFonts w:ascii="Tahoma" w:eastAsia="Times New Roman" w:hAnsi="Tahoma" w:cs="Times New Roman"/>
      <w:lang w:val="de-AT" w:eastAsia="de-DE"/>
    </w:rPr>
  </w:style>
  <w:style w:type="paragraph" w:styleId="MessageHeader">
    <w:name w:val="Message Header"/>
    <w:basedOn w:val="Normal"/>
    <w:link w:val="MessageHeaderChar"/>
    <w:semiHidden/>
    <w:rsid w:val="008E721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8E721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E721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8E721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8E721E"/>
    <w:rPr>
      <w:rFonts w:ascii="Tahoma" w:eastAsia="Times New Roman" w:hAnsi="Tahoma" w:cs="Times New Roman"/>
      <w:sz w:val="20"/>
      <w:szCs w:val="20"/>
    </w:rPr>
  </w:style>
  <w:style w:type="character" w:styleId="EndnoteReference">
    <w:name w:val="endnote reference"/>
    <w:semiHidden/>
    <w:unhideWhenUsed/>
    <w:rsid w:val="008E721E"/>
    <w:rPr>
      <w:vertAlign w:val="superscript"/>
    </w:rPr>
  </w:style>
  <w:style w:type="paragraph" w:styleId="BodyTextFirstIndent2">
    <w:name w:val="Body Text First Indent 2"/>
    <w:basedOn w:val="BodyTextIndent"/>
    <w:link w:val="BodyTextFirstIndent2Char"/>
    <w:semiHidden/>
    <w:rsid w:val="008E721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E721E"/>
    <w:rPr>
      <w:rFonts w:ascii="Tahoma" w:eastAsia="Times New Roman" w:hAnsi="Tahoma" w:cs="Times New Roman"/>
      <w:lang w:val="de-AT" w:eastAsia="de-DE"/>
    </w:rPr>
  </w:style>
  <w:style w:type="numbering" w:styleId="111111">
    <w:name w:val="Outline List 2"/>
    <w:basedOn w:val="NoList"/>
    <w:semiHidden/>
    <w:rsid w:val="008E721E"/>
    <w:pPr>
      <w:numPr>
        <w:numId w:val="14"/>
      </w:numPr>
    </w:pPr>
  </w:style>
  <w:style w:type="paragraph" w:customStyle="1" w:styleId="Zusatz2">
    <w:name w:val="Zusatz 2"/>
    <w:basedOn w:val="Normal"/>
    <w:next w:val="Normal"/>
    <w:semiHidden/>
    <w:rsid w:val="008E721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8E721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8E721E"/>
    <w:pPr>
      <w:numPr>
        <w:numId w:val="15"/>
      </w:numPr>
    </w:pPr>
  </w:style>
  <w:style w:type="paragraph" w:styleId="Salutation">
    <w:name w:val="Salutation"/>
    <w:basedOn w:val="Normal"/>
    <w:next w:val="Normal"/>
    <w:link w:val="SalutationChar"/>
    <w:semiHidden/>
    <w:rsid w:val="008E721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8E721E"/>
    <w:rPr>
      <w:rFonts w:ascii="Tahoma" w:eastAsia="Times New Roman" w:hAnsi="Tahoma" w:cs="Times New Roman"/>
      <w:lang w:val="de-AT" w:eastAsia="de-DE"/>
    </w:rPr>
  </w:style>
  <w:style w:type="numbering" w:styleId="ArticleSection">
    <w:name w:val="Outline List 3"/>
    <w:basedOn w:val="NoList"/>
    <w:semiHidden/>
    <w:rsid w:val="008E721E"/>
    <w:pPr>
      <w:numPr>
        <w:numId w:val="16"/>
      </w:numPr>
    </w:pPr>
  </w:style>
  <w:style w:type="paragraph" w:styleId="Closing">
    <w:name w:val="Closing"/>
    <w:basedOn w:val="Normal"/>
    <w:link w:val="ClosingChar"/>
    <w:semiHidden/>
    <w:rsid w:val="008E721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8E721E"/>
    <w:rPr>
      <w:rFonts w:ascii="Tahoma" w:eastAsia="Times New Roman" w:hAnsi="Tahoma" w:cs="Times New Roman"/>
      <w:lang w:val="de-AT" w:eastAsia="de-DE"/>
    </w:rPr>
  </w:style>
  <w:style w:type="character" w:styleId="Emphasis">
    <w:name w:val="Emphasis"/>
    <w:uiPriority w:val="20"/>
    <w:qFormat/>
    <w:rsid w:val="008E721E"/>
    <w:rPr>
      <w:i/>
      <w:iCs/>
    </w:rPr>
  </w:style>
  <w:style w:type="paragraph" w:styleId="HTMLAddress">
    <w:name w:val="HTML Address"/>
    <w:basedOn w:val="Normal"/>
    <w:link w:val="HTMLAddressChar"/>
    <w:semiHidden/>
    <w:rsid w:val="008E721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E721E"/>
    <w:rPr>
      <w:rFonts w:ascii="Tahoma" w:eastAsia="Times New Roman" w:hAnsi="Tahoma" w:cs="Times New Roman"/>
      <w:i/>
      <w:iCs/>
      <w:lang w:val="de-AT" w:eastAsia="de-DE"/>
    </w:rPr>
  </w:style>
  <w:style w:type="character" w:styleId="HTMLAcronym">
    <w:name w:val="HTML Acronym"/>
    <w:semiHidden/>
    <w:rsid w:val="008E721E"/>
  </w:style>
  <w:style w:type="character" w:styleId="HTMLSample">
    <w:name w:val="HTML Sample"/>
    <w:semiHidden/>
    <w:rsid w:val="008E721E"/>
    <w:rPr>
      <w:rFonts w:ascii="Courier New" w:hAnsi="Courier New" w:cs="Courier New"/>
    </w:rPr>
  </w:style>
  <w:style w:type="character" w:styleId="HTMLCode">
    <w:name w:val="HTML Code"/>
    <w:semiHidden/>
    <w:rsid w:val="008E721E"/>
    <w:rPr>
      <w:rFonts w:ascii="Courier New" w:hAnsi="Courier New" w:cs="Courier New"/>
      <w:sz w:val="20"/>
      <w:szCs w:val="20"/>
    </w:rPr>
  </w:style>
  <w:style w:type="character" w:styleId="HTMLDefinition">
    <w:name w:val="HTML Definition"/>
    <w:semiHidden/>
    <w:rsid w:val="008E721E"/>
    <w:rPr>
      <w:i/>
      <w:iCs/>
    </w:rPr>
  </w:style>
  <w:style w:type="character" w:styleId="HTMLTypewriter">
    <w:name w:val="HTML Typewriter"/>
    <w:semiHidden/>
    <w:rsid w:val="008E721E"/>
    <w:rPr>
      <w:rFonts w:ascii="Courier New" w:hAnsi="Courier New" w:cs="Courier New"/>
      <w:sz w:val="20"/>
      <w:szCs w:val="20"/>
    </w:rPr>
  </w:style>
  <w:style w:type="character" w:styleId="HTMLKeyboard">
    <w:name w:val="HTML Keyboard"/>
    <w:semiHidden/>
    <w:rsid w:val="008E721E"/>
    <w:rPr>
      <w:rFonts w:ascii="Courier New" w:hAnsi="Courier New" w:cs="Courier New"/>
      <w:sz w:val="20"/>
      <w:szCs w:val="20"/>
    </w:rPr>
  </w:style>
  <w:style w:type="character" w:styleId="HTMLVariable">
    <w:name w:val="HTML Variable"/>
    <w:semiHidden/>
    <w:rsid w:val="008E721E"/>
    <w:rPr>
      <w:i/>
      <w:iCs/>
    </w:rPr>
  </w:style>
  <w:style w:type="paragraph" w:styleId="HTMLPreformatted">
    <w:name w:val="HTML Preformatted"/>
    <w:basedOn w:val="Normal"/>
    <w:link w:val="HTMLPreformattedChar"/>
    <w:semiHidden/>
    <w:rsid w:val="008E721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8E721E"/>
    <w:rPr>
      <w:rFonts w:ascii="Courier New" w:eastAsia="Times New Roman" w:hAnsi="Courier New" w:cs="Times New Roman"/>
      <w:sz w:val="20"/>
      <w:lang w:val="de-AT" w:eastAsia="de-DE"/>
    </w:rPr>
  </w:style>
  <w:style w:type="character" w:styleId="HTMLCite">
    <w:name w:val="HTML Cite"/>
    <w:semiHidden/>
    <w:rsid w:val="008E721E"/>
    <w:rPr>
      <w:i/>
      <w:iCs/>
    </w:rPr>
  </w:style>
  <w:style w:type="table" w:styleId="Table3Deffects1">
    <w:name w:val="Table 3D effects 1"/>
    <w:basedOn w:val="TableNormal"/>
    <w:semiHidden/>
    <w:rsid w:val="008E721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E721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E721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E721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E721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E721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E721E"/>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E721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E721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E721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E721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E721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E721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E721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E721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E721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E721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E721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E721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E721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E721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E721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E721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E721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8E721E"/>
    <w:rPr>
      <w:rFonts w:ascii="Tahoma" w:eastAsia="Times New Roman" w:hAnsi="Tahoma" w:cs="Times New Roman"/>
      <w:lang w:val="de-AT" w:eastAsia="de-DE"/>
    </w:rPr>
  </w:style>
  <w:style w:type="paragraph" w:styleId="E-mailSignature">
    <w:name w:val="E-mail Signature"/>
    <w:basedOn w:val="Normal"/>
    <w:link w:val="E-mailSignatureChar"/>
    <w:rsid w:val="008E721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8E721E"/>
    <w:rPr>
      <w:rFonts w:ascii="Tahoma" w:eastAsia="Times New Roman" w:hAnsi="Tahoma" w:cs="Times New Roman"/>
      <w:lang w:val="de-AT" w:eastAsia="de-DE"/>
    </w:rPr>
  </w:style>
  <w:style w:type="paragraph" w:styleId="BodyText2">
    <w:name w:val="Body Text 2"/>
    <w:basedOn w:val="Normal"/>
    <w:link w:val="BodyText2Char"/>
    <w:uiPriority w:val="99"/>
    <w:rsid w:val="008E721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8E721E"/>
    <w:rPr>
      <w:rFonts w:ascii="Tahoma" w:eastAsia="Times New Roman" w:hAnsi="Tahoma" w:cs="Times New Roman"/>
      <w:lang w:val="de-AT" w:eastAsia="de-DE"/>
    </w:rPr>
  </w:style>
  <w:style w:type="paragraph" w:styleId="BodyTextIndent2">
    <w:name w:val="Body Text Indent 2"/>
    <w:basedOn w:val="Normal"/>
    <w:link w:val="BodyTextIndent2Char"/>
    <w:semiHidden/>
    <w:rsid w:val="008E721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8E721E"/>
    <w:rPr>
      <w:rFonts w:ascii="Tahoma" w:eastAsia="Times New Roman" w:hAnsi="Tahoma" w:cs="Times New Roman"/>
      <w:lang w:val="de-AT" w:eastAsia="de-DE"/>
    </w:rPr>
  </w:style>
  <w:style w:type="paragraph" w:styleId="BodyTextIndent3">
    <w:name w:val="Body Text Indent 3"/>
    <w:basedOn w:val="Normal"/>
    <w:link w:val="BodyTextIndent3Char"/>
    <w:semiHidden/>
    <w:rsid w:val="008E721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8E721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E721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E721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E721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8E721E"/>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E721E"/>
    <w:rPr>
      <w:rFonts w:ascii="CG Times" w:eastAsia="Times New Roman" w:hAnsi="CG Times" w:cs="Times New Roman"/>
      <w:b/>
      <w:szCs w:val="24"/>
    </w:rPr>
  </w:style>
  <w:style w:type="character" w:customStyle="1" w:styleId="SubtitleChar1">
    <w:name w:val="Subtitle Char1"/>
    <w:locked/>
    <w:rsid w:val="008E721E"/>
    <w:rPr>
      <w:rFonts w:ascii="Cambria" w:hAnsi="Cambria"/>
      <w:sz w:val="24"/>
      <w:szCs w:val="24"/>
    </w:rPr>
  </w:style>
  <w:style w:type="paragraph" w:customStyle="1" w:styleId="Char1">
    <w:name w:val="Char1"/>
    <w:basedOn w:val="Normal"/>
    <w:rsid w:val="008E721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8E721E"/>
    <w:rPr>
      <w:rFonts w:ascii="Tahoma" w:hAnsi="Tahoma" w:cs="Tahoma"/>
      <w:i/>
      <w:iCs/>
      <w:sz w:val="22"/>
      <w:szCs w:val="22"/>
      <w:lang w:val="de-AT" w:eastAsia="de-DE" w:bidi="ar-SA"/>
    </w:rPr>
  </w:style>
  <w:style w:type="character" w:customStyle="1" w:styleId="CharChar36">
    <w:name w:val="Char Char36"/>
    <w:locked/>
    <w:rsid w:val="008E721E"/>
    <w:rPr>
      <w:rFonts w:ascii="Arial" w:hAnsi="Arial" w:cs="Arial"/>
      <w:b/>
      <w:bCs/>
      <w:kern w:val="32"/>
      <w:sz w:val="32"/>
      <w:szCs w:val="32"/>
      <w:lang w:val="sq-AL" w:eastAsia="en-US" w:bidi="ar-SA"/>
    </w:rPr>
  </w:style>
  <w:style w:type="character" w:customStyle="1" w:styleId="CharChar35">
    <w:name w:val="Char Char35"/>
    <w:locked/>
    <w:rsid w:val="008E721E"/>
    <w:rPr>
      <w:rFonts w:ascii="Arial" w:hAnsi="Arial" w:cs="Arial"/>
      <w:b/>
      <w:bCs/>
      <w:i/>
      <w:iCs/>
      <w:sz w:val="28"/>
      <w:szCs w:val="28"/>
      <w:lang w:val="sq-AL" w:eastAsia="en-US" w:bidi="ar-SA"/>
    </w:rPr>
  </w:style>
  <w:style w:type="character" w:customStyle="1" w:styleId="CharChar34">
    <w:name w:val="Char Char34"/>
    <w:locked/>
    <w:rsid w:val="008E721E"/>
    <w:rPr>
      <w:rFonts w:ascii="Tahoma" w:hAnsi="Tahoma"/>
      <w:b/>
      <w:kern w:val="28"/>
      <w:sz w:val="24"/>
      <w:szCs w:val="28"/>
      <w:lang w:val="de-AT" w:eastAsia="de-DE" w:bidi="ar-SA"/>
    </w:rPr>
  </w:style>
  <w:style w:type="character" w:customStyle="1" w:styleId="CharChar33">
    <w:name w:val="Char Char33"/>
    <w:locked/>
    <w:rsid w:val="008E721E"/>
    <w:rPr>
      <w:rFonts w:ascii="Tahoma" w:hAnsi="Tahoma"/>
      <w:b/>
      <w:i/>
      <w:kern w:val="28"/>
      <w:sz w:val="22"/>
      <w:szCs w:val="22"/>
      <w:lang w:val="de-AT" w:eastAsia="de-DE" w:bidi="ar-SA"/>
    </w:rPr>
  </w:style>
  <w:style w:type="character" w:customStyle="1" w:styleId="CharChar32">
    <w:name w:val="Char Char32"/>
    <w:locked/>
    <w:rsid w:val="008E721E"/>
    <w:rPr>
      <w:rFonts w:ascii="Tahoma" w:hAnsi="Tahoma"/>
      <w:b/>
      <w:i/>
      <w:kern w:val="28"/>
      <w:sz w:val="22"/>
      <w:szCs w:val="22"/>
      <w:lang w:val="de-AT" w:eastAsia="de-DE" w:bidi="ar-SA"/>
    </w:rPr>
  </w:style>
  <w:style w:type="character" w:customStyle="1" w:styleId="CharChar31">
    <w:name w:val="Char Char31"/>
    <w:locked/>
    <w:rsid w:val="008E721E"/>
    <w:rPr>
      <w:rFonts w:ascii="Tahoma" w:hAnsi="Tahoma"/>
      <w:b/>
      <w:i/>
      <w:kern w:val="28"/>
      <w:sz w:val="22"/>
      <w:szCs w:val="22"/>
      <w:lang w:val="de-AT" w:eastAsia="de-DE" w:bidi="ar-SA"/>
    </w:rPr>
  </w:style>
  <w:style w:type="character" w:customStyle="1" w:styleId="CharChar10">
    <w:name w:val="Char Char10"/>
    <w:semiHidden/>
    <w:locked/>
    <w:rsid w:val="008E721E"/>
    <w:rPr>
      <w:rFonts w:ascii="Courier New" w:hAnsi="Courier New" w:cs="Courier New"/>
      <w:szCs w:val="22"/>
      <w:lang w:val="de-AT" w:eastAsia="de-DE" w:bidi="ar-SA"/>
    </w:rPr>
  </w:style>
  <w:style w:type="character" w:customStyle="1" w:styleId="CharChar30">
    <w:name w:val="Char Char30"/>
    <w:locked/>
    <w:rsid w:val="008E721E"/>
    <w:rPr>
      <w:rFonts w:ascii="Tahoma" w:hAnsi="Tahoma"/>
      <w:b/>
      <w:i/>
      <w:kern w:val="28"/>
      <w:sz w:val="22"/>
      <w:szCs w:val="22"/>
      <w:lang w:val="de-AT" w:eastAsia="de-DE" w:bidi="ar-SA"/>
    </w:rPr>
  </w:style>
  <w:style w:type="character" w:customStyle="1" w:styleId="CharChar29">
    <w:name w:val="Char Char29"/>
    <w:locked/>
    <w:rsid w:val="008E721E"/>
    <w:rPr>
      <w:rFonts w:ascii="Tahoma" w:hAnsi="Tahoma"/>
      <w:b/>
      <w:i/>
      <w:kern w:val="28"/>
      <w:sz w:val="22"/>
      <w:szCs w:val="22"/>
      <w:lang w:val="de-AT" w:eastAsia="de-DE" w:bidi="ar-SA"/>
    </w:rPr>
  </w:style>
  <w:style w:type="character" w:customStyle="1" w:styleId="CharChar28">
    <w:name w:val="Char Char28"/>
    <w:locked/>
    <w:rsid w:val="008E721E"/>
    <w:rPr>
      <w:rFonts w:ascii="Tahoma" w:hAnsi="Tahoma"/>
      <w:b/>
      <w:i/>
      <w:kern w:val="28"/>
      <w:sz w:val="22"/>
      <w:szCs w:val="22"/>
      <w:lang w:val="de-AT" w:eastAsia="de-DE" w:bidi="ar-SA"/>
    </w:rPr>
  </w:style>
  <w:style w:type="character" w:customStyle="1" w:styleId="CharChar27">
    <w:name w:val="Char Char27"/>
    <w:locked/>
    <w:rsid w:val="008E721E"/>
    <w:rPr>
      <w:rFonts w:ascii="Calibri" w:eastAsia="Calibri" w:hAnsi="Calibri"/>
      <w:lang w:val="sq-AL" w:eastAsia="en-US" w:bidi="ar-SA"/>
    </w:rPr>
  </w:style>
  <w:style w:type="character" w:customStyle="1" w:styleId="CharChar24">
    <w:name w:val="Char Char24"/>
    <w:locked/>
    <w:rsid w:val="008E721E"/>
    <w:rPr>
      <w:rFonts w:ascii="Tahoma" w:hAnsi="Tahoma" w:cs="Tahoma"/>
      <w:sz w:val="22"/>
      <w:szCs w:val="22"/>
      <w:lang w:val="de-AT" w:eastAsia="de-DE" w:bidi="ar-SA"/>
    </w:rPr>
  </w:style>
  <w:style w:type="character" w:customStyle="1" w:styleId="CharChar23">
    <w:name w:val="Char Char23"/>
    <w:locked/>
    <w:rsid w:val="008E721E"/>
    <w:rPr>
      <w:rFonts w:ascii="Tahoma" w:hAnsi="Tahoma" w:cs="Tahoma"/>
      <w:sz w:val="22"/>
      <w:szCs w:val="22"/>
      <w:lang w:val="de-AT" w:eastAsia="de-DE" w:bidi="ar-SA"/>
    </w:rPr>
  </w:style>
  <w:style w:type="character" w:customStyle="1" w:styleId="CharChar22">
    <w:name w:val="Char Char22"/>
    <w:semiHidden/>
    <w:locked/>
    <w:rsid w:val="008E721E"/>
    <w:rPr>
      <w:rFonts w:ascii="Courier New" w:hAnsi="Courier New" w:cs="Courier New"/>
      <w:sz w:val="22"/>
      <w:szCs w:val="22"/>
      <w:lang w:val="de-DE" w:eastAsia="de-DE" w:bidi="ar-SA"/>
    </w:rPr>
  </w:style>
  <w:style w:type="character" w:customStyle="1" w:styleId="CharChar21">
    <w:name w:val="Char Char21"/>
    <w:locked/>
    <w:rsid w:val="008E721E"/>
    <w:rPr>
      <w:rFonts w:ascii="Tahoma" w:hAnsi="Tahoma" w:cs="Tahoma"/>
      <w:b/>
      <w:kern w:val="28"/>
      <w:sz w:val="36"/>
      <w:szCs w:val="36"/>
      <w:lang w:val="de-AT" w:eastAsia="de-DE" w:bidi="ar-SA"/>
    </w:rPr>
  </w:style>
  <w:style w:type="character" w:customStyle="1" w:styleId="CharChar12">
    <w:name w:val="Char Char12"/>
    <w:semiHidden/>
    <w:locked/>
    <w:rsid w:val="008E721E"/>
    <w:rPr>
      <w:rFonts w:ascii="Tahoma" w:hAnsi="Tahoma" w:cs="Tahoma"/>
      <w:sz w:val="22"/>
      <w:szCs w:val="22"/>
      <w:lang w:val="de-AT" w:eastAsia="de-DE" w:bidi="ar-SA"/>
    </w:rPr>
  </w:style>
  <w:style w:type="character" w:customStyle="1" w:styleId="CharChar9">
    <w:name w:val="Char Char9"/>
    <w:semiHidden/>
    <w:locked/>
    <w:rsid w:val="008E721E"/>
    <w:rPr>
      <w:rFonts w:ascii="Tahoma" w:hAnsi="Tahoma" w:cs="Tahoma"/>
      <w:sz w:val="22"/>
      <w:szCs w:val="22"/>
      <w:lang w:val="de-AT" w:eastAsia="de-DE" w:bidi="ar-SA"/>
    </w:rPr>
  </w:style>
  <w:style w:type="character" w:customStyle="1" w:styleId="CharChar25">
    <w:name w:val="Char Char25"/>
    <w:semiHidden/>
    <w:locked/>
    <w:rsid w:val="008E721E"/>
    <w:rPr>
      <w:rFonts w:ascii="Tahoma" w:hAnsi="Tahoma" w:cs="Tahoma"/>
      <w:sz w:val="22"/>
      <w:szCs w:val="22"/>
      <w:lang w:val="de-AT" w:eastAsia="de-DE" w:bidi="ar-SA"/>
    </w:rPr>
  </w:style>
  <w:style w:type="character" w:customStyle="1" w:styleId="CharChar15">
    <w:name w:val="Char Char15"/>
    <w:semiHidden/>
    <w:locked/>
    <w:rsid w:val="008E721E"/>
    <w:rPr>
      <w:rFonts w:ascii="Tahoma" w:hAnsi="Tahoma" w:cs="Tahoma"/>
      <w:sz w:val="22"/>
      <w:szCs w:val="22"/>
      <w:lang w:val="de-AT" w:eastAsia="de-DE" w:bidi="ar-SA"/>
    </w:rPr>
  </w:style>
  <w:style w:type="character" w:customStyle="1" w:styleId="CharChar16">
    <w:name w:val="Char Char16"/>
    <w:semiHidden/>
    <w:locked/>
    <w:rsid w:val="008E721E"/>
    <w:rPr>
      <w:rFonts w:ascii="Tahoma" w:hAnsi="Tahoma" w:cs="Arial"/>
      <w:sz w:val="24"/>
      <w:szCs w:val="24"/>
      <w:lang w:val="de-AT" w:eastAsia="de-DE" w:bidi="ar-SA"/>
    </w:rPr>
  </w:style>
  <w:style w:type="character" w:customStyle="1" w:styleId="CharChar20">
    <w:name w:val="Char Char20"/>
    <w:locked/>
    <w:rsid w:val="008E721E"/>
    <w:rPr>
      <w:rFonts w:ascii="Tahoma" w:hAnsi="Tahoma" w:cs="Tahoma"/>
      <w:b/>
      <w:kern w:val="28"/>
      <w:sz w:val="32"/>
      <w:szCs w:val="36"/>
      <w:lang w:val="de-AT" w:eastAsia="de-DE" w:bidi="ar-SA"/>
    </w:rPr>
  </w:style>
  <w:style w:type="character" w:customStyle="1" w:styleId="CharChar13">
    <w:name w:val="Char Char13"/>
    <w:semiHidden/>
    <w:locked/>
    <w:rsid w:val="008E721E"/>
    <w:rPr>
      <w:rFonts w:ascii="Tahoma" w:hAnsi="Tahoma" w:cs="Tahoma"/>
      <w:sz w:val="22"/>
      <w:szCs w:val="22"/>
      <w:lang w:val="de-AT" w:eastAsia="de-DE" w:bidi="ar-SA"/>
    </w:rPr>
  </w:style>
  <w:style w:type="character" w:customStyle="1" w:styleId="CharChar19">
    <w:name w:val="Char Char19"/>
    <w:semiHidden/>
    <w:locked/>
    <w:rsid w:val="008E721E"/>
    <w:rPr>
      <w:rFonts w:ascii="Tahoma" w:hAnsi="Tahoma" w:cs="Tahoma"/>
      <w:sz w:val="22"/>
      <w:szCs w:val="22"/>
      <w:lang w:val="de-AT" w:eastAsia="de-DE" w:bidi="ar-SA"/>
    </w:rPr>
  </w:style>
  <w:style w:type="character" w:customStyle="1" w:styleId="CharChar3">
    <w:name w:val="Char Char3"/>
    <w:semiHidden/>
    <w:locked/>
    <w:rsid w:val="008E721E"/>
  </w:style>
  <w:style w:type="character" w:customStyle="1" w:styleId="CharChar14">
    <w:name w:val="Char Char14"/>
    <w:semiHidden/>
    <w:locked/>
    <w:rsid w:val="008E721E"/>
  </w:style>
  <w:style w:type="character" w:customStyle="1" w:styleId="CharChar17">
    <w:name w:val="Char Char17"/>
    <w:locked/>
    <w:rsid w:val="008E721E"/>
    <w:rPr>
      <w:rFonts w:ascii="Tahoma" w:hAnsi="Tahoma" w:cs="Tahoma"/>
      <w:sz w:val="22"/>
      <w:szCs w:val="22"/>
      <w:lang w:val="de-AT" w:eastAsia="de-DE" w:bidi="ar-SA"/>
    </w:rPr>
  </w:style>
  <w:style w:type="character" w:customStyle="1" w:styleId="CharChar7">
    <w:name w:val="Char Char7"/>
    <w:semiHidden/>
    <w:locked/>
    <w:rsid w:val="008E721E"/>
    <w:rPr>
      <w:rFonts w:ascii="Tahoma" w:hAnsi="Tahoma" w:cs="Tahoma"/>
      <w:sz w:val="22"/>
      <w:szCs w:val="22"/>
      <w:lang w:val="de-AT" w:eastAsia="de-DE" w:bidi="ar-SA"/>
    </w:rPr>
  </w:style>
  <w:style w:type="character" w:customStyle="1" w:styleId="CharChar6">
    <w:name w:val="Char Char6"/>
    <w:semiHidden/>
    <w:locked/>
    <w:rsid w:val="008E721E"/>
    <w:rPr>
      <w:rFonts w:ascii="Tahoma" w:hAnsi="Tahoma" w:cs="Tahoma"/>
      <w:sz w:val="16"/>
      <w:szCs w:val="16"/>
      <w:lang w:val="de-AT" w:eastAsia="de-DE" w:bidi="ar-SA"/>
    </w:rPr>
  </w:style>
  <w:style w:type="character" w:customStyle="1" w:styleId="CharChar5">
    <w:name w:val="Char Char5"/>
    <w:semiHidden/>
    <w:locked/>
    <w:rsid w:val="008E721E"/>
    <w:rPr>
      <w:rFonts w:ascii="Tahoma" w:hAnsi="Tahoma" w:cs="Tahoma"/>
      <w:sz w:val="22"/>
      <w:szCs w:val="22"/>
      <w:lang w:val="de-AT" w:eastAsia="de-DE" w:bidi="ar-SA"/>
    </w:rPr>
  </w:style>
  <w:style w:type="character" w:customStyle="1" w:styleId="CharChar4">
    <w:name w:val="Char Char4"/>
    <w:semiHidden/>
    <w:locked/>
    <w:rsid w:val="008E721E"/>
    <w:rPr>
      <w:rFonts w:ascii="Tahoma" w:hAnsi="Tahoma" w:cs="Tahoma"/>
      <w:sz w:val="16"/>
      <w:szCs w:val="16"/>
      <w:lang w:val="de-AT" w:eastAsia="de-DE" w:bidi="ar-SA"/>
    </w:rPr>
  </w:style>
  <w:style w:type="character" w:customStyle="1" w:styleId="CharChar18">
    <w:name w:val="Char Char18"/>
    <w:semiHidden/>
    <w:locked/>
    <w:rsid w:val="008E721E"/>
    <w:rPr>
      <w:rFonts w:ascii="Tahoma" w:hAnsi="Tahoma" w:cs="Tahoma"/>
      <w:sz w:val="22"/>
      <w:szCs w:val="22"/>
      <w:lang w:val="de-AT" w:eastAsia="de-DE" w:bidi="ar-SA"/>
    </w:rPr>
  </w:style>
  <w:style w:type="character" w:customStyle="1" w:styleId="CharChar8">
    <w:name w:val="Char Char8"/>
    <w:locked/>
    <w:rsid w:val="008E721E"/>
    <w:rPr>
      <w:rFonts w:ascii="Tahoma" w:hAnsi="Tahoma" w:cs="Tahoma"/>
      <w:sz w:val="22"/>
      <w:szCs w:val="22"/>
      <w:lang w:val="de-AT" w:eastAsia="de-DE" w:bidi="ar-SA"/>
    </w:rPr>
  </w:style>
  <w:style w:type="character" w:customStyle="1" w:styleId="CharChar2">
    <w:name w:val="Char Char2"/>
    <w:locked/>
    <w:rsid w:val="008E721E"/>
    <w:rPr>
      <w:rFonts w:ascii="Calibri" w:eastAsia="Calibri" w:hAnsi="Calibri" w:cs="Times New Roman"/>
      <w:b/>
      <w:bCs/>
      <w:sz w:val="20"/>
      <w:szCs w:val="20"/>
      <w:lang w:val="sq-AL" w:eastAsia="en-US" w:bidi="ar-SA"/>
    </w:rPr>
  </w:style>
  <w:style w:type="character" w:customStyle="1" w:styleId="CharChar26">
    <w:name w:val="Char Char26"/>
    <w:semiHidden/>
    <w:locked/>
    <w:rsid w:val="008E721E"/>
    <w:rPr>
      <w:rFonts w:ascii="Tahoma" w:hAnsi="Tahoma" w:cs="Tahoma"/>
      <w:sz w:val="16"/>
      <w:szCs w:val="16"/>
      <w:lang w:val="sq-AL" w:eastAsia="en-US" w:bidi="ar-SA"/>
    </w:rPr>
  </w:style>
  <w:style w:type="character" w:customStyle="1" w:styleId="CommentTextChar11">
    <w:name w:val="Comment Text Char11"/>
    <w:aliases w:val="Char Char37"/>
    <w:semiHidden/>
    <w:rsid w:val="008E721E"/>
    <w:rPr>
      <w:rFonts w:ascii="Calibri" w:hAnsi="Calibri" w:hint="default"/>
      <w:lang w:val="sq-AL"/>
    </w:rPr>
  </w:style>
  <w:style w:type="character" w:customStyle="1" w:styleId="NormalIndentChar">
    <w:name w:val="Normal Indent Char"/>
    <w:link w:val="NormalIndent"/>
    <w:rsid w:val="008E721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E721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8E721E"/>
    <w:pPr>
      <w:tabs>
        <w:tab w:val="num" w:pos="360"/>
        <w:tab w:val="num" w:pos="1935"/>
        <w:tab w:val="num" w:pos="2563"/>
        <w:tab w:val="num" w:pos="3474"/>
      </w:tabs>
      <w:ind w:left="1935" w:hanging="360"/>
      <w:outlineLvl w:val="6"/>
    </w:pPr>
  </w:style>
  <w:style w:type="character" w:customStyle="1" w:styleId="AODefHeadChar">
    <w:name w:val="AODefHead Char"/>
    <w:link w:val="AODefHead"/>
    <w:rsid w:val="008E721E"/>
    <w:rPr>
      <w:rFonts w:ascii="Times New Roman" w:eastAsia="Times New Roman" w:hAnsi="Times New Roman" w:cs="Times New Roman"/>
      <w:szCs w:val="20"/>
      <w:lang w:val="sq-AL" w:eastAsia="sq-AL" w:bidi="sq-AL"/>
    </w:rPr>
  </w:style>
  <w:style w:type="paragraph" w:customStyle="1" w:styleId="PARA">
    <w:name w:val="PARA"/>
    <w:basedOn w:val="Normal"/>
    <w:locked/>
    <w:rsid w:val="008E721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8E721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8E721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E721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8E721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E721E"/>
    <w:rPr>
      <w:color w:val="0000FF"/>
      <w:spacing w:val="0"/>
      <w:u w:val="double"/>
    </w:rPr>
  </w:style>
  <w:style w:type="paragraph" w:customStyle="1" w:styleId="dia">
    <w:name w:val="di(a)"/>
    <w:basedOn w:val="Normal"/>
    <w:rsid w:val="008E721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8E721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8E721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8E721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8E721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E72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semiHidden/>
    <w:rsid w:val="008E721E"/>
    <w:rPr>
      <w:rFonts w:cs="Times New Roman"/>
      <w:color w:val="808080"/>
    </w:rPr>
  </w:style>
  <w:style w:type="character" w:customStyle="1" w:styleId="az12">
    <w:name w:val="az12"/>
    <w:uiPriority w:val="99"/>
    <w:rsid w:val="008E721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E721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E721E"/>
    <w:rPr>
      <w:rFonts w:ascii="Calibri" w:eastAsia="Times New Roman" w:hAnsi="Calibri" w:cs="Times New Roman"/>
      <w:sz w:val="24"/>
      <w:szCs w:val="24"/>
      <w:lang w:val="en-GB" w:eastAsia="en-GB"/>
    </w:rPr>
  </w:style>
  <w:style w:type="paragraph" w:customStyle="1" w:styleId="Paragraf02">
    <w:name w:val="Paragraf 0.2"/>
    <w:basedOn w:val="Paragrafi"/>
    <w:qFormat/>
    <w:rsid w:val="008E721E"/>
    <w:pPr>
      <w:tabs>
        <w:tab w:val="left" w:pos="6575"/>
      </w:tabs>
    </w:pPr>
    <w:rPr>
      <w:spacing w:val="-4"/>
    </w:rPr>
  </w:style>
  <w:style w:type="table" w:customStyle="1" w:styleId="TableGrid30">
    <w:name w:val="Table Grid3"/>
    <w:basedOn w:val="TableNormal"/>
    <w:next w:val="TableGrid"/>
    <w:uiPriority w:val="59"/>
    <w:rsid w:val="008E7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E721E"/>
  </w:style>
  <w:style w:type="character" w:styleId="BookTitle">
    <w:name w:val="Book Title"/>
    <w:uiPriority w:val="33"/>
    <w:qFormat/>
    <w:rsid w:val="008E721E"/>
    <w:rPr>
      <w:b/>
      <w:bCs/>
      <w:smallCaps/>
      <w:spacing w:val="5"/>
    </w:rPr>
  </w:style>
  <w:style w:type="paragraph" w:customStyle="1" w:styleId="Cover1">
    <w:name w:val="Cover1"/>
    <w:basedOn w:val="Normal"/>
    <w:next w:val="Normal"/>
    <w:rsid w:val="008E721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8E721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8E721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8E721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8E721E"/>
    <w:rPr>
      <w:rFonts w:ascii="Times New Roman" w:eastAsia="Times New Roman" w:hAnsi="Times New Roman" w:cs="Times New Roman"/>
      <w:szCs w:val="20"/>
      <w:lang w:val="sq-AL"/>
    </w:rPr>
  </w:style>
  <w:style w:type="character" w:customStyle="1" w:styleId="Bodytext0">
    <w:name w:val="Body text_"/>
    <w:link w:val="BodyText1"/>
    <w:rsid w:val="008E721E"/>
    <w:rPr>
      <w:rFonts w:ascii="Times New Roman" w:hAnsi="Times New Roman"/>
      <w:sz w:val="21"/>
      <w:szCs w:val="21"/>
      <w:shd w:val="clear" w:color="auto" w:fill="FFFFFF"/>
    </w:rPr>
  </w:style>
  <w:style w:type="paragraph" w:customStyle="1" w:styleId="BodyText1">
    <w:name w:val="Body Text1"/>
    <w:basedOn w:val="Normal"/>
    <w:link w:val="Bodytext0"/>
    <w:rsid w:val="008E721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8E721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8E721E"/>
    <w:pPr>
      <w:spacing w:after="160" w:line="240" w:lineRule="exact"/>
      <w:ind w:firstLine="0"/>
      <w:jc w:val="left"/>
    </w:pPr>
    <w:rPr>
      <w:rFonts w:ascii="Tahoma" w:eastAsia="MS Mincho" w:hAnsi="Tahoma"/>
      <w:sz w:val="20"/>
      <w:szCs w:val="20"/>
      <w:lang w:val="sq-AL"/>
    </w:rPr>
  </w:style>
  <w:style w:type="paragraph" w:customStyle="1" w:styleId="BodyA">
    <w:name w:val="Body A"/>
    <w:rsid w:val="008E721E"/>
    <w:pPr>
      <w:pBdr>
        <w:top w:val="nil"/>
        <w:left w:val="nil"/>
        <w:bottom w:val="nil"/>
        <w:right w:val="nil"/>
        <w:between w:val="nil"/>
        <w:bar w:val="nil"/>
      </w:pBdr>
      <w:suppressAutoHyphens/>
      <w:spacing w:after="0" w:line="360" w:lineRule="auto"/>
      <w:jc w:val="both"/>
    </w:pPr>
    <w:rPr>
      <w:rFonts w:ascii="Arial" w:eastAsia="Arial Unicode MS" w:hAnsi="Arial Unicode MS" w:cs="Arial Unicode MS"/>
      <w:color w:val="000000"/>
      <w:u w:color="000000"/>
      <w:bdr w:val="nil"/>
    </w:rPr>
  </w:style>
  <w:style w:type="paragraph" w:customStyle="1" w:styleId="Normal2">
    <w:name w:val="Normal2"/>
    <w:rsid w:val="008E721E"/>
    <w:rPr>
      <w:rFonts w:ascii="Calibri" w:eastAsia="Calibri" w:hAnsi="Calibri" w:cs="Calibri"/>
      <w:color w:val="000000"/>
      <w:szCs w:val="20"/>
    </w:rPr>
  </w:style>
  <w:style w:type="paragraph" w:customStyle="1" w:styleId="Placholdertext">
    <w:name w:val="Placholder text"/>
    <w:basedOn w:val="Normal"/>
    <w:rsid w:val="008E721E"/>
    <w:pPr>
      <w:spacing w:after="0" w:line="240" w:lineRule="auto"/>
      <w:ind w:firstLine="0"/>
      <w:jc w:val="left"/>
    </w:pPr>
    <w:rPr>
      <w:rFonts w:ascii="Calibri Light" w:eastAsia="Times New Roman" w:hAnsi="Calibri Light" w:cs="Arial"/>
      <w:szCs w:val="24"/>
      <w:lang w:val="sq-AL"/>
    </w:rPr>
  </w:style>
  <w:style w:type="paragraph" w:customStyle="1" w:styleId="p104ft316">
    <w:name w:val="p104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5">
    <w:name w:val="ft315"/>
    <w:basedOn w:val="DefaultParagraphFont"/>
    <w:rsid w:val="008E721E"/>
  </w:style>
  <w:style w:type="paragraph" w:customStyle="1" w:styleId="p123ft316">
    <w:name w:val="p123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paragraph" w:customStyle="1" w:styleId="p61ft316">
    <w:name w:val="p61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7">
    <w:name w:val="ft317"/>
    <w:basedOn w:val="DefaultParagraphFont"/>
    <w:rsid w:val="008E721E"/>
  </w:style>
  <w:style w:type="paragraph" w:customStyle="1" w:styleId="p7ft9">
    <w:name w:val="p7 ft9"/>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paragraph" w:customStyle="1" w:styleId="p426ft25">
    <w:name w:val="p426 ft25"/>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2">
    <w:name w:val="ft312"/>
    <w:basedOn w:val="DefaultParagraphFont"/>
    <w:rsid w:val="008E721E"/>
  </w:style>
  <w:style w:type="character" w:customStyle="1" w:styleId="ft61">
    <w:name w:val="ft61"/>
    <w:basedOn w:val="DefaultParagraphFont"/>
    <w:rsid w:val="008E721E"/>
  </w:style>
  <w:style w:type="paragraph" w:customStyle="1" w:styleId="p28ft25">
    <w:name w:val="p28 ft25"/>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8">
    <w:name w:val="ft318"/>
    <w:basedOn w:val="DefaultParagraphFont"/>
    <w:rsid w:val="008E721E"/>
  </w:style>
  <w:style w:type="paragraph" w:customStyle="1" w:styleId="p8ft316">
    <w:name w:val="p8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paragraph" w:customStyle="1" w:styleId="p215ft320">
    <w:name w:val="p215 ft320"/>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9">
    <w:name w:val="ft319"/>
    <w:basedOn w:val="DefaultParagraphFont"/>
    <w:rsid w:val="008E721E"/>
  </w:style>
  <w:style w:type="paragraph" w:customStyle="1" w:styleId="p29ft316">
    <w:name w:val="p29 ft316"/>
    <w:basedOn w:val="Normal"/>
    <w:rsid w:val="008E721E"/>
    <w:pPr>
      <w:spacing w:before="100" w:beforeAutospacing="1" w:after="100" w:afterAutospacing="1" w:line="240" w:lineRule="auto"/>
      <w:ind w:firstLine="0"/>
      <w:jc w:val="left"/>
    </w:pPr>
    <w:rPr>
      <w:rFonts w:ascii="Times New Roman" w:eastAsia="Batang" w:hAnsi="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fontTable" Target="fontTable.xml"/><Relationship Id="rId21" Type="http://schemas.openxmlformats.org/officeDocument/2006/relationships/image" Target="media/image10.emf"/><Relationship Id="rId34" Type="http://schemas.openxmlformats.org/officeDocument/2006/relationships/image" Target="media/image23.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10" Type="http://schemas.openxmlformats.org/officeDocument/2006/relationships/footer" Target="footer2.xml"/><Relationship Id="rId19" Type="http://schemas.openxmlformats.org/officeDocument/2006/relationships/image" Target="media/image8.emf"/><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8" Type="http://schemas.openxmlformats.org/officeDocument/2006/relationships/header" Target="header1.xm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7686</Words>
  <Characters>43811</Characters>
  <Application>Microsoft Office Word</Application>
  <DocSecurity>4</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2019-01-29T10:12:00Z</cp:lastPrinted>
  <dcterms:created xsi:type="dcterms:W3CDTF">2019-01-29T10:12:00Z</dcterms:created>
  <dcterms:modified xsi:type="dcterms:W3CDTF">2019-01-29T10:12:00Z</dcterms:modified>
</cp:coreProperties>
</file>