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AA3" w:rsidRPr="002230E5" w:rsidRDefault="00B54AA3" w:rsidP="00B54AA3">
      <w:pPr>
        <w:pStyle w:val="Paragrafi"/>
        <w:jc w:val="center"/>
        <w:rPr>
          <w:b/>
          <w:spacing w:val="-4"/>
          <w:lang w:val="sq-AL"/>
        </w:rPr>
      </w:pPr>
      <w:r w:rsidRPr="002230E5">
        <w:rPr>
          <w:b/>
          <w:spacing w:val="-4"/>
          <w:lang w:val="sq-AL"/>
        </w:rPr>
        <w:t>VENDIM</w:t>
      </w:r>
    </w:p>
    <w:p w:rsidR="00B54AA3" w:rsidRPr="002230E5" w:rsidRDefault="00B54AA3" w:rsidP="00B54AA3">
      <w:pPr>
        <w:pStyle w:val="Paragrafi"/>
        <w:jc w:val="center"/>
        <w:rPr>
          <w:b/>
          <w:spacing w:val="-4"/>
          <w:lang w:val="sq-AL"/>
        </w:rPr>
      </w:pPr>
      <w:r w:rsidRPr="002230E5">
        <w:rPr>
          <w:b/>
          <w:spacing w:val="-4"/>
          <w:lang w:val="sq-AL"/>
        </w:rPr>
        <w:t>Nr.  205, datë 4.3.2015</w:t>
      </w:r>
    </w:p>
    <w:p w:rsidR="00B54AA3" w:rsidRPr="002230E5" w:rsidRDefault="00B54AA3" w:rsidP="00B54AA3">
      <w:pPr>
        <w:pStyle w:val="Paragrafi"/>
        <w:jc w:val="center"/>
        <w:rPr>
          <w:b/>
          <w:spacing w:val="-4"/>
          <w:sz w:val="14"/>
          <w:lang w:val="sq-AL"/>
        </w:rPr>
      </w:pPr>
    </w:p>
    <w:p w:rsidR="00B54AA3" w:rsidRPr="002230E5" w:rsidRDefault="00B54AA3" w:rsidP="00B54AA3">
      <w:pPr>
        <w:pStyle w:val="Paragrafi"/>
        <w:jc w:val="center"/>
        <w:rPr>
          <w:b/>
          <w:spacing w:val="-4"/>
          <w:lang w:val="sq-AL"/>
        </w:rPr>
      </w:pPr>
      <w:r w:rsidRPr="002230E5">
        <w:rPr>
          <w:b/>
          <w:spacing w:val="-4"/>
          <w:lang w:val="sq-AL"/>
        </w:rPr>
        <w:t>PËR SHPRONËSIMIN, PËR INTERES PUBLIK, TË PRONARËVE TË PASURIVE TË PALUAJTSHME, PRONË PRIVATE, QË PREKEN NGA ZBATIMI I PROJEKTIT “REHABILITIMI I STACIONIT TË POMPIMIT, TRUSH”</w:t>
      </w:r>
      <w:bookmarkStart w:id="0" w:name="_GoBack"/>
      <w:bookmarkEnd w:id="0"/>
    </w:p>
    <w:p w:rsidR="00B54AA3" w:rsidRPr="002230E5" w:rsidRDefault="00B54AA3" w:rsidP="00B54AA3">
      <w:pPr>
        <w:pStyle w:val="Paragrafi"/>
        <w:rPr>
          <w:spacing w:val="-4"/>
          <w:sz w:val="14"/>
          <w:lang w:val="sq-AL"/>
        </w:rPr>
      </w:pPr>
    </w:p>
    <w:p w:rsidR="00B54AA3" w:rsidRPr="002230E5" w:rsidRDefault="00B54AA3" w:rsidP="00B54AA3">
      <w:pPr>
        <w:pStyle w:val="Paragrafi"/>
        <w:rPr>
          <w:spacing w:val="-4"/>
          <w:lang w:val="sq-AL"/>
        </w:rPr>
      </w:pPr>
      <w:r w:rsidRPr="002230E5">
        <w:rPr>
          <w:spacing w:val="-4"/>
          <w:lang w:val="sq-AL"/>
        </w:rPr>
        <w:t>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w:t>
      </w:r>
    </w:p>
    <w:p w:rsidR="00B54AA3" w:rsidRPr="002230E5" w:rsidRDefault="00B54AA3" w:rsidP="00B54AA3">
      <w:pPr>
        <w:pStyle w:val="Paragrafi"/>
        <w:rPr>
          <w:spacing w:val="-4"/>
          <w:sz w:val="14"/>
          <w:lang w:val="sq-AL"/>
        </w:rPr>
      </w:pPr>
    </w:p>
    <w:p w:rsidR="00B54AA3" w:rsidRPr="002230E5" w:rsidRDefault="00B54AA3" w:rsidP="00B54AA3">
      <w:pPr>
        <w:pStyle w:val="Paragrafi"/>
        <w:jc w:val="center"/>
        <w:rPr>
          <w:spacing w:val="-4"/>
          <w:lang w:val="sq-AL"/>
        </w:rPr>
      </w:pPr>
      <w:r w:rsidRPr="002230E5">
        <w:rPr>
          <w:spacing w:val="-4"/>
          <w:lang w:val="sq-AL"/>
        </w:rPr>
        <w:t>VENDOSI:</w:t>
      </w:r>
    </w:p>
    <w:p w:rsidR="00B54AA3" w:rsidRPr="002230E5" w:rsidRDefault="00B54AA3" w:rsidP="00B54AA3">
      <w:pPr>
        <w:pStyle w:val="Paragrafi"/>
        <w:rPr>
          <w:spacing w:val="-4"/>
          <w:sz w:val="14"/>
          <w:lang w:val="sq-AL"/>
        </w:rPr>
      </w:pPr>
      <w:r w:rsidRPr="002230E5">
        <w:rPr>
          <w:spacing w:val="-4"/>
          <w:lang w:val="sq-AL"/>
        </w:rPr>
        <w:t xml:space="preserve"> </w:t>
      </w:r>
    </w:p>
    <w:p w:rsidR="00B54AA3" w:rsidRPr="002230E5" w:rsidRDefault="00B54AA3" w:rsidP="00B54AA3">
      <w:pPr>
        <w:pStyle w:val="Paragrafi"/>
        <w:rPr>
          <w:spacing w:val="-4"/>
          <w:lang w:val="sq-AL"/>
        </w:rPr>
      </w:pPr>
      <w:r w:rsidRPr="002230E5">
        <w:rPr>
          <w:spacing w:val="-4"/>
          <w:lang w:val="sq-AL"/>
        </w:rPr>
        <w:t xml:space="preserve">1. Shpronësimin, për interes publik, të pronarëve të pasurive të paluajtshme, pronë private, që preken nga zbatimi i projektit “Rehabilitimi i stacionit të pompimit, Trush”. </w:t>
      </w:r>
    </w:p>
    <w:p w:rsidR="00B54AA3" w:rsidRPr="002230E5" w:rsidRDefault="00B54AA3" w:rsidP="00B54AA3">
      <w:pPr>
        <w:pStyle w:val="Paragrafi"/>
        <w:rPr>
          <w:spacing w:val="-4"/>
          <w:lang w:val="sq-AL"/>
        </w:rPr>
      </w:pPr>
      <w:r w:rsidRPr="002230E5">
        <w:rPr>
          <w:spacing w:val="-4"/>
          <w:lang w:val="sq-AL"/>
        </w:rPr>
        <w:t xml:space="preserve">2. Shpronësimi të bëhet në favor të SHA Ujësjellës Fshat, Shkodër. </w:t>
      </w:r>
    </w:p>
    <w:p w:rsidR="00B54AA3" w:rsidRPr="002230E5" w:rsidRDefault="00B54AA3" w:rsidP="00B54AA3">
      <w:pPr>
        <w:pStyle w:val="Paragrafi"/>
        <w:rPr>
          <w:spacing w:val="-4"/>
          <w:lang w:val="sq-AL"/>
        </w:rPr>
      </w:pPr>
      <w:r w:rsidRPr="002230E5">
        <w:rPr>
          <w:spacing w:val="-4"/>
          <w:lang w:val="sq-AL"/>
        </w:rPr>
        <w:t>3. Pronarët e pasurive të paluajtshme, që shpronësohen, të kompensohen në vlerë të plotë, sipas masës përkatëse që paraqitet në tabelën bashkëlidhur këtij vendimi, për pasuritë tokë “arë”, me sipërfaqe të përgjithshme shpronësimi 41 636 (dyzet e një mijë e gjashtëqind e tridhjetë e gjashtë) m</w:t>
      </w:r>
      <w:r w:rsidRPr="002230E5">
        <w:rPr>
          <w:spacing w:val="-4"/>
          <w:vertAlign w:val="superscript"/>
          <w:lang w:val="sq-AL"/>
        </w:rPr>
        <w:t>2</w:t>
      </w:r>
      <w:r w:rsidRPr="002230E5">
        <w:rPr>
          <w:spacing w:val="-4"/>
          <w:lang w:val="sq-AL"/>
        </w:rPr>
        <w:t xml:space="preserve"> dhe vlerë të përgjithshme shpronësimi 12 639 896 (dymbëdhjetë milionë e gjashtëqind e tridhjetë e nëntë mijë e tetëqind e nëntëdhjetë e gjashtë) lekë. </w:t>
      </w:r>
    </w:p>
    <w:p w:rsidR="00B54AA3" w:rsidRPr="002230E5" w:rsidRDefault="00B54AA3" w:rsidP="00B54AA3">
      <w:pPr>
        <w:pStyle w:val="Paragrafi"/>
        <w:rPr>
          <w:spacing w:val="-4"/>
          <w:lang w:val="sq-AL"/>
        </w:rPr>
      </w:pPr>
      <w:r w:rsidRPr="002230E5">
        <w:rPr>
          <w:spacing w:val="-4"/>
          <w:lang w:val="sq-AL"/>
        </w:rPr>
        <w:t xml:space="preserve">4. Vlera e përgjithshme e shpronësimit, prej 12 639 896 (dymbëdhjetë milionë e gjashtëqind e tridhjetë e nëntë mijë e tetëqind e nëntëdhjetë e gjashtë) lekësh, të përballohet nga buxheti i vitit 2015, miratuar për Drejtorinë e Përgjithshme të Ujësjellës Kanalizimeve, zëri “Kosto lokale për rikonstruksionin e stacionit të Trushit”, me kod projekti M063465. </w:t>
      </w:r>
    </w:p>
    <w:p w:rsidR="00B54AA3" w:rsidRPr="002230E5" w:rsidRDefault="00B54AA3" w:rsidP="00B54AA3">
      <w:pPr>
        <w:pStyle w:val="Paragrafi"/>
        <w:rPr>
          <w:spacing w:val="-4"/>
          <w:lang w:val="sq-AL"/>
        </w:rPr>
      </w:pPr>
      <w:r w:rsidRPr="002230E5">
        <w:rPr>
          <w:spacing w:val="-4"/>
          <w:lang w:val="sq-AL"/>
        </w:rPr>
        <w:t xml:space="preserve"> </w:t>
      </w:r>
    </w:p>
    <w:p w:rsidR="00B54AA3" w:rsidRPr="002230E5" w:rsidRDefault="00B54AA3" w:rsidP="00B54AA3">
      <w:pPr>
        <w:pStyle w:val="Paragrafi"/>
        <w:rPr>
          <w:spacing w:val="-4"/>
          <w:lang w:val="sq-AL"/>
        </w:rPr>
      </w:pPr>
    </w:p>
    <w:p w:rsidR="00B54AA3" w:rsidRPr="002230E5" w:rsidRDefault="00B54AA3" w:rsidP="00B54AA3">
      <w:pPr>
        <w:pStyle w:val="Paragrafi"/>
        <w:rPr>
          <w:spacing w:val="-4"/>
          <w:lang w:val="sq-AL"/>
        </w:rPr>
      </w:pPr>
      <w:r w:rsidRPr="002230E5">
        <w:rPr>
          <w:spacing w:val="-4"/>
          <w:lang w:val="sq-AL"/>
        </w:rPr>
        <w:t xml:space="preserve">5. Shpenzimet procedurale, në vlerën 70 000 (shtatëdhjetë mijë) lekë, të përballohen nga SHA Ujësjellës Fshat, Shkodër. </w:t>
      </w:r>
    </w:p>
    <w:p w:rsidR="00B54AA3" w:rsidRPr="002230E5" w:rsidRDefault="00B54AA3" w:rsidP="00B54AA3">
      <w:pPr>
        <w:pStyle w:val="Paragrafi"/>
        <w:rPr>
          <w:spacing w:val="-4"/>
          <w:lang w:val="sq-AL"/>
        </w:rPr>
      </w:pPr>
      <w:r w:rsidRPr="002230E5">
        <w:rPr>
          <w:spacing w:val="-4"/>
          <w:lang w:val="sq-AL"/>
        </w:rPr>
        <w:t xml:space="preserve">6. Likuidimi i pronarëve të fillojë pas çeljes së fondit të përcaktuar në pikën 4, të këtij vendimi. </w:t>
      </w:r>
    </w:p>
    <w:p w:rsidR="00B54AA3" w:rsidRPr="002230E5" w:rsidRDefault="00B54AA3" w:rsidP="00B54AA3">
      <w:pPr>
        <w:pStyle w:val="Paragrafi"/>
        <w:rPr>
          <w:spacing w:val="-4"/>
          <w:lang w:val="sq-AL"/>
        </w:rPr>
      </w:pPr>
      <w:r w:rsidRPr="002230E5">
        <w:rPr>
          <w:spacing w:val="-4"/>
          <w:lang w:val="sq-AL"/>
        </w:rPr>
        <w:t xml:space="preserve">7. Pronarët e listës që  i bashkëlidhet këtij vendimi, për të cilët është bërë shënimi “Konfirmuar  ZVRPP”, të likuidohen, për efekt shpronësimi, pasi të dorëzojnë dokumentacionin e plotë të pronësisë pranë SHA Ujësjellës Fshat, Shkodër. </w:t>
      </w:r>
    </w:p>
    <w:p w:rsidR="00B54AA3" w:rsidRPr="002230E5" w:rsidRDefault="00B54AA3" w:rsidP="00B54AA3">
      <w:pPr>
        <w:pStyle w:val="Paragrafi"/>
        <w:rPr>
          <w:spacing w:val="-4"/>
          <w:lang w:val="sq-AL"/>
        </w:rPr>
      </w:pPr>
      <w:r w:rsidRPr="002230E5">
        <w:rPr>
          <w:spacing w:val="-4"/>
          <w:lang w:val="sq-AL"/>
        </w:rPr>
        <w:t xml:space="preserve">8. SHA Ujësjellës Fshat, Shkodër të kryejë likuidimin e pronarëve, për efekt shpronësimi, në bazë të pikave 4, 5, 6 dhe 7, të këtij vendimi. </w:t>
      </w:r>
    </w:p>
    <w:p w:rsidR="00B54AA3" w:rsidRPr="002230E5" w:rsidRDefault="00B54AA3" w:rsidP="00B54AA3">
      <w:pPr>
        <w:pStyle w:val="Paragrafi"/>
        <w:rPr>
          <w:spacing w:val="-4"/>
          <w:lang w:val="sq-AL"/>
        </w:rPr>
      </w:pPr>
      <w:r w:rsidRPr="002230E5">
        <w:rPr>
          <w:spacing w:val="-4"/>
          <w:lang w:val="sq-AL"/>
        </w:rPr>
        <w:t xml:space="preserve">9. Brenda 30 ditëve, nga data e miratimit të këtij vendimi, Zyra Qendrore e Regjistrimit të Pasurive të Paluajtshme dhe Zyra Vendore e Regjistrimit të Pasurive të Paluajtshme  Shkodër, në bashkëpunim me SHA Ujësjellës Fshat, Shkodër, të fillojnë procedurat për hedhjen e trupit të objektit në hartat kadastrale,  sipas planimetrisë  së shpronësimit që do t’u vihet në dispozicion nga SH.A.Ujësjellës Fshat, Shkodër dhe, me fillimin e procesit të likuidimit, të fillojë edhe procesi i kalimit të pronësisë,  për  pasuritë e shpronësuara, në favor të shtetit. </w:t>
      </w:r>
    </w:p>
    <w:p w:rsidR="00B54AA3" w:rsidRPr="002230E5" w:rsidRDefault="00B54AA3" w:rsidP="00B54AA3">
      <w:pPr>
        <w:pStyle w:val="Paragrafi"/>
        <w:rPr>
          <w:spacing w:val="-4"/>
          <w:lang w:val="sq-AL"/>
        </w:rPr>
      </w:pPr>
      <w:r w:rsidRPr="002230E5">
        <w:rPr>
          <w:spacing w:val="-4"/>
          <w:lang w:val="sq-AL"/>
        </w:rPr>
        <w:t xml:space="preserve">10. Zyra Qendrore e Regjistrimit të Pasurive të Paluajtshme dhe Zyra Vendore e Regjistrimit të Pasurive të Paluajtshme Shkodër të pezullojnë të gjitha transaksionet me pasuritë e shpronësuara, deri në momentin që do të realizohet procesi i hedhjes së trupit të objektit në hartat kadastrale si dhe kalimi i pronësisë për pasuritë e shpronësuara. </w:t>
      </w:r>
    </w:p>
    <w:p w:rsidR="00B54AA3" w:rsidRPr="002230E5" w:rsidRDefault="00B54AA3" w:rsidP="00B54AA3">
      <w:pPr>
        <w:pStyle w:val="Paragrafi"/>
        <w:rPr>
          <w:spacing w:val="-4"/>
          <w:lang w:val="sq-AL"/>
        </w:rPr>
      </w:pPr>
      <w:r w:rsidRPr="002230E5">
        <w:rPr>
          <w:spacing w:val="-4"/>
          <w:lang w:val="sq-AL"/>
        </w:rPr>
        <w:t>11. Ngarkohen Ministria e Transportit dhe Infrastrukturës, Ministria e Financave, SHA Ujësjellës Fshat, Shkodër, Zyra Qendrore e Regjistrimit të Pasurive të Paluajtshme dhe  Zyra  Vendore e  Regjistrimit të Pasurive të  Paluajtshme Shkodër për zbatimin e këtij vendimi.</w:t>
      </w:r>
    </w:p>
    <w:p w:rsidR="00B54AA3" w:rsidRPr="002230E5" w:rsidRDefault="00B54AA3" w:rsidP="00B54AA3">
      <w:pPr>
        <w:pStyle w:val="Paragrafi"/>
        <w:rPr>
          <w:spacing w:val="-4"/>
          <w:lang w:val="sq-AL"/>
        </w:rPr>
      </w:pPr>
      <w:r w:rsidRPr="002230E5">
        <w:rPr>
          <w:spacing w:val="-4"/>
          <w:lang w:val="sq-AL"/>
        </w:rPr>
        <w:t xml:space="preserve">Ky vendim hyn në fuqi menjëherë dhe botohet në Fletoren Zyrtare.  </w:t>
      </w:r>
    </w:p>
    <w:p w:rsidR="00B54AA3" w:rsidRPr="002230E5" w:rsidRDefault="00B54AA3" w:rsidP="00B54AA3">
      <w:pPr>
        <w:pStyle w:val="Paragrafi"/>
        <w:rPr>
          <w:spacing w:val="-4"/>
          <w:sz w:val="14"/>
          <w:lang w:val="sq-AL"/>
        </w:rPr>
      </w:pPr>
    </w:p>
    <w:p w:rsidR="00B54AA3" w:rsidRPr="002230E5" w:rsidRDefault="00B54AA3" w:rsidP="00B54AA3">
      <w:pPr>
        <w:pStyle w:val="Paragrafi"/>
        <w:jc w:val="right"/>
        <w:rPr>
          <w:spacing w:val="-4"/>
          <w:lang w:val="sq-AL"/>
        </w:rPr>
      </w:pPr>
      <w:r w:rsidRPr="002230E5">
        <w:rPr>
          <w:spacing w:val="-4"/>
          <w:lang w:val="sq-AL"/>
        </w:rPr>
        <w:t>KRYEMINISTRI</w:t>
      </w:r>
    </w:p>
    <w:p w:rsidR="00B54AA3" w:rsidRPr="002230E5" w:rsidRDefault="00B54AA3" w:rsidP="00B54AA3">
      <w:pPr>
        <w:pStyle w:val="Paragrafi"/>
        <w:jc w:val="right"/>
        <w:rPr>
          <w:b/>
          <w:spacing w:val="-4"/>
          <w:lang w:val="sq-AL"/>
        </w:rPr>
        <w:sectPr w:rsidR="00B54AA3" w:rsidRPr="002230E5" w:rsidSect="00972FAA">
          <w:pgSz w:w="11907" w:h="16840" w:code="9"/>
          <w:pgMar w:top="720" w:right="1134" w:bottom="720" w:left="1134" w:header="851" w:footer="851" w:gutter="0"/>
          <w:cols w:space="454"/>
          <w:docGrid w:linePitch="360"/>
        </w:sectPr>
      </w:pPr>
      <w:r w:rsidRPr="002230E5">
        <w:rPr>
          <w:b/>
          <w:spacing w:val="-4"/>
          <w:lang w:val="sq-AL"/>
        </w:rPr>
        <w:t>Edi  Rama</w:t>
      </w:r>
    </w:p>
    <w:p w:rsidR="00B54AA3" w:rsidRPr="002230E5" w:rsidRDefault="00B54AA3" w:rsidP="00B54AA3">
      <w:pPr>
        <w:pStyle w:val="Paragrafi"/>
        <w:jc w:val="right"/>
        <w:rPr>
          <w:b/>
          <w:lang w:val="sq-AL"/>
        </w:rPr>
      </w:pPr>
    </w:p>
    <w:p w:rsidR="00B54AA3" w:rsidRPr="002230E5" w:rsidRDefault="00B54AA3" w:rsidP="00B54AA3">
      <w:pPr>
        <w:pStyle w:val="Paragrafi"/>
        <w:rPr>
          <w:rFonts w:eastAsia="Times New Roman" w:cs="Arial"/>
          <w:b/>
          <w:bCs/>
          <w:color w:val="333333"/>
          <w:sz w:val="14"/>
          <w:szCs w:val="14"/>
          <w:lang w:val="sq-AL"/>
        </w:rPr>
      </w:pPr>
    </w:p>
    <w:p w:rsidR="00B54AA3" w:rsidRPr="002230E5" w:rsidRDefault="00B54AA3" w:rsidP="00B54AA3">
      <w:pPr>
        <w:pStyle w:val="Paragrafi"/>
        <w:rPr>
          <w:rFonts w:eastAsia="Times New Roman" w:cs="Arial"/>
          <w:b/>
          <w:bCs/>
          <w:color w:val="333333"/>
          <w:sz w:val="14"/>
          <w:szCs w:val="14"/>
          <w:lang w:val="sq-AL"/>
        </w:rPr>
      </w:pPr>
      <w:r w:rsidRPr="002230E5">
        <w:rPr>
          <w:rFonts w:eastAsia="Times New Roman" w:cs="Arial"/>
          <w:b/>
          <w:bCs/>
          <w:color w:val="333333"/>
          <w:sz w:val="14"/>
          <w:szCs w:val="14"/>
          <w:lang w:val="sq-AL"/>
        </w:rPr>
        <w:t>MINISTRIA E TRANSPORTIT DHE INFRASTRUKTURËS</w:t>
      </w:r>
    </w:p>
    <w:p w:rsidR="00B54AA3" w:rsidRPr="002230E5" w:rsidRDefault="00B54AA3" w:rsidP="00B54AA3">
      <w:pPr>
        <w:pStyle w:val="Paragrafi"/>
        <w:rPr>
          <w:rFonts w:eastAsia="Times New Roman" w:cs="Arial"/>
          <w:b/>
          <w:bCs/>
          <w:color w:val="404040"/>
          <w:sz w:val="14"/>
          <w:szCs w:val="14"/>
          <w:lang w:val="sq-AL"/>
        </w:rPr>
      </w:pPr>
      <w:r w:rsidRPr="002230E5">
        <w:rPr>
          <w:rFonts w:eastAsia="Times New Roman" w:cs="Arial"/>
          <w:b/>
          <w:bCs/>
          <w:color w:val="404040"/>
          <w:sz w:val="14"/>
          <w:szCs w:val="14"/>
          <w:lang w:val="sq-AL"/>
        </w:rPr>
        <w:t>SEKTORI I SHPRONËSIMEVE</w:t>
      </w:r>
    </w:p>
    <w:p w:rsidR="00B54AA3" w:rsidRPr="002230E5" w:rsidRDefault="00B54AA3" w:rsidP="00B54AA3">
      <w:pPr>
        <w:pStyle w:val="Paragrafi"/>
        <w:rPr>
          <w:rFonts w:eastAsia="Times New Roman" w:cs="Arial"/>
          <w:b/>
          <w:bCs/>
          <w:color w:val="333333"/>
          <w:sz w:val="14"/>
          <w:szCs w:val="14"/>
          <w:lang w:val="sq-AL"/>
        </w:rPr>
      </w:pPr>
      <w:r w:rsidRPr="002230E5">
        <w:rPr>
          <w:rFonts w:eastAsia="Times New Roman" w:cs="Arial"/>
          <w:b/>
          <w:bCs/>
          <w:color w:val="333333"/>
          <w:sz w:val="14"/>
          <w:szCs w:val="14"/>
          <w:lang w:val="sq-AL"/>
        </w:rPr>
        <w:t>SH. A. UJËSJELLËS FSHAT SHKODËR</w:t>
      </w:r>
    </w:p>
    <w:p w:rsidR="00B54AA3" w:rsidRPr="002230E5" w:rsidRDefault="00B54AA3" w:rsidP="00B54AA3">
      <w:pPr>
        <w:pStyle w:val="Paragrafi"/>
        <w:rPr>
          <w:sz w:val="14"/>
          <w:lang w:val="sq-AL"/>
        </w:rPr>
      </w:pPr>
    </w:p>
    <w:p w:rsidR="00B54AA3" w:rsidRPr="002230E5" w:rsidRDefault="00B54AA3" w:rsidP="00B54AA3">
      <w:pPr>
        <w:pStyle w:val="Paragrafi"/>
        <w:jc w:val="center"/>
        <w:rPr>
          <w:b/>
          <w:lang w:val="sq-AL"/>
        </w:rPr>
      </w:pPr>
      <w:r w:rsidRPr="002230E5">
        <w:rPr>
          <w:rFonts w:eastAsia="Times New Roman" w:cs="Arial"/>
          <w:b/>
          <w:bCs/>
          <w:sz w:val="14"/>
          <w:szCs w:val="14"/>
          <w:lang w:val="sq-AL"/>
        </w:rPr>
        <w:t>LISTA E PRONAREVE QE SHPRONESOHEN NGA "REHABILITIMI I STACIONIT TE POMPIMIT TRUSH - SHKODER"</w:t>
      </w:r>
    </w:p>
    <w:p w:rsidR="00B54AA3" w:rsidRPr="002230E5" w:rsidRDefault="00B54AA3" w:rsidP="00B54AA3">
      <w:pPr>
        <w:pStyle w:val="Paragrafi"/>
        <w:rPr>
          <w:b/>
          <w:sz w:val="14"/>
          <w:lang w:val="sq-AL"/>
        </w:rPr>
      </w:pPr>
    </w:p>
    <w:tbl>
      <w:tblPr>
        <w:tblW w:w="5269" w:type="pct"/>
        <w:jc w:val="center"/>
        <w:tblLayout w:type="fixed"/>
        <w:tblLook w:val="04A0" w:firstRow="1" w:lastRow="0" w:firstColumn="1" w:lastColumn="0" w:noHBand="0" w:noVBand="1"/>
      </w:tblPr>
      <w:tblGrid>
        <w:gridCol w:w="445"/>
        <w:gridCol w:w="1183"/>
        <w:gridCol w:w="825"/>
        <w:gridCol w:w="965"/>
        <w:gridCol w:w="688"/>
        <w:gridCol w:w="811"/>
        <w:gridCol w:w="704"/>
        <w:gridCol w:w="690"/>
        <w:gridCol w:w="842"/>
        <w:gridCol w:w="779"/>
        <w:gridCol w:w="805"/>
        <w:gridCol w:w="1354"/>
      </w:tblGrid>
      <w:tr w:rsidR="00B54AA3" w:rsidRPr="002230E5" w:rsidTr="00381087">
        <w:trPr>
          <w:trHeight w:val="162"/>
          <w:jc w:val="center"/>
        </w:trPr>
        <w:tc>
          <w:tcPr>
            <w:tcW w:w="220" w:type="pct"/>
            <w:tcBorders>
              <w:top w:val="single" w:sz="8" w:space="0" w:color="auto"/>
              <w:left w:val="single" w:sz="8" w:space="0" w:color="auto"/>
              <w:bottom w:val="nil"/>
              <w:right w:val="nil"/>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995" w:type="pct"/>
            <w:gridSpan w:val="2"/>
            <w:tcBorders>
              <w:top w:val="single" w:sz="8" w:space="0" w:color="auto"/>
              <w:left w:val="single" w:sz="8" w:space="0" w:color="auto"/>
              <w:bottom w:val="single" w:sz="8" w:space="0" w:color="auto"/>
              <w:right w:val="nil"/>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Pronari</w:t>
            </w:r>
          </w:p>
        </w:tc>
        <w:tc>
          <w:tcPr>
            <w:tcW w:w="478" w:type="pct"/>
            <w:tcBorders>
              <w:top w:val="single" w:sz="8" w:space="0" w:color="auto"/>
              <w:left w:val="nil"/>
              <w:bottom w:val="single" w:sz="8"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1" w:type="pct"/>
            <w:tcBorders>
              <w:top w:val="single" w:sz="8" w:space="0" w:color="auto"/>
              <w:left w:val="nil"/>
              <w:bottom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402" w:type="pct"/>
            <w:tcBorders>
              <w:top w:val="single" w:sz="8" w:space="0" w:color="auto"/>
              <w:left w:val="nil"/>
              <w:bottom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9" w:type="pct"/>
            <w:tcBorders>
              <w:top w:val="single" w:sz="8" w:space="0" w:color="auto"/>
              <w:left w:val="nil"/>
              <w:bottom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2" w:type="pct"/>
            <w:vMerge w:val="restart"/>
            <w:tcBorders>
              <w:top w:val="single" w:sz="8" w:space="0" w:color="auto"/>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Sip.</w:t>
            </w:r>
          </w:p>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Totale (m2)</w:t>
            </w:r>
          </w:p>
          <w:p w:rsidR="00B54AA3" w:rsidRPr="002230E5" w:rsidRDefault="00B54AA3" w:rsidP="00381087">
            <w:pPr>
              <w:spacing w:after="0" w:line="240" w:lineRule="auto"/>
              <w:jc w:val="center"/>
              <w:rPr>
                <w:rFonts w:ascii="Garamond" w:eastAsia="Times New Roman" w:hAnsi="Garamond" w:cs="Arial"/>
                <w:b/>
                <w:bCs/>
                <w:sz w:val="14"/>
                <w:szCs w:val="14"/>
                <w:lang w:val="sq-AL"/>
              </w:rPr>
            </w:pPr>
          </w:p>
        </w:tc>
        <w:tc>
          <w:tcPr>
            <w:tcW w:w="417" w:type="pct"/>
            <w:tcBorders>
              <w:top w:val="single" w:sz="8" w:space="0" w:color="auto"/>
              <w:left w:val="nil"/>
              <w:bottom w:val="single" w:sz="8" w:space="0" w:color="auto"/>
              <w:right w:val="nil"/>
            </w:tcBorders>
            <w:shd w:val="clear" w:color="000000" w:fill="FFFFFF"/>
            <w:noWrap/>
            <w:vAlign w:val="center"/>
            <w:hideMark/>
          </w:tcPr>
          <w:p w:rsidR="00B54AA3" w:rsidRPr="002230E5" w:rsidRDefault="00B54AA3" w:rsidP="00381087">
            <w:pPr>
              <w:spacing w:after="0" w:line="240" w:lineRule="auto"/>
              <w:ind w:firstLine="0"/>
              <w:jc w:val="right"/>
              <w:rPr>
                <w:rFonts w:ascii="Garamond" w:eastAsia="Times New Roman" w:hAnsi="Garamond" w:cs="Arial"/>
                <w:sz w:val="14"/>
                <w:szCs w:val="14"/>
                <w:lang w:val="sq-AL"/>
              </w:rPr>
            </w:pPr>
            <w:r w:rsidRPr="002230E5">
              <w:rPr>
                <w:rFonts w:ascii="Garamond" w:eastAsia="Times New Roman" w:hAnsi="Garamond" w:cs="Arial"/>
                <w:sz w:val="14"/>
                <w:szCs w:val="14"/>
                <w:lang w:val="sq-AL"/>
              </w:rPr>
              <w:t xml:space="preserve">              </w:t>
            </w:r>
          </w:p>
        </w:tc>
        <w:tc>
          <w:tcPr>
            <w:tcW w:w="785" w:type="pct"/>
            <w:gridSpan w:val="2"/>
            <w:tcBorders>
              <w:top w:val="single" w:sz="8" w:space="0" w:color="auto"/>
              <w:left w:val="nil"/>
              <w:bottom w:val="single" w:sz="8" w:space="0" w:color="auto"/>
              <w:right w:val="single" w:sz="8" w:space="0" w:color="000000"/>
            </w:tcBorders>
            <w:shd w:val="clear" w:color="000000" w:fill="FFFFFF"/>
            <w:noWrap/>
            <w:hideMark/>
          </w:tcPr>
          <w:p w:rsidR="00B54AA3" w:rsidRPr="002230E5" w:rsidRDefault="00B54AA3" w:rsidP="00381087">
            <w:pPr>
              <w:spacing w:after="0" w:line="240" w:lineRule="auto"/>
              <w:ind w:firstLine="0"/>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Vlerësimet</w:t>
            </w:r>
          </w:p>
        </w:tc>
        <w:tc>
          <w:tcPr>
            <w:tcW w:w="671" w:type="pct"/>
            <w:vMerge w:val="restart"/>
            <w:tcBorders>
              <w:top w:val="single" w:sz="8" w:space="0" w:color="auto"/>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Shënime</w:t>
            </w:r>
          </w:p>
        </w:tc>
      </w:tr>
      <w:tr w:rsidR="00B54AA3" w:rsidRPr="002230E5" w:rsidTr="00381087">
        <w:trPr>
          <w:trHeight w:val="162"/>
          <w:jc w:val="center"/>
        </w:trPr>
        <w:tc>
          <w:tcPr>
            <w:tcW w:w="220" w:type="pct"/>
            <w:tcBorders>
              <w:top w:val="nil"/>
              <w:left w:val="single" w:sz="8" w:space="0" w:color="auto"/>
              <w:bottom w:val="nil"/>
              <w:right w:val="single" w:sz="8"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2"/>
                <w:szCs w:val="12"/>
                <w:lang w:val="sq-AL"/>
              </w:rPr>
            </w:pPr>
            <w:r w:rsidRPr="002230E5">
              <w:rPr>
                <w:rFonts w:ascii="Garamond" w:eastAsia="Times New Roman" w:hAnsi="Garamond" w:cs="Arial"/>
                <w:b/>
                <w:bCs/>
                <w:sz w:val="12"/>
                <w:szCs w:val="12"/>
                <w:lang w:val="sq-AL"/>
              </w:rPr>
              <w:t>NR</w:t>
            </w:r>
          </w:p>
        </w:tc>
        <w:tc>
          <w:tcPr>
            <w:tcW w:w="586"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Emri</w:t>
            </w:r>
          </w:p>
        </w:tc>
        <w:tc>
          <w:tcPr>
            <w:tcW w:w="409"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sz w:val="14"/>
                <w:szCs w:val="14"/>
                <w:lang w:val="sq-AL"/>
              </w:rPr>
            </w:pPr>
            <w:r w:rsidRPr="002230E5">
              <w:rPr>
                <w:rFonts w:ascii="Garamond" w:eastAsia="Times New Roman" w:hAnsi="Garamond" w:cs="Arial"/>
                <w:b/>
                <w:bCs/>
                <w:sz w:val="14"/>
                <w:szCs w:val="14"/>
                <w:lang w:val="sq-AL"/>
              </w:rPr>
              <w:t>Atësia</w:t>
            </w:r>
          </w:p>
        </w:tc>
        <w:tc>
          <w:tcPr>
            <w:tcW w:w="478"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Mbiemri</w:t>
            </w:r>
          </w:p>
        </w:tc>
        <w:tc>
          <w:tcPr>
            <w:tcW w:w="341"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Zona Kad.</w:t>
            </w:r>
          </w:p>
        </w:tc>
        <w:tc>
          <w:tcPr>
            <w:tcW w:w="402"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Nr.  Pas.</w:t>
            </w:r>
          </w:p>
        </w:tc>
        <w:tc>
          <w:tcPr>
            <w:tcW w:w="349"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Lloji pasurisë</w:t>
            </w:r>
          </w:p>
        </w:tc>
        <w:tc>
          <w:tcPr>
            <w:tcW w:w="342" w:type="pct"/>
            <w:vMerge/>
            <w:tcBorders>
              <w:left w:val="nil"/>
              <w:right w:val="single" w:sz="8" w:space="0" w:color="auto"/>
            </w:tcBorders>
            <w:shd w:val="clear" w:color="000000" w:fill="FFFFFF"/>
            <w:noWrap/>
            <w:vAlign w:val="center"/>
            <w:hideMark/>
          </w:tcPr>
          <w:p w:rsidR="00B54AA3" w:rsidRPr="002230E5" w:rsidRDefault="00B54AA3" w:rsidP="00381087">
            <w:pPr>
              <w:spacing w:after="0" w:line="240" w:lineRule="auto"/>
              <w:jc w:val="center"/>
              <w:rPr>
                <w:rFonts w:ascii="Garamond" w:eastAsia="Times New Roman" w:hAnsi="Garamond" w:cs="Arial"/>
                <w:b/>
                <w:bCs/>
                <w:sz w:val="14"/>
                <w:szCs w:val="14"/>
                <w:lang w:val="sq-AL"/>
              </w:rPr>
            </w:pPr>
          </w:p>
        </w:tc>
        <w:tc>
          <w:tcPr>
            <w:tcW w:w="417"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color w:val="000000" w:themeColor="text1"/>
                <w:sz w:val="14"/>
                <w:szCs w:val="14"/>
                <w:lang w:val="sq-AL"/>
              </w:rPr>
            </w:pPr>
            <w:r w:rsidRPr="002230E5">
              <w:rPr>
                <w:rFonts w:ascii="Garamond" w:eastAsia="Times New Roman" w:hAnsi="Garamond" w:cs="Arial"/>
                <w:b/>
                <w:bCs/>
                <w:color w:val="000000" w:themeColor="text1"/>
                <w:sz w:val="14"/>
                <w:szCs w:val="14"/>
                <w:lang w:val="sq-AL"/>
              </w:rPr>
              <w:t>Sip.</w:t>
            </w:r>
          </w:p>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color w:val="000000" w:themeColor="text1"/>
                <w:sz w:val="12"/>
                <w:szCs w:val="12"/>
                <w:lang w:val="sq-AL"/>
              </w:rPr>
              <w:t>Shpronësim</w:t>
            </w:r>
            <w:r w:rsidRPr="002230E5">
              <w:rPr>
                <w:rFonts w:ascii="Garamond" w:eastAsia="Times New Roman" w:hAnsi="Garamond" w:cs="Arial"/>
                <w:b/>
                <w:bCs/>
                <w:color w:val="000000" w:themeColor="text1"/>
                <w:sz w:val="14"/>
                <w:szCs w:val="14"/>
                <w:lang w:val="sq-AL"/>
              </w:rPr>
              <w:t xml:space="preserve"> (m2)</w:t>
            </w:r>
          </w:p>
        </w:tc>
        <w:tc>
          <w:tcPr>
            <w:tcW w:w="386" w:type="pct"/>
            <w:vMerge w:val="restart"/>
            <w:tcBorders>
              <w:top w:val="nil"/>
              <w:left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left"/>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Cmimi</w:t>
            </w:r>
          </w:p>
          <w:p w:rsidR="00B54AA3" w:rsidRPr="002230E5" w:rsidRDefault="00B54AA3" w:rsidP="00381087">
            <w:pPr>
              <w:spacing w:after="0" w:line="240" w:lineRule="auto"/>
              <w:ind w:firstLine="0"/>
              <w:jc w:val="left"/>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(lekë/m</w:t>
            </w:r>
            <w:r w:rsidRPr="002230E5">
              <w:rPr>
                <w:rFonts w:ascii="Garamond" w:eastAsia="Times New Roman" w:hAnsi="Garamond" w:cs="Arial"/>
                <w:b/>
                <w:bCs/>
                <w:sz w:val="14"/>
                <w:szCs w:val="14"/>
                <w:vertAlign w:val="superscript"/>
                <w:lang w:val="sq-AL"/>
              </w:rPr>
              <w:t>2</w:t>
            </w:r>
            <w:r w:rsidRPr="002230E5">
              <w:rPr>
                <w:rFonts w:ascii="Garamond" w:eastAsia="Times New Roman" w:hAnsi="Garamond" w:cs="Arial"/>
                <w:b/>
                <w:bCs/>
                <w:sz w:val="14"/>
                <w:szCs w:val="14"/>
                <w:lang w:val="sq-AL"/>
              </w:rPr>
              <w:t>)</w:t>
            </w:r>
          </w:p>
          <w:p w:rsidR="00B54AA3" w:rsidRPr="002230E5" w:rsidRDefault="00B54AA3" w:rsidP="00381087">
            <w:pPr>
              <w:spacing w:after="0" w:line="240" w:lineRule="auto"/>
              <w:jc w:val="left"/>
              <w:rPr>
                <w:rFonts w:ascii="Garamond" w:eastAsia="Times New Roman" w:hAnsi="Garamond" w:cs="Arial"/>
                <w:b/>
                <w:bCs/>
                <w:sz w:val="14"/>
                <w:szCs w:val="14"/>
                <w:lang w:val="sq-AL"/>
              </w:rPr>
            </w:pPr>
            <w:r w:rsidRPr="002230E5">
              <w:rPr>
                <w:rFonts w:ascii="Garamond" w:eastAsia="Times New Roman" w:hAnsi="Garamond" w:cs="Arial"/>
                <w:sz w:val="14"/>
                <w:szCs w:val="14"/>
                <w:lang w:val="sq-AL"/>
              </w:rPr>
              <w:t> </w:t>
            </w:r>
          </w:p>
        </w:tc>
        <w:tc>
          <w:tcPr>
            <w:tcW w:w="399" w:type="pct"/>
            <w:vMerge w:val="restart"/>
            <w:tcBorders>
              <w:top w:val="nil"/>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Vlera</w:t>
            </w:r>
          </w:p>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(lekë)</w:t>
            </w:r>
          </w:p>
          <w:p w:rsidR="00B54AA3" w:rsidRPr="002230E5" w:rsidRDefault="00B54AA3" w:rsidP="00381087">
            <w:pPr>
              <w:spacing w:after="0" w:line="240" w:lineRule="auto"/>
              <w:jc w:val="center"/>
              <w:rPr>
                <w:rFonts w:ascii="Garamond" w:eastAsia="Times New Roman" w:hAnsi="Garamond" w:cs="Arial"/>
                <w:b/>
                <w:bCs/>
                <w:sz w:val="14"/>
                <w:szCs w:val="14"/>
                <w:lang w:val="sq-AL"/>
              </w:rPr>
            </w:pPr>
          </w:p>
        </w:tc>
        <w:tc>
          <w:tcPr>
            <w:tcW w:w="671" w:type="pct"/>
            <w:vMerge/>
            <w:tcBorders>
              <w:left w:val="single" w:sz="8" w:space="0" w:color="auto"/>
              <w:right w:val="single" w:sz="8" w:space="0" w:color="auto"/>
            </w:tcBorders>
            <w:shd w:val="clear" w:color="000000" w:fill="FFFFFF"/>
            <w:noWrap/>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r>
      <w:tr w:rsidR="00B54AA3" w:rsidRPr="002230E5" w:rsidTr="00381087">
        <w:trPr>
          <w:trHeight w:val="162"/>
          <w:jc w:val="center"/>
        </w:trPr>
        <w:tc>
          <w:tcPr>
            <w:tcW w:w="220" w:type="pct"/>
            <w:tcBorders>
              <w:top w:val="nil"/>
              <w:left w:val="single" w:sz="8" w:space="0" w:color="auto"/>
              <w:bottom w:val="nil"/>
              <w:right w:val="single" w:sz="8"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586" w:type="pct"/>
            <w:vMerge/>
            <w:tcBorders>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409" w:type="pct"/>
            <w:vMerge/>
            <w:tcBorders>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478" w:type="pct"/>
            <w:vMerge/>
            <w:tcBorders>
              <w:left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1"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402"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9"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2" w:type="pct"/>
            <w:vMerge/>
            <w:tcBorders>
              <w:left w:val="nil"/>
              <w:right w:val="single" w:sz="8" w:space="0" w:color="auto"/>
            </w:tcBorders>
            <w:shd w:val="clear" w:color="000000" w:fill="FFFFFF"/>
            <w:noWrap/>
            <w:vAlign w:val="bottom"/>
            <w:hideMark/>
          </w:tcPr>
          <w:p w:rsidR="00B54AA3" w:rsidRPr="002230E5" w:rsidRDefault="00B54AA3" w:rsidP="00381087">
            <w:pPr>
              <w:spacing w:after="0" w:line="240" w:lineRule="auto"/>
              <w:jc w:val="left"/>
              <w:rPr>
                <w:rFonts w:ascii="Garamond" w:eastAsia="Times New Roman" w:hAnsi="Garamond" w:cs="Arial"/>
                <w:b/>
                <w:bCs/>
                <w:sz w:val="14"/>
                <w:szCs w:val="14"/>
                <w:lang w:val="sq-AL"/>
              </w:rPr>
            </w:pPr>
          </w:p>
        </w:tc>
        <w:tc>
          <w:tcPr>
            <w:tcW w:w="417" w:type="pct"/>
            <w:vMerge/>
            <w:tcBorders>
              <w:left w:val="nil"/>
              <w:right w:val="single" w:sz="8" w:space="0" w:color="auto"/>
            </w:tcBorders>
            <w:shd w:val="clear" w:color="000000" w:fill="FFFFFF"/>
            <w:noWrap/>
            <w:vAlign w:val="center"/>
            <w:hideMark/>
          </w:tcPr>
          <w:p w:rsidR="00B54AA3" w:rsidRPr="002230E5" w:rsidRDefault="00B54AA3" w:rsidP="00381087">
            <w:pPr>
              <w:spacing w:after="0" w:line="240" w:lineRule="auto"/>
              <w:jc w:val="center"/>
              <w:rPr>
                <w:rFonts w:ascii="Garamond" w:eastAsia="Times New Roman" w:hAnsi="Garamond" w:cs="Arial"/>
                <w:b/>
                <w:bCs/>
                <w:sz w:val="14"/>
                <w:szCs w:val="14"/>
                <w:lang w:val="sq-AL"/>
              </w:rPr>
            </w:pPr>
          </w:p>
        </w:tc>
        <w:tc>
          <w:tcPr>
            <w:tcW w:w="386" w:type="pct"/>
            <w:vMerge/>
            <w:tcBorders>
              <w:left w:val="nil"/>
              <w:right w:val="single" w:sz="8" w:space="0" w:color="auto"/>
            </w:tcBorders>
            <w:shd w:val="clear" w:color="000000" w:fill="FFFFFF"/>
            <w:noWrap/>
            <w:vAlign w:val="bottom"/>
            <w:hideMark/>
          </w:tcPr>
          <w:p w:rsidR="00B54AA3" w:rsidRPr="002230E5" w:rsidRDefault="00B54AA3" w:rsidP="00381087">
            <w:pPr>
              <w:spacing w:after="0" w:line="240" w:lineRule="auto"/>
              <w:jc w:val="left"/>
              <w:rPr>
                <w:rFonts w:ascii="Garamond" w:eastAsia="Times New Roman" w:hAnsi="Garamond" w:cs="Arial"/>
                <w:b/>
                <w:bCs/>
                <w:sz w:val="14"/>
                <w:szCs w:val="14"/>
                <w:lang w:val="sq-AL"/>
              </w:rPr>
            </w:pPr>
          </w:p>
        </w:tc>
        <w:tc>
          <w:tcPr>
            <w:tcW w:w="399" w:type="pct"/>
            <w:vMerge/>
            <w:tcBorders>
              <w:left w:val="nil"/>
              <w:right w:val="single" w:sz="8" w:space="0" w:color="auto"/>
            </w:tcBorders>
            <w:shd w:val="clear" w:color="000000" w:fill="FFFFFF"/>
            <w:noWrap/>
            <w:vAlign w:val="bottom"/>
            <w:hideMark/>
          </w:tcPr>
          <w:p w:rsidR="00B54AA3" w:rsidRPr="002230E5" w:rsidRDefault="00B54AA3" w:rsidP="00381087">
            <w:pPr>
              <w:spacing w:after="0" w:line="240" w:lineRule="auto"/>
              <w:jc w:val="left"/>
              <w:rPr>
                <w:rFonts w:ascii="Garamond" w:eastAsia="Times New Roman" w:hAnsi="Garamond" w:cs="Arial"/>
                <w:b/>
                <w:bCs/>
                <w:sz w:val="14"/>
                <w:szCs w:val="14"/>
                <w:lang w:val="sq-AL"/>
              </w:rPr>
            </w:pPr>
          </w:p>
        </w:tc>
        <w:tc>
          <w:tcPr>
            <w:tcW w:w="671" w:type="pct"/>
            <w:vMerge/>
            <w:tcBorders>
              <w:left w:val="single" w:sz="8" w:space="0" w:color="auto"/>
              <w:right w:val="single" w:sz="8" w:space="0" w:color="auto"/>
            </w:tcBorders>
            <w:vAlign w:val="center"/>
            <w:hideMark/>
          </w:tcPr>
          <w:p w:rsidR="00B54AA3" w:rsidRPr="002230E5" w:rsidRDefault="00B54AA3" w:rsidP="00381087">
            <w:pPr>
              <w:spacing w:after="0" w:line="240" w:lineRule="auto"/>
              <w:ind w:firstLine="0"/>
              <w:jc w:val="left"/>
              <w:rPr>
                <w:rFonts w:ascii="Garamond" w:eastAsia="Times New Roman" w:hAnsi="Garamond" w:cs="Arial"/>
                <w:b/>
                <w:bCs/>
                <w:sz w:val="14"/>
                <w:szCs w:val="14"/>
                <w:lang w:val="sq-AL"/>
              </w:rPr>
            </w:pPr>
          </w:p>
        </w:tc>
      </w:tr>
      <w:tr w:rsidR="00B54AA3" w:rsidRPr="002230E5" w:rsidTr="00381087">
        <w:trPr>
          <w:trHeight w:val="162"/>
          <w:jc w:val="center"/>
        </w:trPr>
        <w:tc>
          <w:tcPr>
            <w:tcW w:w="220" w:type="pct"/>
            <w:tcBorders>
              <w:top w:val="nil"/>
              <w:left w:val="single" w:sz="8" w:space="0" w:color="auto"/>
              <w:bottom w:val="nil"/>
              <w:right w:val="single" w:sz="8"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586"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409"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sz w:val="14"/>
                <w:szCs w:val="14"/>
                <w:lang w:val="sq-AL"/>
              </w:rPr>
            </w:pPr>
          </w:p>
        </w:tc>
        <w:tc>
          <w:tcPr>
            <w:tcW w:w="478"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1" w:type="pct"/>
            <w:tcBorders>
              <w:top w:val="nil"/>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402" w:type="pct"/>
            <w:tcBorders>
              <w:top w:val="nil"/>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49" w:type="pct"/>
            <w:tcBorders>
              <w:top w:val="nil"/>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 </w:t>
            </w:r>
          </w:p>
        </w:tc>
        <w:tc>
          <w:tcPr>
            <w:tcW w:w="342"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left"/>
              <w:rPr>
                <w:rFonts w:ascii="Garamond" w:eastAsia="Times New Roman" w:hAnsi="Garamond" w:cs="Arial"/>
                <w:b/>
                <w:bCs/>
                <w:sz w:val="14"/>
                <w:szCs w:val="14"/>
                <w:lang w:val="sq-AL"/>
              </w:rPr>
            </w:pPr>
          </w:p>
        </w:tc>
        <w:tc>
          <w:tcPr>
            <w:tcW w:w="417" w:type="pct"/>
            <w:vMerge/>
            <w:tcBorders>
              <w:left w:val="nil"/>
              <w:bottom w:val="nil"/>
              <w:right w:val="single" w:sz="8" w:space="0" w:color="auto"/>
            </w:tcBorders>
            <w:shd w:val="clear" w:color="000000" w:fill="FFFFFF"/>
            <w:noWrap/>
            <w:vAlign w:val="center"/>
            <w:hideMark/>
          </w:tcPr>
          <w:p w:rsidR="00B54AA3" w:rsidRPr="002230E5" w:rsidRDefault="00B54AA3" w:rsidP="00381087">
            <w:pPr>
              <w:spacing w:after="0" w:line="240" w:lineRule="auto"/>
              <w:ind w:firstLine="0"/>
              <w:jc w:val="center"/>
              <w:rPr>
                <w:rFonts w:ascii="Garamond" w:eastAsia="Times New Roman" w:hAnsi="Garamond" w:cs="Arial"/>
                <w:b/>
                <w:bCs/>
                <w:sz w:val="14"/>
                <w:szCs w:val="14"/>
                <w:lang w:val="sq-AL"/>
              </w:rPr>
            </w:pPr>
          </w:p>
        </w:tc>
        <w:tc>
          <w:tcPr>
            <w:tcW w:w="386"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left"/>
              <w:rPr>
                <w:rFonts w:ascii="Garamond" w:eastAsia="Times New Roman" w:hAnsi="Garamond" w:cs="Arial"/>
                <w:sz w:val="14"/>
                <w:szCs w:val="14"/>
                <w:lang w:val="sq-AL"/>
              </w:rPr>
            </w:pPr>
          </w:p>
        </w:tc>
        <w:tc>
          <w:tcPr>
            <w:tcW w:w="399" w:type="pct"/>
            <w:vMerge/>
            <w:tcBorders>
              <w:left w:val="nil"/>
              <w:bottom w:val="nil"/>
              <w:right w:val="single" w:sz="8" w:space="0" w:color="auto"/>
            </w:tcBorders>
            <w:shd w:val="clear" w:color="000000" w:fill="FFFFFF"/>
            <w:noWrap/>
            <w:vAlign w:val="bottom"/>
            <w:hideMark/>
          </w:tcPr>
          <w:p w:rsidR="00B54AA3" w:rsidRPr="002230E5" w:rsidRDefault="00B54AA3" w:rsidP="00381087">
            <w:pPr>
              <w:spacing w:after="0" w:line="240" w:lineRule="auto"/>
              <w:ind w:firstLine="0"/>
              <w:jc w:val="left"/>
              <w:rPr>
                <w:rFonts w:ascii="Garamond" w:eastAsia="Times New Roman" w:hAnsi="Garamond" w:cs="Arial"/>
                <w:b/>
                <w:bCs/>
                <w:sz w:val="14"/>
                <w:szCs w:val="14"/>
                <w:lang w:val="sq-AL"/>
              </w:rPr>
            </w:pPr>
          </w:p>
        </w:tc>
        <w:tc>
          <w:tcPr>
            <w:tcW w:w="671" w:type="pct"/>
            <w:vMerge/>
            <w:tcBorders>
              <w:left w:val="single" w:sz="8" w:space="0" w:color="auto"/>
              <w:bottom w:val="single" w:sz="8" w:space="0" w:color="000000"/>
              <w:right w:val="single" w:sz="8" w:space="0" w:color="auto"/>
            </w:tcBorders>
            <w:vAlign w:val="center"/>
            <w:hideMark/>
          </w:tcPr>
          <w:p w:rsidR="00B54AA3" w:rsidRPr="002230E5" w:rsidRDefault="00B54AA3" w:rsidP="00381087">
            <w:pPr>
              <w:spacing w:after="0" w:line="240" w:lineRule="auto"/>
              <w:ind w:firstLine="0"/>
              <w:jc w:val="left"/>
              <w:rPr>
                <w:rFonts w:ascii="Garamond" w:eastAsia="Times New Roman" w:hAnsi="Garamond" w:cs="Arial"/>
                <w:b/>
                <w:bCs/>
                <w:sz w:val="14"/>
                <w:szCs w:val="14"/>
                <w:lang w:val="sq-AL"/>
              </w:rPr>
            </w:pP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w:t>
            </w:r>
          </w:p>
        </w:tc>
        <w:tc>
          <w:tcPr>
            <w:tcW w:w="586"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b/>
                <w:bCs/>
                <w:color w:val="000000"/>
                <w:sz w:val="12"/>
                <w:szCs w:val="12"/>
                <w:lang w:val="sq-AL"/>
              </w:rPr>
            </w:pPr>
            <w:r w:rsidRPr="002230E5">
              <w:rPr>
                <w:rFonts w:ascii="Garamond" w:eastAsia="Times New Roman" w:hAnsi="Garamond" w:cs="Arial"/>
                <w:b/>
                <w:bCs/>
                <w:color w:val="000000"/>
                <w:sz w:val="12"/>
                <w:szCs w:val="12"/>
                <w:lang w:val="sq-AL"/>
              </w:rPr>
              <w:t>Bashkëpronarët "RROJI"</w:t>
            </w:r>
          </w:p>
        </w:tc>
        <w:tc>
          <w:tcPr>
            <w:tcW w:w="409"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p>
        </w:tc>
        <w:tc>
          <w:tcPr>
            <w:tcW w:w="478"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b/>
                <w:bCs/>
                <w:color w:val="000000"/>
                <w:sz w:val="14"/>
                <w:szCs w:val="14"/>
                <w:lang w:val="sq-AL"/>
              </w:rPr>
            </w:pPr>
          </w:p>
        </w:tc>
        <w:tc>
          <w:tcPr>
            <w:tcW w:w="341"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1648</w:t>
            </w:r>
          </w:p>
        </w:tc>
        <w:tc>
          <w:tcPr>
            <w:tcW w:w="402"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103</w:t>
            </w:r>
          </w:p>
        </w:tc>
        <w:tc>
          <w:tcPr>
            <w:tcW w:w="349"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55970</w:t>
            </w:r>
          </w:p>
        </w:tc>
        <w:tc>
          <w:tcPr>
            <w:tcW w:w="417"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17252</w:t>
            </w:r>
          </w:p>
        </w:tc>
        <w:tc>
          <w:tcPr>
            <w:tcW w:w="386" w:type="pct"/>
            <w:tcBorders>
              <w:top w:val="single" w:sz="8" w:space="0" w:color="auto"/>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262</w:t>
            </w:r>
          </w:p>
        </w:tc>
        <w:tc>
          <w:tcPr>
            <w:tcW w:w="399" w:type="pct"/>
            <w:tcBorders>
              <w:top w:val="single" w:sz="8" w:space="0" w:color="auto"/>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4520024</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NAZIF</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HALIT</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PERVIZI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1298/3</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2120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900</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299700</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HAJRULLAH</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PELLUMBI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1298/35</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2000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2000</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666000</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4</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HAJRULLAH</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PELLUMBI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1298/36</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388</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194</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64602</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5</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FERID</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SYLO</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PELLUMBI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1298/6</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3180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3180</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1058940</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6</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XHEMAL</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DAN</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MUÇEJANI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1298/7</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2120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1940</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646020</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7</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MUSA</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OSMAN</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MUÇEJANI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1298/37</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2000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1864</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620712</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8</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MUSA</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OSMAN</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MUÇEJANI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1298/38</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976</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821</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273393</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9</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HYSNI</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OSMAN</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MUÇEJANI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1298/10</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3000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3000</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999000</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10</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ZENEL</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BRAHIM</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MUÇEJANI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1298/9</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2000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2000</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666000</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11</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HAMDI</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OSMAN</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MUÇEJANI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1298/11</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2500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2008</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668664</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ENVER</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KASEM</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BUSHATI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1298/12</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3710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2783</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926739</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13</w:t>
            </w:r>
          </w:p>
        </w:tc>
        <w:tc>
          <w:tcPr>
            <w:tcW w:w="5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ENVER</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TEOFIK</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VERRI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1298/39</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3600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2365</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787545</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14</w:t>
            </w:r>
          </w:p>
        </w:tc>
        <w:tc>
          <w:tcPr>
            <w:tcW w:w="586" w:type="pct"/>
            <w:tcBorders>
              <w:top w:val="nil"/>
              <w:left w:val="nil"/>
              <w:bottom w:val="nil"/>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DYLAVER</w:t>
            </w:r>
          </w:p>
        </w:tc>
        <w:tc>
          <w:tcPr>
            <w:tcW w:w="40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TEOFIK</w:t>
            </w:r>
          </w:p>
        </w:tc>
        <w:tc>
          <w:tcPr>
            <w:tcW w:w="478"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VERRI</w:t>
            </w:r>
          </w:p>
        </w:tc>
        <w:tc>
          <w:tcPr>
            <w:tcW w:w="341"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3205</w:t>
            </w:r>
          </w:p>
        </w:tc>
        <w:tc>
          <w:tcPr>
            <w:tcW w:w="40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1298/41</w:t>
            </w:r>
          </w:p>
        </w:tc>
        <w:tc>
          <w:tcPr>
            <w:tcW w:w="349"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arë</w:t>
            </w:r>
          </w:p>
        </w:tc>
        <w:tc>
          <w:tcPr>
            <w:tcW w:w="342"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4000</w:t>
            </w:r>
          </w:p>
        </w:tc>
        <w:tc>
          <w:tcPr>
            <w:tcW w:w="417"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1329</w:t>
            </w:r>
          </w:p>
        </w:tc>
        <w:tc>
          <w:tcPr>
            <w:tcW w:w="386" w:type="pct"/>
            <w:tcBorders>
              <w:top w:val="nil"/>
              <w:left w:val="nil"/>
              <w:bottom w:val="single" w:sz="4" w:space="0" w:color="auto"/>
              <w:right w:val="single" w:sz="4" w:space="0" w:color="auto"/>
            </w:tcBorders>
            <w:shd w:val="clear" w:color="auto" w:fill="auto"/>
            <w:noWrap/>
            <w:vAlign w:val="bottom"/>
            <w:hideMark/>
          </w:tcPr>
          <w:p w:rsidR="00B54AA3" w:rsidRPr="002230E5" w:rsidRDefault="00B54AA3" w:rsidP="00381087">
            <w:pPr>
              <w:spacing w:after="0" w:line="240" w:lineRule="auto"/>
              <w:ind w:firstLine="0"/>
              <w:jc w:val="righ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333</w:t>
            </w:r>
          </w:p>
        </w:tc>
        <w:tc>
          <w:tcPr>
            <w:tcW w:w="399" w:type="pct"/>
            <w:tcBorders>
              <w:top w:val="nil"/>
              <w:left w:val="nil"/>
              <w:bottom w:val="single" w:sz="4" w:space="0" w:color="auto"/>
              <w:right w:val="single" w:sz="4"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442557</w:t>
            </w:r>
          </w:p>
        </w:tc>
        <w:tc>
          <w:tcPr>
            <w:tcW w:w="671" w:type="pct"/>
            <w:tcBorders>
              <w:top w:val="nil"/>
              <w:left w:val="nil"/>
              <w:bottom w:val="single" w:sz="4"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Konfirmuar  ZVRPP</w:t>
            </w:r>
          </w:p>
        </w:tc>
      </w:tr>
      <w:tr w:rsidR="00B54AA3" w:rsidRPr="002230E5" w:rsidTr="00381087">
        <w:trPr>
          <w:trHeight w:val="162"/>
          <w:jc w:val="center"/>
        </w:trPr>
        <w:tc>
          <w:tcPr>
            <w:tcW w:w="220"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sz w:val="14"/>
                <w:szCs w:val="14"/>
                <w:lang w:val="sq-AL"/>
              </w:rPr>
            </w:pPr>
          </w:p>
        </w:tc>
        <w:tc>
          <w:tcPr>
            <w:tcW w:w="586" w:type="pct"/>
            <w:tcBorders>
              <w:top w:val="single" w:sz="8" w:space="0" w:color="auto"/>
              <w:left w:val="nil"/>
              <w:bottom w:val="single" w:sz="8" w:space="0" w:color="auto"/>
              <w:right w:val="nil"/>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sz w:val="14"/>
                <w:szCs w:val="14"/>
                <w:lang w:val="sq-AL"/>
              </w:rPr>
            </w:pPr>
          </w:p>
        </w:tc>
        <w:tc>
          <w:tcPr>
            <w:tcW w:w="409" w:type="pct"/>
            <w:tcBorders>
              <w:top w:val="single" w:sz="8" w:space="0" w:color="auto"/>
              <w:left w:val="nil"/>
              <w:bottom w:val="single" w:sz="8" w:space="0" w:color="auto"/>
              <w:right w:val="nil"/>
            </w:tcBorders>
            <w:shd w:val="clear" w:color="auto" w:fill="auto"/>
            <w:noWrap/>
            <w:vAlign w:val="bottom"/>
            <w:hideMark/>
          </w:tcPr>
          <w:p w:rsidR="00B54AA3" w:rsidRPr="002230E5" w:rsidRDefault="00B54AA3" w:rsidP="00381087">
            <w:pPr>
              <w:spacing w:after="0" w:line="240" w:lineRule="auto"/>
              <w:ind w:firstLine="0"/>
              <w:jc w:val="center"/>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SHUMA</w:t>
            </w:r>
          </w:p>
        </w:tc>
        <w:tc>
          <w:tcPr>
            <w:tcW w:w="478" w:type="pct"/>
            <w:tcBorders>
              <w:top w:val="single" w:sz="8" w:space="0" w:color="auto"/>
              <w:left w:val="nil"/>
              <w:bottom w:val="single" w:sz="8"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p>
        </w:tc>
        <w:tc>
          <w:tcPr>
            <w:tcW w:w="341" w:type="pct"/>
            <w:tcBorders>
              <w:top w:val="single" w:sz="8" w:space="0" w:color="auto"/>
              <w:left w:val="nil"/>
              <w:bottom w:val="single" w:sz="8" w:space="0" w:color="auto"/>
              <w:right w:val="nil"/>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sz w:val="14"/>
                <w:szCs w:val="14"/>
                <w:lang w:val="sq-AL"/>
              </w:rPr>
            </w:pPr>
          </w:p>
        </w:tc>
        <w:tc>
          <w:tcPr>
            <w:tcW w:w="402" w:type="pct"/>
            <w:tcBorders>
              <w:top w:val="single" w:sz="8" w:space="0" w:color="auto"/>
              <w:left w:val="nil"/>
              <w:bottom w:val="single" w:sz="8" w:space="0" w:color="auto"/>
              <w:right w:val="nil"/>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p>
        </w:tc>
        <w:tc>
          <w:tcPr>
            <w:tcW w:w="349" w:type="pct"/>
            <w:tcBorders>
              <w:top w:val="single" w:sz="8" w:space="0" w:color="auto"/>
              <w:left w:val="nil"/>
              <w:bottom w:val="single" w:sz="8" w:space="0" w:color="auto"/>
              <w:right w:val="nil"/>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 </w:t>
            </w:r>
          </w:p>
        </w:tc>
        <w:tc>
          <w:tcPr>
            <w:tcW w:w="342" w:type="pct"/>
            <w:tcBorders>
              <w:top w:val="single" w:sz="8" w:space="0" w:color="auto"/>
              <w:left w:val="nil"/>
              <w:bottom w:val="single" w:sz="8" w:space="0" w:color="auto"/>
              <w:right w:val="nil"/>
            </w:tcBorders>
            <w:shd w:val="clear" w:color="000000" w:fill="FFFFFF"/>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 </w:t>
            </w:r>
          </w:p>
        </w:tc>
        <w:tc>
          <w:tcPr>
            <w:tcW w:w="417"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B54AA3" w:rsidRPr="002230E5" w:rsidRDefault="00B54AA3" w:rsidP="00381087">
            <w:pPr>
              <w:spacing w:after="0" w:line="240" w:lineRule="auto"/>
              <w:ind w:firstLine="0"/>
              <w:jc w:val="right"/>
              <w:rPr>
                <w:rFonts w:ascii="Garamond" w:eastAsia="Times New Roman" w:hAnsi="Garamond" w:cs="Arial"/>
                <w:b/>
                <w:bCs/>
                <w:color w:val="000000"/>
                <w:sz w:val="14"/>
                <w:szCs w:val="14"/>
                <w:lang w:val="sq-AL"/>
              </w:rPr>
            </w:pPr>
            <w:r w:rsidRPr="002230E5">
              <w:rPr>
                <w:rFonts w:ascii="Garamond" w:eastAsia="Times New Roman" w:hAnsi="Garamond" w:cs="Arial"/>
                <w:b/>
                <w:bCs/>
                <w:color w:val="000000"/>
                <w:sz w:val="14"/>
                <w:szCs w:val="14"/>
                <w:lang w:val="sq-AL"/>
              </w:rPr>
              <w:t>41636</w:t>
            </w:r>
          </w:p>
        </w:tc>
        <w:tc>
          <w:tcPr>
            <w:tcW w:w="386" w:type="pct"/>
            <w:tcBorders>
              <w:top w:val="single" w:sz="8" w:space="0" w:color="auto"/>
              <w:left w:val="nil"/>
              <w:bottom w:val="single" w:sz="8" w:space="0" w:color="auto"/>
              <w:right w:val="nil"/>
            </w:tcBorders>
            <w:shd w:val="clear" w:color="000000" w:fill="FFFFFF"/>
            <w:noWrap/>
            <w:vAlign w:val="bottom"/>
            <w:hideMark/>
          </w:tcPr>
          <w:p w:rsidR="00B54AA3" w:rsidRPr="002230E5" w:rsidRDefault="00B54AA3" w:rsidP="00381087">
            <w:pPr>
              <w:spacing w:after="0" w:line="240" w:lineRule="auto"/>
              <w:ind w:firstLine="0"/>
              <w:jc w:val="left"/>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 </w:t>
            </w:r>
          </w:p>
        </w:tc>
        <w:tc>
          <w:tcPr>
            <w:tcW w:w="399" w:type="pct"/>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right"/>
              <w:rPr>
                <w:rFonts w:ascii="Garamond" w:eastAsia="Times New Roman" w:hAnsi="Garamond" w:cs="Arial"/>
                <w:b/>
                <w:bCs/>
                <w:sz w:val="14"/>
                <w:szCs w:val="14"/>
                <w:lang w:val="sq-AL"/>
              </w:rPr>
            </w:pPr>
            <w:r w:rsidRPr="002230E5">
              <w:rPr>
                <w:rFonts w:ascii="Garamond" w:eastAsia="Times New Roman" w:hAnsi="Garamond" w:cs="Arial"/>
                <w:b/>
                <w:bCs/>
                <w:sz w:val="14"/>
                <w:szCs w:val="14"/>
                <w:lang w:val="sq-AL"/>
              </w:rPr>
              <w:t>12639896</w:t>
            </w:r>
          </w:p>
        </w:tc>
        <w:tc>
          <w:tcPr>
            <w:tcW w:w="671" w:type="pct"/>
            <w:tcBorders>
              <w:top w:val="single" w:sz="8" w:space="0" w:color="auto"/>
              <w:left w:val="nil"/>
              <w:bottom w:val="single" w:sz="8" w:space="0" w:color="auto"/>
              <w:right w:val="single" w:sz="8" w:space="0" w:color="auto"/>
            </w:tcBorders>
            <w:shd w:val="clear" w:color="000000" w:fill="FFFFFF"/>
            <w:noWrap/>
            <w:vAlign w:val="bottom"/>
            <w:hideMark/>
          </w:tcPr>
          <w:p w:rsidR="00B54AA3" w:rsidRPr="002230E5" w:rsidRDefault="00B54AA3" w:rsidP="00381087">
            <w:pPr>
              <w:spacing w:after="0" w:line="240" w:lineRule="auto"/>
              <w:ind w:firstLine="0"/>
              <w:jc w:val="center"/>
              <w:rPr>
                <w:rFonts w:ascii="Garamond" w:eastAsia="Times New Roman" w:hAnsi="Garamond" w:cs="Arial"/>
                <w:color w:val="000000"/>
                <w:sz w:val="14"/>
                <w:szCs w:val="14"/>
                <w:lang w:val="sq-AL"/>
              </w:rPr>
            </w:pPr>
            <w:r w:rsidRPr="002230E5">
              <w:rPr>
                <w:rFonts w:ascii="Garamond" w:eastAsia="Times New Roman" w:hAnsi="Garamond" w:cs="Arial"/>
                <w:color w:val="000000"/>
                <w:sz w:val="14"/>
                <w:szCs w:val="14"/>
                <w:lang w:val="sq-AL"/>
              </w:rPr>
              <w:t> </w:t>
            </w:r>
          </w:p>
        </w:tc>
      </w:tr>
    </w:tbl>
    <w:p w:rsidR="00FD57DC" w:rsidRDefault="00972FAA"/>
    <w:sectPr w:rsidR="00FD57DC" w:rsidSect="00972F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AA3"/>
    <w:rsid w:val="00013606"/>
    <w:rsid w:val="001D125B"/>
    <w:rsid w:val="002C0AA4"/>
    <w:rsid w:val="002E7553"/>
    <w:rsid w:val="00332E0F"/>
    <w:rsid w:val="00455FC5"/>
    <w:rsid w:val="004A4709"/>
    <w:rsid w:val="00627136"/>
    <w:rsid w:val="007A33AA"/>
    <w:rsid w:val="00912120"/>
    <w:rsid w:val="00972FAA"/>
    <w:rsid w:val="00A3508F"/>
    <w:rsid w:val="00B441A3"/>
    <w:rsid w:val="00B54AA3"/>
    <w:rsid w:val="00D27DAF"/>
    <w:rsid w:val="00E12DC7"/>
    <w:rsid w:val="00F5353D"/>
    <w:rsid w:val="00F76689"/>
    <w:rsid w:val="00F92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AA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54AA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54AA3"/>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AA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54AA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54AA3"/>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4247</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2019-01-29T10:31:00Z</dcterms:created>
  <dcterms:modified xsi:type="dcterms:W3CDTF">2019-01-29T10:31:00Z</dcterms:modified>
</cp:coreProperties>
</file>