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8E1" w:rsidRPr="00F60C72" w:rsidRDefault="002968E1" w:rsidP="002968E1">
      <w:pPr>
        <w:pStyle w:val="Akti"/>
        <w:rPr>
          <w:lang w:val="sq-AL"/>
        </w:rPr>
      </w:pPr>
      <w:bookmarkStart w:id="0" w:name="_GoBack"/>
      <w:bookmarkEnd w:id="0"/>
      <w:r w:rsidRPr="00F60C72">
        <w:rPr>
          <w:lang w:val="sq-AL"/>
        </w:rPr>
        <w:t>VENDIM</w:t>
      </w:r>
    </w:p>
    <w:p w:rsidR="002968E1" w:rsidRPr="00F60C72" w:rsidRDefault="002968E1" w:rsidP="002968E1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F60C72">
        <w:rPr>
          <w:lang w:val="sq-AL"/>
        </w:rPr>
        <w:t>238, datë 18.3.2015</w:t>
      </w:r>
    </w:p>
    <w:p w:rsidR="002968E1" w:rsidRPr="00F60C72" w:rsidRDefault="002968E1" w:rsidP="002968E1">
      <w:pPr>
        <w:pStyle w:val="Hapesira7"/>
        <w:jc w:val="center"/>
        <w:rPr>
          <w:lang w:val="sq-AL"/>
        </w:rPr>
      </w:pPr>
    </w:p>
    <w:p w:rsidR="002968E1" w:rsidRPr="00B67A08" w:rsidRDefault="002968E1" w:rsidP="002968E1">
      <w:pPr>
        <w:pStyle w:val="Titulli"/>
      </w:pPr>
      <w:r w:rsidRPr="00B67A08">
        <w:t>PËR DISA SHTESA NË VENDIMIN NR. 834, DATË 21.11.2012, TË KËSHILLIT TË MINISTRAVE, “PËR MIRATIMIN E LISTËS PËRFUNDIMTARE TË PRONAVE TË PALUAJTSHME PUBLIKE, QË TRANSFEROHEN NË PRONËSI OSE NË PËRDORIM TË BASHKISË BERAT, TË QARKUT TË BERATIT”</w:t>
      </w:r>
    </w:p>
    <w:p w:rsidR="002968E1" w:rsidRPr="00F60C72" w:rsidRDefault="002968E1" w:rsidP="002968E1">
      <w:pPr>
        <w:pStyle w:val="Hapesira7"/>
        <w:rPr>
          <w:lang w:val="sq-AL"/>
        </w:rPr>
      </w:pPr>
    </w:p>
    <w:p w:rsidR="002968E1" w:rsidRPr="00F60C72" w:rsidRDefault="002968E1" w:rsidP="002968E1">
      <w:pPr>
        <w:pStyle w:val="Paragrafi"/>
        <w:rPr>
          <w:lang w:val="sq-AL"/>
        </w:rPr>
      </w:pPr>
      <w:r w:rsidRPr="00F60C72">
        <w:rPr>
          <w:lang w:val="sq-AL"/>
        </w:rPr>
        <w:t xml:space="preserve">Në mbështetje të nenit 100 të Kushtetutës, të neneve 3, shkronja “e”, 5, 8 e 17, të ligjit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8744, datë 22.2.2001, “Për transferimin e pronave të paluajtshme publike të shtetit në njësitë e qeverisjes vendore”, të ndryshuar, me propozimin e ministrit të Punëve të Brendshme, Këshilli i Ministrave </w:t>
      </w:r>
    </w:p>
    <w:p w:rsidR="002968E1" w:rsidRDefault="002968E1" w:rsidP="002968E1">
      <w:pPr>
        <w:pStyle w:val="Vendosi"/>
        <w:jc w:val="both"/>
        <w:rPr>
          <w:lang w:val="sq-AL"/>
        </w:rPr>
        <w:sectPr w:rsidR="002968E1" w:rsidSect="00FC5E17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1919"/>
          <w:cols w:space="454"/>
          <w:docGrid w:linePitch="360"/>
        </w:sectPr>
      </w:pPr>
    </w:p>
    <w:p w:rsidR="00FC5E17" w:rsidRDefault="00FC5E17" w:rsidP="002968E1">
      <w:pPr>
        <w:pStyle w:val="Vendosi"/>
        <w:rPr>
          <w:lang w:val="sq-AL"/>
        </w:rPr>
      </w:pPr>
    </w:p>
    <w:p w:rsidR="002968E1" w:rsidRPr="00F60C72" w:rsidRDefault="002968E1" w:rsidP="002968E1">
      <w:pPr>
        <w:pStyle w:val="Vendosi"/>
        <w:rPr>
          <w:lang w:val="sq-AL"/>
        </w:rPr>
      </w:pPr>
      <w:r w:rsidRPr="00F60C72">
        <w:rPr>
          <w:lang w:val="sq-AL"/>
        </w:rPr>
        <w:t>VENDOSI:</w:t>
      </w:r>
    </w:p>
    <w:p w:rsidR="002968E1" w:rsidRPr="00F60C72" w:rsidRDefault="002968E1" w:rsidP="002968E1">
      <w:pPr>
        <w:pStyle w:val="Hapesira7"/>
        <w:rPr>
          <w:lang w:val="sq-AL"/>
        </w:rPr>
      </w:pPr>
    </w:p>
    <w:p w:rsidR="002968E1" w:rsidRPr="00F60C72" w:rsidRDefault="002968E1" w:rsidP="002968E1">
      <w:pPr>
        <w:pStyle w:val="Paragrafi"/>
        <w:rPr>
          <w:lang w:val="sq-AL"/>
        </w:rPr>
      </w:pPr>
      <w:r w:rsidRPr="00F60C72">
        <w:rPr>
          <w:lang w:val="sq-AL"/>
        </w:rPr>
        <w:t>1. Kalimin në pronësi të Bashkisë Berat të pasurive me numrat rendorë 741, 742, 743, 744, 2949, 2950, 2951 e 2952, sipas formularëve bashkëlidhur, me qëllim ndërtimin e objekteve të Uj</w:t>
      </w:r>
      <w:r>
        <w:rPr>
          <w:lang w:val="sq-AL"/>
        </w:rPr>
        <w:t>ësjellës – Kanalizimeve</w:t>
      </w:r>
      <w:r w:rsidRPr="00F60C72">
        <w:rPr>
          <w:lang w:val="sq-AL"/>
        </w:rPr>
        <w:t xml:space="preserve"> sh.a., Berat - Kuçovë.</w:t>
      </w:r>
    </w:p>
    <w:p w:rsidR="002968E1" w:rsidRPr="00F60C72" w:rsidRDefault="002968E1" w:rsidP="002968E1">
      <w:pPr>
        <w:pStyle w:val="Paragrafi"/>
        <w:rPr>
          <w:lang w:val="sq-AL"/>
        </w:rPr>
      </w:pPr>
      <w:r w:rsidRPr="00F60C72">
        <w:rPr>
          <w:lang w:val="sq-AL"/>
        </w:rPr>
        <w:t xml:space="preserve">2. Të dhënat për pronat e përmendura në pikën 1, të këtij vendimi, pasqyrohen në listën bashkëlidhur vendimit </w:t>
      </w:r>
      <w:r>
        <w:rPr>
          <w:lang w:val="sq-AL"/>
        </w:rPr>
        <w:t xml:space="preserve">nr. </w:t>
      </w:r>
      <w:r w:rsidRPr="00F60C72">
        <w:rPr>
          <w:lang w:val="sq-AL"/>
        </w:rPr>
        <w:t>834, datë 21.11.2012, të Këshillit të Ministrave, ndërsa pronat me numrat rendorë 2949, 2950, 2951 e 2952 t’i shtohen edhe listës së inventarit të pronave të paluajtshme shtetërore nën juridiksionin territorial dhe administrativ të Bashkisë Berat.</w:t>
      </w:r>
    </w:p>
    <w:p w:rsidR="002968E1" w:rsidRPr="00F60C72" w:rsidRDefault="002968E1" w:rsidP="002968E1">
      <w:pPr>
        <w:pStyle w:val="Paragrafi"/>
        <w:rPr>
          <w:lang w:val="sq-AL"/>
        </w:rPr>
      </w:pPr>
      <w:r w:rsidRPr="00F60C72">
        <w:rPr>
          <w:lang w:val="sq-AL"/>
        </w:rPr>
        <w:t>3. Bashkisë së Beratit i ndalohet të ndryshojë destinacionin e pronave të përcaktuara në pikën 1, të këtij vendimi, ta tjetërsojë ose t’ua japë në përdorim të tretëve.</w:t>
      </w:r>
    </w:p>
    <w:p w:rsidR="002968E1" w:rsidRPr="00F60C72" w:rsidRDefault="002968E1" w:rsidP="002968E1">
      <w:pPr>
        <w:pStyle w:val="Paragrafi"/>
        <w:rPr>
          <w:lang w:val="sq-AL"/>
        </w:rPr>
      </w:pPr>
      <w:r w:rsidRPr="00F60C72">
        <w:rPr>
          <w:lang w:val="sq-AL"/>
        </w:rPr>
        <w:t>4. Ngarkohen Ministria e Punëve të Brendshme, Zyra Qendrore e Regjistrimit të Pasurive të Paluajtshme dhe Bashkia Berat për zbatimin e këtij vendimi.</w:t>
      </w:r>
    </w:p>
    <w:p w:rsidR="002968E1" w:rsidRPr="00F60C72" w:rsidRDefault="002968E1" w:rsidP="002968E1">
      <w:pPr>
        <w:pStyle w:val="Paragrafi"/>
        <w:rPr>
          <w:lang w:val="sq-AL"/>
        </w:rPr>
      </w:pPr>
      <w:r w:rsidRPr="00F60C72">
        <w:rPr>
          <w:lang w:val="sq-AL"/>
        </w:rPr>
        <w:t xml:space="preserve">Ky vendim hyn në fuqi pas botimit në Fletoren Zyrtare. </w:t>
      </w:r>
    </w:p>
    <w:p w:rsidR="002968E1" w:rsidRPr="00F60C72" w:rsidRDefault="002968E1" w:rsidP="002968E1">
      <w:pPr>
        <w:pStyle w:val="Hapesira7"/>
        <w:rPr>
          <w:lang w:val="sq-AL"/>
        </w:rPr>
      </w:pPr>
    </w:p>
    <w:p w:rsidR="002968E1" w:rsidRPr="00F60C72" w:rsidRDefault="002968E1" w:rsidP="002968E1">
      <w:pPr>
        <w:pStyle w:val="Autoriteti"/>
        <w:rPr>
          <w:lang w:val="sq-AL"/>
        </w:rPr>
      </w:pPr>
      <w:r w:rsidRPr="00F60C72">
        <w:rPr>
          <w:lang w:val="sq-AL"/>
        </w:rPr>
        <w:t>KRYEMINISTRI</w:t>
      </w:r>
    </w:p>
    <w:p w:rsidR="002968E1" w:rsidRPr="00F60C72" w:rsidRDefault="002968E1" w:rsidP="002968E1">
      <w:pPr>
        <w:pStyle w:val="AutoritetiEmer"/>
        <w:rPr>
          <w:lang w:val="sq-AL"/>
        </w:rPr>
      </w:pPr>
      <w:r w:rsidRPr="00F60C72">
        <w:rPr>
          <w:lang w:val="sq-AL"/>
        </w:rPr>
        <w:t>Edi Rama</w:t>
      </w:r>
    </w:p>
    <w:p w:rsidR="002968E1" w:rsidRDefault="002968E1" w:rsidP="002968E1">
      <w:pPr>
        <w:spacing w:after="0" w:line="240" w:lineRule="auto"/>
        <w:ind w:firstLine="0"/>
        <w:jc w:val="left"/>
        <w:rPr>
          <w:lang w:val="sq-AL"/>
        </w:rPr>
        <w:sectPr w:rsidR="002968E1" w:rsidSect="00FC5E17">
          <w:type w:val="continuous"/>
          <w:pgSz w:w="11907" w:h="16840" w:code="9"/>
          <w:pgMar w:top="720" w:right="1134" w:bottom="720" w:left="1134" w:header="851" w:footer="851" w:gutter="0"/>
          <w:pgNumType w:start="1920"/>
          <w:cols w:space="454"/>
          <w:docGrid w:linePitch="360"/>
        </w:sectPr>
      </w:pPr>
    </w:p>
    <w:p w:rsidR="002968E1" w:rsidRDefault="002968E1" w:rsidP="002968E1">
      <w:pPr>
        <w:spacing w:after="0" w:line="240" w:lineRule="auto"/>
        <w:ind w:firstLine="0"/>
        <w:jc w:val="left"/>
        <w:rPr>
          <w:lang w:val="sq-AL"/>
        </w:rPr>
        <w:sectPr w:rsidR="002968E1" w:rsidSect="00FC5E17">
          <w:type w:val="continuous"/>
          <w:pgSz w:w="11907" w:h="16840" w:code="9"/>
          <w:pgMar w:top="720" w:right="1134" w:bottom="720" w:left="1134" w:header="851" w:footer="851" w:gutter="0"/>
          <w:pgNumType w:start="1919"/>
          <w:cols w:space="454"/>
          <w:docGrid w:linePitch="360"/>
        </w:sectPr>
      </w:pPr>
    </w:p>
    <w:p w:rsidR="002968E1" w:rsidRDefault="002968E1" w:rsidP="002968E1">
      <w:pPr>
        <w:spacing w:after="0" w:line="240" w:lineRule="auto"/>
        <w:ind w:firstLine="0"/>
        <w:jc w:val="left"/>
        <w:rPr>
          <w:lang w:val="sq-AL"/>
        </w:rPr>
      </w:pPr>
      <w:r w:rsidRPr="003C5B4F">
        <w:rPr>
          <w:noProof/>
        </w:rPr>
        <w:lastRenderedPageBreak/>
        <w:drawing>
          <wp:inline distT="0" distB="0" distL="0" distR="0" wp14:anchorId="22E961CA" wp14:editId="6E593628">
            <wp:extent cx="6460554" cy="44857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847" cy="4487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8E1" w:rsidRDefault="00FC5E17" w:rsidP="002968E1">
      <w:pPr>
        <w:spacing w:after="0" w:line="240" w:lineRule="auto"/>
        <w:ind w:firstLine="0"/>
        <w:jc w:val="left"/>
        <w:rPr>
          <w:lang w:val="sq-AL"/>
        </w:rPr>
      </w:pPr>
      <w:r>
        <w:rPr>
          <w:noProof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471.7pt;margin-top:11.3pt;width:3.15pt;height:329.3pt;z-index:251661312" o:connectortype="straight"/>
        </w:pict>
      </w:r>
      <w:r>
        <w:rPr>
          <w:noProof/>
        </w:rPr>
        <w:pict>
          <v:shape id="_x0000_s1026" type="#_x0000_t32" style="position:absolute;margin-left:24.7pt;margin-top:9.4pt;width:447pt;height:1.9pt;flip:y;z-index:251660288" o:connectortype="straight"/>
        </w:pict>
      </w:r>
      <w:r w:rsidR="002968E1" w:rsidRPr="00F60C72">
        <w:rPr>
          <w:noProof/>
        </w:rPr>
        <w:drawing>
          <wp:inline distT="0" distB="0" distL="0" distR="0" wp14:anchorId="6F7F8A13" wp14:editId="0AE0EA53">
            <wp:extent cx="6063698" cy="4786686"/>
            <wp:effectExtent l="19050" t="0" r="0" b="0"/>
            <wp:docPr id="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09" cy="478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8E1" w:rsidRDefault="002968E1" w:rsidP="002968E1">
      <w:pPr>
        <w:spacing w:after="0" w:line="240" w:lineRule="auto"/>
        <w:ind w:firstLine="0"/>
        <w:rPr>
          <w:rFonts w:ascii="Garamond" w:hAnsi="Garamond"/>
          <w:b/>
          <w:sz w:val="24"/>
          <w:szCs w:val="24"/>
          <w:lang w:val="sq-AL"/>
        </w:rPr>
        <w:sectPr w:rsidR="002968E1" w:rsidSect="00FC5E17">
          <w:type w:val="continuous"/>
          <w:pgSz w:w="11907" w:h="16840" w:code="9"/>
          <w:pgMar w:top="720" w:right="1134" w:bottom="720" w:left="1134" w:header="851" w:footer="851" w:gutter="0"/>
          <w:pgNumType w:start="1920"/>
          <w:cols w:space="720"/>
          <w:docGrid w:linePitch="360"/>
        </w:sectPr>
      </w:pPr>
    </w:p>
    <w:p w:rsidR="00FD57DC" w:rsidRDefault="00FC5E17"/>
    <w:sectPr w:rsidR="00FD57DC" w:rsidSect="00FC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C5E17">
      <w:pPr>
        <w:spacing w:after="0" w:line="240" w:lineRule="auto"/>
      </w:pPr>
      <w:r>
        <w:separator/>
      </w:r>
    </w:p>
  </w:endnote>
  <w:endnote w:type="continuationSeparator" w:id="0">
    <w:p w:rsidR="00000000" w:rsidRDefault="00FC5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1964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9338F" w:rsidRPr="00B4283E" w:rsidRDefault="002968E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1920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22196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338F" w:rsidRPr="005B4361" w:rsidRDefault="00FC5E17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2219647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2968E1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2968E1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2968E1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2968E1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1922</w:t>
            </w:r>
            <w:r w:rsidR="002968E1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219648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9338F" w:rsidRPr="00833610" w:rsidRDefault="002968E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9338F" w:rsidRDefault="00FC5E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C5E17">
      <w:pPr>
        <w:spacing w:after="0" w:line="240" w:lineRule="auto"/>
      </w:pPr>
      <w:r>
        <w:separator/>
      </w:r>
    </w:p>
  </w:footnote>
  <w:footnote w:type="continuationSeparator" w:id="0">
    <w:p w:rsidR="00000000" w:rsidRDefault="00FC5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9338F" w:rsidRPr="00EB260B" w:rsidTr="00854C25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9338F" w:rsidRPr="00EB260B" w:rsidRDefault="002968E1" w:rsidP="00854C25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9338F" w:rsidRPr="00EB260B" w:rsidRDefault="002968E1" w:rsidP="00854C2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0032C1B" wp14:editId="64BFD2E3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9338F" w:rsidRPr="00EB260B" w:rsidRDefault="002968E1" w:rsidP="00854C2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45</w:t>
          </w:r>
        </w:p>
      </w:tc>
    </w:tr>
  </w:tbl>
  <w:p w:rsidR="0049338F" w:rsidRPr="00385E2C" w:rsidRDefault="00FC5E17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38F" w:rsidRDefault="00FC5E17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68E1"/>
    <w:rsid w:val="00013606"/>
    <w:rsid w:val="00032E53"/>
    <w:rsid w:val="001A346F"/>
    <w:rsid w:val="001D125B"/>
    <w:rsid w:val="002968E1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  <w:rsid w:val="00FC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8E1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968E1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968E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96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8E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96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8E1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2968E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968E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968E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968E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968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968E1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968E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968E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968E1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968E1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968E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968E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968E1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968E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8E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2019-01-29T12:34:00Z</cp:lastPrinted>
  <dcterms:created xsi:type="dcterms:W3CDTF">2015-04-01T12:55:00Z</dcterms:created>
  <dcterms:modified xsi:type="dcterms:W3CDTF">2019-01-29T12:34:00Z</dcterms:modified>
</cp:coreProperties>
</file>