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C10" w:rsidRPr="005E33DF" w:rsidRDefault="00783C10" w:rsidP="00783C10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VENDIM</w:t>
      </w:r>
    </w:p>
    <w:p w:rsidR="00783C10" w:rsidRPr="005E33DF" w:rsidRDefault="00783C10" w:rsidP="00783C10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5E33DF">
        <w:rPr>
          <w:b/>
          <w:szCs w:val="24"/>
          <w:lang w:val="sq-AL"/>
        </w:rPr>
        <w:t xml:space="preserve"> 283</w:t>
      </w:r>
      <w:r>
        <w:rPr>
          <w:b/>
          <w:szCs w:val="24"/>
          <w:lang w:val="sq-AL"/>
        </w:rPr>
        <w:t>,</w:t>
      </w:r>
      <w:r w:rsidRPr="005E33DF">
        <w:rPr>
          <w:b/>
          <w:szCs w:val="24"/>
          <w:lang w:val="sq-AL"/>
        </w:rPr>
        <w:t xml:space="preserve"> datë 1.4.2015</w:t>
      </w:r>
    </w:p>
    <w:p w:rsidR="00783C10" w:rsidRPr="005E33DF" w:rsidRDefault="00783C10" w:rsidP="00783C10">
      <w:pPr>
        <w:pStyle w:val="Hapesira7"/>
        <w:rPr>
          <w:lang w:val="sq-AL"/>
        </w:rPr>
      </w:pPr>
    </w:p>
    <w:p w:rsidR="00783C10" w:rsidRPr="005E33DF" w:rsidRDefault="00783C10" w:rsidP="00783C10">
      <w:pPr>
        <w:pStyle w:val="Paragrafi"/>
        <w:jc w:val="center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PËR PËRCAKTIMIN E TIPAVE, RREGULLAVE, KRITEREVE DHE PROCEDURAVE PËR NDËRTIMIN E OBJEKTEVE PËR PRODHIMIN, RUAJTJEN DHE PËRPUNIMIN E PRODUKTEVE BUJQËSORE DHE BLEGTORALE, NË TOKË BUJQËSORE</w:t>
      </w:r>
    </w:p>
    <w:p w:rsidR="00783C10" w:rsidRPr="00F26493" w:rsidRDefault="00783C10" w:rsidP="00783C10">
      <w:pPr>
        <w:pStyle w:val="Hapesira7"/>
        <w:rPr>
          <w:rStyle w:val="grame"/>
        </w:rPr>
      </w:pPr>
    </w:p>
    <w:p w:rsidR="00783C10" w:rsidRPr="00F26493" w:rsidRDefault="00783C10" w:rsidP="00783C10">
      <w:pPr>
        <w:pStyle w:val="Paragrafi"/>
        <w:rPr>
          <w:spacing w:val="-4"/>
          <w:szCs w:val="24"/>
          <w:lang w:val="sq-AL"/>
        </w:rPr>
      </w:pPr>
      <w:r w:rsidRPr="00F26493">
        <w:rPr>
          <w:spacing w:val="-4"/>
          <w:szCs w:val="24"/>
          <w:lang w:val="sq-AL"/>
        </w:rPr>
        <w:t>Në mbështetje të nenit 100 të Kushtetutës, të nenit 11/1, pikat 5/2 e 5/4, të ligjit nr. 8752, datë 26.3.2001, “Për krijimin dhe funksionimin e strukturave të administrimit dhe mbrojtjes së tokës”, të ndryshuar,dhe të nenit 8, të ligjit nr. 107/2014, “Për planifikimin dhe zhvillimin e territorit”, me propozimin e ministrit të Bujqësisë, Zhvillimit Rural dhe Administrimit të Ujërave dhe ministrit të Zhvillimit Urban, Këshilli i Ministrave</w:t>
      </w:r>
    </w:p>
    <w:p w:rsidR="00783C10" w:rsidRPr="005E33DF" w:rsidRDefault="00783C10" w:rsidP="00783C10">
      <w:pPr>
        <w:pStyle w:val="Hapesira7"/>
        <w:rPr>
          <w:lang w:val="sq-AL"/>
        </w:rPr>
      </w:pPr>
    </w:p>
    <w:p w:rsidR="00783C10" w:rsidRPr="005E33DF" w:rsidRDefault="00783C10" w:rsidP="00783C10">
      <w:pPr>
        <w:pStyle w:val="Paragrafi"/>
        <w:jc w:val="center"/>
        <w:rPr>
          <w:szCs w:val="24"/>
          <w:lang w:val="sq-AL"/>
        </w:rPr>
      </w:pPr>
      <w:r w:rsidRPr="005E33DF">
        <w:rPr>
          <w:szCs w:val="24"/>
          <w:lang w:val="sq-AL"/>
        </w:rPr>
        <w:t>VENDOSI:</w:t>
      </w:r>
    </w:p>
    <w:p w:rsidR="00783C10" w:rsidRPr="005E33DF" w:rsidRDefault="00783C10" w:rsidP="00783C10">
      <w:pPr>
        <w:pStyle w:val="Hapesira7"/>
        <w:rPr>
          <w:lang w:val="sq-AL"/>
        </w:rPr>
      </w:pP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I. TIPOLOGJIA E OBJEKTEVE PËR PRODHIMIN, RUAJTJEN, PËRPUNIMIN E PRODUKTEVE BUJQËSORE DHE BLEG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TORALE, QË NDËRTOHEN NË TOKË BUJQËSORE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Në kuptim të këtij vendimi, objekte për prodhimin, ruajtjen dhe përpunimin e produkteve bujqësore dhe blegtorale, që ndërtohen në tokë bujqësore, (më poshtë, objekte për qëllime bujqësore), janë: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stallat për mbarështimin e kafshëve dhe objektet ndihmëse funksionale, të cilat përfshijnë, por nuk kufizohen në depo silazhi, hangar, silos, ambiente për përpunimin e ushqimeve, sallë mjeljeje, padoqe, plehrishte, depozita uji;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serrat me themele të vazhduara, të cilat janë të lidhura në mënyrë të qëndrueshme dhe të përhershme me tokën;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objektet ndihmëse funksionale të serrave, të cilat përfshijnë, por nuk kufizohen në magazina për standardizimin e prodhimit dhe mbajtjen e pajisjeve, imputeve;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objektet për tharjen dhe trajtimin paraprak të nevojshëm të produkteve në kultura, të tilla si bimët medicinale etj</w:t>
      </w:r>
      <w:r>
        <w:rPr>
          <w:szCs w:val="24"/>
          <w:lang w:val="sq-AL"/>
        </w:rPr>
        <w:t>.</w:t>
      </w:r>
      <w:r w:rsidRPr="005E33DF">
        <w:rPr>
          <w:szCs w:val="24"/>
          <w:lang w:val="sq-AL"/>
        </w:rPr>
        <w:t>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objektet për grumbullimin dhe ruajtjen e produkteve bujqësore e blegtorale, përfshirë dhe ato frigoriferike;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objekte për përpunimin e produkteve primare, bujqësore dhe blegtorale;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thertoret.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II. RREGULLAT DHE KRITERET PËR NDËRTIMIN E OBJEKTEVE PËR QËLLI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 xml:space="preserve">ME BUJQËSORE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II.a. Rregulla dhe kritere të përgjithshme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1. Për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të gjitha objektet për qëllime bujqësore duhet të respektohen distancat nga rrugët, hekurudhat, aeroportet, linjat e tensionit të lartë e çdo infrastrukturë tjetër publike dhe distancat nga kanalet ujitëse e kulluese, si dhe brigjet e lumenjve, sipas legjislacionit përkatës në fuqi.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2. Lejet e ndërtimit për objektet e përcaktuara në këtë vendim jepen vetëm pasi të jetë verifikuar ekzistenca e infrastrukturave të nevojshme, për sa u përket rrugëve lidhëse, elektricitetit dhe ujit të pijshëm ose marrjes përsipër të realizimit të tyre nga investitori njëkohësisht me ndërtimin e objekteve të sipërpërmendura.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3. Leja e ndërtimit për objektet e përcaktuara në kreun I, të këtij vendimi, jepet vetëm me kushtin e ruajtjes dhe mosndryshimit të destinacionit për qëllim bujqësor/blegtoral të objektit për të cilin është lëshuar.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4. Për qëllim të llogaritjes së vëllimit/sipër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 xml:space="preserve">faqes së ndërtimit, në intensitetin e ndërtimit </w:t>
      </w:r>
      <w:r w:rsidRPr="005E33DF">
        <w:rPr>
          <w:szCs w:val="24"/>
          <w:lang w:val="sq-AL"/>
        </w:rPr>
        <w:lastRenderedPageBreak/>
        <w:t>përfshihet ngastra ose bllok ngastrash edhe kur ndahen nga rrugë, kanale apo kufij të tjerë natyralë, në pronësi apo përdorim. Lëshimi i lejes së ndërtimit për objektet, sipas kësaj pike, shteron mundësinë e ndërtimit në të gjitha ngastrat që janë përdorur për llogaritjen e vëllimit/sipërfaqes së ndërtimit.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5. Ndërtimet e lejuara në tokë bujqësore nuk duhet në asnjë rast të cenojnë infrastrukturën e ujitjes dhe kullimit të tokës bujqësore.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II.b. Rregulla dhe kritere të veçanta: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1. Ndërtimet e objekteve ndihmëse funksio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nale për tip</w:t>
      </w:r>
      <w:r>
        <w:rPr>
          <w:szCs w:val="24"/>
          <w:lang w:val="sq-AL"/>
        </w:rPr>
        <w:t>a</w:t>
      </w:r>
      <w:r w:rsidRPr="005E33DF">
        <w:rPr>
          <w:szCs w:val="24"/>
          <w:lang w:val="sq-AL"/>
        </w:rPr>
        <w:t>t sipas kreut I, të këtij vendimi, duhet të plotësojnë kushtet e mëposhtme: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a) Vëllimi maksimal i objektit të mos tejkalojë intensitetin e ndërtimit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0.03 m</w:t>
      </w:r>
      <w:r w:rsidRPr="00261425">
        <w:rPr>
          <w:szCs w:val="24"/>
          <w:vertAlign w:val="superscript"/>
          <w:lang w:val="sq-AL"/>
        </w:rPr>
        <w:t>3</w:t>
      </w:r>
      <w:r w:rsidRPr="005E33DF">
        <w:rPr>
          <w:szCs w:val="24"/>
          <w:lang w:val="sq-AL"/>
        </w:rPr>
        <w:t>/m</w:t>
      </w:r>
      <w:r w:rsidRPr="00FC2A93">
        <w:rPr>
          <w:szCs w:val="24"/>
          <w:vertAlign w:val="superscript"/>
          <w:lang w:val="sq-AL"/>
        </w:rPr>
        <w:t>2</w:t>
      </w:r>
      <w:r w:rsidRPr="005E33DF">
        <w:rPr>
          <w:szCs w:val="24"/>
          <w:lang w:val="sq-AL"/>
        </w:rPr>
        <w:t>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b) Të zhvillohen në një kat të vetëm dhe të respektojnë lartësinë maksimale 4,50 metër, me përjashtim të oxhakëve, siloseve dhe strukturave që tejkalojnë këtë lartësi për shkak të karakteristikave teknike;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c) Të respektohet distanca minimale 5 metër nga kufijtë e pronës;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ç) Të realizohen sipas tipologjive të përshtat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shme për funksionin që do të kryejnë dhe që nuk lejojnë ndryshimin e destinacionit të përdorimit.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2. Ndërtimet e reja të stallave lejohen me kusht që të garantojnë menaxhimin e jashtë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qitjeve shtazore, me filtrim paraprak.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3. Stallat, që mbarështojnë mbi 50 njësi gjedhi mbi bazë ditore, duhet të kenë këto karakteristika: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a) Të respektojnë distancat minimale të mëposhtme: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- 20 metër nga kufijtë e pronës;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- 500 metër nga qendrat e banuara;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- 100 metër nga banesa më e afërt, e veçuar nga qendra urbane.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b) Të zhvillohen në një kat të vetëm, me lartësi të ndryshme në bazë të karakteristikave të veçanta teknike dhe lartësi maksimale 4,50 m;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bookmarkStart w:id="0" w:name="_GoBack"/>
      <w:bookmarkEnd w:id="0"/>
      <w:r w:rsidRPr="005E33DF">
        <w:rPr>
          <w:szCs w:val="24"/>
          <w:lang w:val="sq-AL"/>
        </w:rPr>
        <w:t>c) Vëllimi maksimal i objektit të mos tejkalojë intensitetin e ndërtimit prej 0.5 m³/m².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4. Për stallat që mbarështojnë 10-50 njësi gjedhi mbi bazë ditore, distancat minimale nga kufijtë e pronës janë 10 metër, ndërsa karakteristikat e tjera janë të njëjta me ato të përcaktuara në pikën 3.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5. Për stallat që mbarështojnë 5-10 njësi gjedhi mbi bazë ditore, distancat minimale nga kufijtë e pronës janë 5 metër, ndërsa nga banesa më e afërt 50 metër.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Karakteristikat e tjera janë të njëjta me ato të përcaktuara në shkronjat “b” dhe “c”, të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pikës 3, të këtij kreu.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6.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Strukturat për grumbullimin e jashtëqitjeve me origjinë shtazore duhet të vendosen në distancë jo më të vogël se 50 metër nga banesat për stallat me 5-10 njësi gjedhi dhe 100 metër për stallat më të mëdha.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7.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Sipërfaqja e serrave me themele të vazh</w:t>
      </w:r>
      <w:r>
        <w:rPr>
          <w:szCs w:val="24"/>
          <w:lang w:val="sq-AL"/>
        </w:rPr>
        <w:t>-</w:t>
      </w:r>
      <w:r w:rsidRPr="005E33DF">
        <w:rPr>
          <w:szCs w:val="24"/>
          <w:lang w:val="sq-AL"/>
        </w:rPr>
        <w:t>duara, të cilat janë të lidhura në mënyrë të qëndrueshme dhe të përhershme me tokën, nuk duhet të tejkalojë 70% të sipërfaqes së pronës.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8. Për serrat e përcaktuara në pikën 7 duhet të respektohen distancat e mëposhtme: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a) jo më pak se 5 metër nga banesat ekzistuese në të njëjtën ngastër dhe 10 metër nga  banesat e tjera;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b) jo më pak se 3 m nga kufiri i pronës.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9. Për serrat e tip</w:t>
      </w:r>
      <w:r>
        <w:rPr>
          <w:szCs w:val="24"/>
          <w:lang w:val="sq-AL"/>
        </w:rPr>
        <w:t>a</w:t>
      </w:r>
      <w:r w:rsidRPr="005E33DF">
        <w:rPr>
          <w:szCs w:val="24"/>
          <w:lang w:val="sq-AL"/>
        </w:rPr>
        <w:t>ve të tjera, të cilat nuk janë të lidhura në mënyrë të qëndrueshme dhe të përhershme me tokën, nuk kërkohet pajisja me një leje ndërtimi dhe ato janë objekt i një deklarate paraprake për kryerje punimesh. Distancat për ndërtimin e tyre janë të njëjta me ato të përcaktuara në pikën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8.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10. Ndërtimet e objekteve për grumbullimin, ruajtjen dhe përpunimin e produkteve bujqësore dhe blegtorale,përfshirë dhe ato për tharjen e trajtimin paraprak të produkteve bujqësore, duhet të plotësojnë kushtet e mëposhtme: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a) Vëllimi maksimal i objektit të mos tejkalojë intensitetin e ndërtimit prej 1 m³/m²;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lastRenderedPageBreak/>
        <w:t>b) Të respektojnë distancat minimale 7 metër nga kufijtë e pronës dhe 10 m nga ndërtesa të tjera.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11. Ndërtimet e objekteve për thertore duhet të plotësojnë kushtet e mëposhtme: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a) Vëllimi maksimal i objektit të mos tejkalojë intensitetin e ndërtimit prej 1 m³/m²;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b) Të respektojnë distancat minimale të mëposhtme: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- 20 metër nga kufijtë e pronës;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- 500 metër nga qendrat e banuara; 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- 100 metër nga banesa më e afërt, e veçuar nga qendra urbane.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12. Rregullat dhe kriteret e përcaktuara në të gjitha pikat e këtij kreu zbatohen në të gjitha rastet, përveçse kur me akte të tjera, ligjore e nënligjore, përcaktohet ndryshe.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III. PROCEDURAT PËR NDËRTIMIN E OBJEKTEVE PËR QËLLIME BUJQËSORE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1. Rregullat dhe kriteret e përcaktuara në këtë vendim shërbejnë dhe janë të detyrueshme për zbatim nga ana e autoriteteve përgjegjëse të planifikimit dhe zhvillimit të territorit për hartimin e dokumenteve të planifikimit në të gjitha nivelet.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2. Leja e ndërtimit lëshohet nga njësia e qeverisjes vendore në përputhje me dokumentin e planifikimit vendor.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3. Në kushtet e mungesës së planit të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përgjithshëm vendor: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a) rregullat dhe kriteret e përcaktuara në këtë vendim janë kushtet minimale për pajisjen me leje;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b) leja e ndërtimit lëshohet pas kontrollit të përputhshmërisë së projekt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propozimit nga Agjencia Kombëtare e Planifikimit të Territorit (AKPT), e cila, në bashkërendim me Ministrinë e Bujqësisë, Zhvillimit Rural dhe Administrimit të Ujërave, verifikon konformitetin me dokumentet e planifikimit të territorit;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c) AKPT-ja njofton njësinë e qeverisjes vendore dhe aplikantin për kontrollin e përputhshmërisë paraprake dhe vazhdimin e mëtejshëm të procedurave;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ç) njësia e qeverisjes vendore kryen verifikimin në terren në bazë të dispozitave ligjore në fuqi për planifikimin e territorit, përfshirë edhe rregullat dhe kriteret e përcaktuara në këtë vendim dhe njofton AKPT-në;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d) AKPT miraton në parim dhënien e lejes së ndërtimit dhe i propozon Ministrisë së Bujqësisë, Zhvillimit Rural dhe Administrimit të Ujërave të vijojë procedurat për kalimin në sipërfaqe ndërtimore të tokës bujqësore, objekt i lejes së ndërtimit. Kjo ministri më pas harton projektvendimin, të cilin e paraqet për miratim në Këshillin e Ministrave;</w:t>
      </w:r>
    </w:p>
    <w:p w:rsidR="00783C10" w:rsidRDefault="00783C10" w:rsidP="00783C10">
      <w:pPr>
        <w:pStyle w:val="Paragrafi"/>
        <w:rPr>
          <w:szCs w:val="24"/>
          <w:lang w:val="sq-AL"/>
        </w:rPr>
      </w:pP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dh) pas miratimit të kalimit të tokës bujqësore në sipërfaqe ndërtimore, AKPT</w:t>
      </w:r>
      <w:r>
        <w:rPr>
          <w:szCs w:val="24"/>
          <w:lang w:val="sq-AL"/>
        </w:rPr>
        <w:t xml:space="preserve"> </w:t>
      </w:r>
      <w:r w:rsidRPr="005E33DF">
        <w:rPr>
          <w:szCs w:val="24"/>
          <w:lang w:val="sq-AL"/>
        </w:rPr>
        <w:t>i dorëzon kërkuesit dokumentin e lejes dhe e boton në regjistrin e integruar të planifikimit të territorit.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IV. DISPOZITA KALIMTARE DHE TË FUNDIT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 xml:space="preserve">1. Ky rregullim do të jetë i vlefshëm deri në miratimin e akteve nënligjore, në zbatim të ligjit </w:t>
      </w:r>
      <w:r>
        <w:rPr>
          <w:szCs w:val="24"/>
          <w:lang w:val="sq-AL"/>
        </w:rPr>
        <w:t xml:space="preserve">nr. </w:t>
      </w:r>
      <w:r w:rsidRPr="005E33DF">
        <w:rPr>
          <w:szCs w:val="24"/>
          <w:lang w:val="sq-AL"/>
        </w:rPr>
        <w:t>107/2014, “Për planifikimin dhe zhvillimin e territorit”, por jo më vonë se 3 muaj nga data e miratimit të këtij vendimi.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2. Ngarkohen Ministria e Bujqësisë, Zhvillimit Rural dhe Administrimit të Ujërave, Ministria e Zhvillimit Urban, Agjencia Kombëtare e Planifikimit të Territorit dhe njësitë e qeverisjes vendore për zbatimin e këtij vendimi.</w:t>
      </w:r>
    </w:p>
    <w:p w:rsidR="00783C10" w:rsidRPr="005E33DF" w:rsidRDefault="00783C10" w:rsidP="00783C10">
      <w:pPr>
        <w:pStyle w:val="Paragrafi"/>
        <w:rPr>
          <w:szCs w:val="24"/>
          <w:lang w:val="sq-AL"/>
        </w:rPr>
      </w:pPr>
      <w:r w:rsidRPr="005E33DF">
        <w:rPr>
          <w:szCs w:val="24"/>
          <w:lang w:val="sq-AL"/>
        </w:rPr>
        <w:t>Ky vendim hyn në fuqi pas botimit në Fletoren Zyrtare.</w:t>
      </w:r>
    </w:p>
    <w:p w:rsidR="00783C10" w:rsidRPr="005E33DF" w:rsidRDefault="00783C10" w:rsidP="00783C10">
      <w:pPr>
        <w:pStyle w:val="Paragrafi"/>
        <w:jc w:val="right"/>
        <w:rPr>
          <w:szCs w:val="24"/>
          <w:lang w:val="sq-AL"/>
        </w:rPr>
      </w:pPr>
      <w:r w:rsidRPr="005E33DF">
        <w:rPr>
          <w:szCs w:val="24"/>
          <w:lang w:val="sq-AL"/>
        </w:rPr>
        <w:t>KRYEMINISTRI</w:t>
      </w:r>
    </w:p>
    <w:p w:rsidR="00783C10" w:rsidRPr="005E33DF" w:rsidRDefault="00783C10" w:rsidP="00783C10">
      <w:pPr>
        <w:pStyle w:val="Paragrafi"/>
        <w:jc w:val="right"/>
        <w:rPr>
          <w:b/>
          <w:szCs w:val="24"/>
          <w:lang w:val="sq-AL"/>
        </w:rPr>
      </w:pPr>
      <w:r w:rsidRPr="005E33DF">
        <w:rPr>
          <w:b/>
          <w:szCs w:val="24"/>
          <w:lang w:val="sq-AL"/>
        </w:rPr>
        <w:t>Edi Rama</w:t>
      </w:r>
    </w:p>
    <w:p w:rsidR="00FD57DC" w:rsidRDefault="00783C1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783C10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83C10"/>
    <w:rsid w:val="007A33AA"/>
    <w:rsid w:val="00912120"/>
    <w:rsid w:val="00A3508F"/>
    <w:rsid w:val="00B441A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3C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C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83C10"/>
    <w:rPr>
      <w:sz w:val="14"/>
      <w:szCs w:val="24"/>
    </w:rPr>
  </w:style>
  <w:style w:type="character" w:customStyle="1" w:styleId="grame">
    <w:name w:val="grame"/>
    <w:rsid w:val="00783C1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1390</Words>
  <Characters>7924</Characters>
  <Application>Microsoft Office Word</Application>
  <DocSecurity>0</DocSecurity>
  <Lines>66</Lines>
  <Paragraphs>18</Paragraphs>
  <ScaleCrop>false</ScaleCrop>
  <Company>Grizli777</Company>
  <LinksUpToDate>false</LinksUpToDate>
  <CharactersWithSpaces>9296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2015-04-16T08:50:00Z</dcterms:created>
  <dcterms:modified xsi:type="dcterms:W3CDTF">2015-04-16T08:50:00Z</dcterms:modified>
</cp:coreProperties>
</file>