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C10" w:rsidRPr="00204B7D" w:rsidRDefault="00783C10" w:rsidP="00783C10">
      <w:pPr>
        <w:pStyle w:val="Paragrafi"/>
        <w:jc w:val="center"/>
        <w:rPr>
          <w:b/>
          <w:szCs w:val="24"/>
          <w:lang w:val="sq-AL"/>
        </w:rPr>
      </w:pPr>
      <w:r w:rsidRPr="00204B7D">
        <w:rPr>
          <w:b/>
          <w:szCs w:val="24"/>
          <w:lang w:val="sq-AL"/>
        </w:rPr>
        <w:t>VENDIM</w:t>
      </w:r>
    </w:p>
    <w:p w:rsidR="00783C10" w:rsidRPr="00204B7D" w:rsidRDefault="00783C10" w:rsidP="00783C10">
      <w:pPr>
        <w:pStyle w:val="Paragrafi"/>
        <w:jc w:val="center"/>
        <w:rPr>
          <w:b/>
          <w:szCs w:val="24"/>
          <w:lang w:val="sq-AL"/>
        </w:rPr>
      </w:pPr>
      <w:r w:rsidRPr="00204B7D">
        <w:rPr>
          <w:b/>
          <w:szCs w:val="24"/>
          <w:lang w:val="sq-AL"/>
        </w:rPr>
        <w:t>Nr.  283, datë 1.4.2015</w:t>
      </w:r>
    </w:p>
    <w:p w:rsidR="00783C10" w:rsidRPr="00204B7D" w:rsidRDefault="00783C10" w:rsidP="00783C10">
      <w:pPr>
        <w:pStyle w:val="Hapesira7"/>
        <w:rPr>
          <w:lang w:val="sq-AL"/>
        </w:rPr>
      </w:pPr>
    </w:p>
    <w:p w:rsidR="00783C10" w:rsidRPr="00204B7D" w:rsidRDefault="00783C10" w:rsidP="00783C10">
      <w:pPr>
        <w:pStyle w:val="Paragrafi"/>
        <w:jc w:val="center"/>
        <w:rPr>
          <w:b/>
          <w:szCs w:val="24"/>
          <w:lang w:val="sq-AL"/>
        </w:rPr>
      </w:pPr>
      <w:r w:rsidRPr="00204B7D">
        <w:rPr>
          <w:b/>
          <w:szCs w:val="24"/>
          <w:lang w:val="sq-AL"/>
        </w:rPr>
        <w:t>PËR PËRCAKTIMIN E TIPAVE, RREGULLAVE, KRITEREVE DHE PROCEDURAVE PËR NDËRTIMIN E OBJEKTEVE PËR PRODHIMIN, RUAJTJEN DHE PËRPUNIMIN E PRODUKTEVE BUJQËSORE DHE BLEGTORALE, NË TOKË BUJQËSORE</w:t>
      </w:r>
      <w:r w:rsidR="00024676" w:rsidRPr="00204B7D">
        <w:rPr>
          <w:rStyle w:val="FootnoteReference"/>
          <w:b/>
          <w:szCs w:val="24"/>
          <w:lang w:val="sq-AL"/>
        </w:rPr>
        <w:footnoteReference w:id="1"/>
      </w:r>
    </w:p>
    <w:p w:rsidR="00024676" w:rsidRPr="00204B7D" w:rsidRDefault="00024676" w:rsidP="00024676">
      <w:pPr>
        <w:pStyle w:val="Paragrafi"/>
        <w:jc w:val="center"/>
        <w:rPr>
          <w:i/>
          <w:szCs w:val="24"/>
          <w:lang w:val="sq-AL"/>
        </w:rPr>
      </w:pPr>
      <w:r w:rsidRPr="00204B7D">
        <w:rPr>
          <w:i/>
          <w:szCs w:val="24"/>
          <w:lang w:val="sq-AL"/>
        </w:rPr>
        <w:t>(Ndryshuar me VKM nr.592, datë 1.07.2015; nr.956, dat</w:t>
      </w:r>
      <w:r w:rsidR="00492D64">
        <w:rPr>
          <w:i/>
          <w:szCs w:val="24"/>
          <w:lang w:val="sq-AL"/>
        </w:rPr>
        <w:t>ë</w:t>
      </w:r>
      <w:r w:rsidRPr="00204B7D">
        <w:rPr>
          <w:i/>
          <w:szCs w:val="24"/>
          <w:lang w:val="sq-AL"/>
        </w:rPr>
        <w:t xml:space="preserve"> 25.11.2015; nr.764, dat</w:t>
      </w:r>
      <w:r w:rsidR="00492D64">
        <w:rPr>
          <w:i/>
          <w:szCs w:val="24"/>
          <w:lang w:val="sq-AL"/>
        </w:rPr>
        <w:t>ë</w:t>
      </w:r>
      <w:r w:rsidRPr="00204B7D">
        <w:rPr>
          <w:i/>
          <w:szCs w:val="24"/>
          <w:lang w:val="sq-AL"/>
        </w:rPr>
        <w:t xml:space="preserve"> </w:t>
      </w:r>
      <w:bookmarkStart w:id="0" w:name="_GoBack"/>
      <w:r w:rsidRPr="00204B7D">
        <w:rPr>
          <w:i/>
          <w:szCs w:val="24"/>
          <w:lang w:val="sq-AL"/>
        </w:rPr>
        <w:t>20.10.2016</w:t>
      </w:r>
      <w:bookmarkEnd w:id="0"/>
      <w:r w:rsidRPr="00204B7D">
        <w:rPr>
          <w:i/>
          <w:szCs w:val="24"/>
          <w:lang w:val="sq-AL"/>
        </w:rPr>
        <w:t>)</w:t>
      </w:r>
    </w:p>
    <w:p w:rsidR="00024676" w:rsidRPr="00204B7D" w:rsidRDefault="00024676" w:rsidP="00024676">
      <w:pPr>
        <w:pStyle w:val="Paragrafi"/>
        <w:jc w:val="right"/>
        <w:rPr>
          <w:i/>
          <w:szCs w:val="24"/>
          <w:lang w:val="sq-AL"/>
        </w:rPr>
      </w:pPr>
      <w:r w:rsidRPr="00204B7D">
        <w:rPr>
          <w:i/>
          <w:szCs w:val="24"/>
          <w:lang w:val="sq-AL"/>
        </w:rPr>
        <w:t>(I përditësuar)</w:t>
      </w:r>
    </w:p>
    <w:p w:rsidR="00024676" w:rsidRPr="00204B7D" w:rsidRDefault="00024676" w:rsidP="00024676">
      <w:pPr>
        <w:pStyle w:val="Hapesira7"/>
        <w:rPr>
          <w:rStyle w:val="grame"/>
        </w:rPr>
      </w:pPr>
    </w:p>
    <w:p w:rsidR="00024676" w:rsidRPr="00204B7D" w:rsidRDefault="00024676" w:rsidP="00783C10">
      <w:pPr>
        <w:pStyle w:val="Paragrafi"/>
        <w:jc w:val="center"/>
        <w:rPr>
          <w:b/>
          <w:szCs w:val="24"/>
          <w:lang w:val="sq-AL"/>
        </w:rPr>
      </w:pPr>
    </w:p>
    <w:p w:rsidR="00783C10" w:rsidRPr="00204B7D" w:rsidRDefault="00783C10" w:rsidP="00783C10">
      <w:pPr>
        <w:pStyle w:val="Hapesira7"/>
        <w:rPr>
          <w:rStyle w:val="grame"/>
        </w:rPr>
      </w:pPr>
    </w:p>
    <w:p w:rsidR="00783C10" w:rsidRPr="00204B7D" w:rsidRDefault="00783C10" w:rsidP="00783C10">
      <w:pPr>
        <w:pStyle w:val="Paragrafi"/>
        <w:rPr>
          <w:spacing w:val="-4"/>
          <w:szCs w:val="24"/>
          <w:lang w:val="sq-AL"/>
        </w:rPr>
      </w:pPr>
      <w:r w:rsidRPr="00204B7D">
        <w:rPr>
          <w:spacing w:val="-4"/>
          <w:szCs w:val="24"/>
          <w:lang w:val="sq-AL"/>
        </w:rPr>
        <w:t>Në mbështetje të nenit 100 të Kushtetutës, të nenit 11/1, pikat 5/2 e 5/4, të ligjit nr. 8752, datë 26.3.2001, “Për krijimin dhe funksionimin e strukturave të administrimit dhe mbrojtjes së tokës”, të ndryshuar,dhe të nenit 8, të ligjit nr. 107/2014, “Për planifikimin dhe zhvillimin e territorit”, me propozimin e ministrit të Bujqësisë, Zhvillimit Rural dhe Administrimit të Ujërave dhe ministrit të Zhvillimit Urban, Këshilli i Ministrave</w:t>
      </w:r>
    </w:p>
    <w:p w:rsidR="00783C10" w:rsidRPr="00204B7D" w:rsidRDefault="00783C10" w:rsidP="00783C10">
      <w:pPr>
        <w:pStyle w:val="Hapesira7"/>
        <w:rPr>
          <w:lang w:val="sq-AL"/>
        </w:rPr>
      </w:pPr>
    </w:p>
    <w:p w:rsidR="00783C10" w:rsidRPr="00204B7D" w:rsidRDefault="00783C10" w:rsidP="00783C10">
      <w:pPr>
        <w:pStyle w:val="Paragrafi"/>
        <w:jc w:val="center"/>
        <w:rPr>
          <w:szCs w:val="24"/>
          <w:lang w:val="sq-AL"/>
        </w:rPr>
      </w:pPr>
      <w:r w:rsidRPr="00204B7D">
        <w:rPr>
          <w:szCs w:val="24"/>
          <w:lang w:val="sq-AL"/>
        </w:rPr>
        <w:t>VENDOSI:</w:t>
      </w:r>
    </w:p>
    <w:p w:rsidR="00783C10" w:rsidRPr="00204B7D" w:rsidRDefault="00783C10" w:rsidP="00783C10">
      <w:pPr>
        <w:pStyle w:val="Hapesira7"/>
        <w:rPr>
          <w:lang w:val="sq-AL"/>
        </w:rPr>
      </w:pP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I. TIPOLOGJIA E OBJEKTEVE PËR PRODHIMIN, RUAJTJEN, PËRPUNIMIN E PRODUKTEVE BUJQËSORE DHE BLEG-TORALE, QË NDËRTOHEN NË TOKË BUJQËSORE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Në kuptim të këtij vendimi, objekte për prodhimin, ruajtjen dhe përpunimin e produkteve bujqësore dhe blegtorale, që ndërtohen në tokë bujqësore, (më poshtë, objekte për qëllime bujqësore), janë: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- stallat për mbarështimin e kafshëve dhe objektet ndihmëse funksionale, të cilat përfshijnë, por nuk kufizohen në depo silazhi, hangar, silos, ambiente për përpunimin e ushqimeve, sallë mjeljeje, padoqe, plehrishte, depozita uji;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- serrat me themele të vazhduara, të cilat janë të lidhura në mënyrë të qëndrueshme dhe të përhershme me tokën;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- objektet ndihmëse funksionale të serrave, të cilat përfshijnë, por nuk kufizohen në magazina për standardizimin e prodhimit dhe mbajtjen e pajisjeve, imputeve;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- objektet për tharjen dhe trajtimin paraprak të nevojshëm të produkteve në kultura, të tilla si bimët medicinale etj.;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- objektet për grumbullimin dhe ruajtjen e produkteve bujqësore e blegtorale, përfshirë dhe ato frigoriferike;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- objekte për përpunimin e produkteve primare, bujqësore dhe blegtorale;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- thertoret.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 xml:space="preserve">II. RREGULLAT DHE KRITERET PËR NDËRTIMIN E OBJEKTEVE PËR QËLLI-ME BUJQËSORE 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II.a. Rregulla dhe kritere të përgjithshme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1. Për të gjitha objektet për qëllime bujqësore duhet të respektohen distancat nga rrugët, hekurudhat, aeroportet, linjat e tensionit të lartë e çdo infrastrukturë tjetër publike dhe distancat nga kanalet ujitëse e kulluese, si dhe brigjet e lumenjve, sipas legjislacionit përkatës në fuqi.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lastRenderedPageBreak/>
        <w:t>2. Lejet e ndërtimit për objektet e përcaktuara në këtë vendim jepen vetëm pasi të jetë verifikuar ekzistenca e infrastrukturave të nevojshme, për sa u përket rrugëve lidhëse, elektricitetit dhe ujit të pijshëm ose marrjes përsipër të realizimit të tyre nga investitori njëkohësisht me ndërtimin e objekteve të sipërpërmendura.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 xml:space="preserve">3. Leja e ndërtimit për objektet e përcaktuara në kreun I, të këtij vendimi, jepet vetëm me kushtin e ruajtjes dhe mosndryshimit të destinacionit për qëllim bujqësor/blegtoral të objektit për të cilin është lëshuar. 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4. Për qëllim të llogaritjes së vëllimit/sipër-faqes së ndërtimit, në intensitetin e ndërtimit përfshihet ngastra ose bllok ngastrash edhe kur ndahen nga rrugë, kanale apo kufij të tjerë natyralë, në pronësi apo përdorim. Lëshimi i lejes së ndërtimit për objektet, sipas kësaj pike, shteron mundësinë e ndërtimit në të gjitha ngastrat që janë përdorur për llogaritjen e vëllimit/sipërfaqes së ndërtimit.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 xml:space="preserve">5. Ndërtimet e lejuara në tokë bujqësore nuk duhet në asnjë rast të cenojnë infrastrukturën e ujitjes dhe kullimit të tokës bujqësore. 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II.b. Rregulla dhe kritere të veçanta: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1. Ndërtimet e objekteve ndihmëse funksio-nale për tipat sipas kreut I, të këtij vendimi, duhet të plotësojnë kushtet e mëposhtme: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a) Vëllimi maksimal i objektit të mos tejkalojë intensitetin e ndërtimit 0.03 m</w:t>
      </w:r>
      <w:r w:rsidRPr="00204B7D">
        <w:rPr>
          <w:szCs w:val="24"/>
          <w:vertAlign w:val="superscript"/>
          <w:lang w:val="sq-AL"/>
        </w:rPr>
        <w:t>3</w:t>
      </w:r>
      <w:r w:rsidRPr="00204B7D">
        <w:rPr>
          <w:szCs w:val="24"/>
          <w:lang w:val="sq-AL"/>
        </w:rPr>
        <w:t>/m</w:t>
      </w:r>
      <w:r w:rsidRPr="00204B7D">
        <w:rPr>
          <w:szCs w:val="24"/>
          <w:vertAlign w:val="superscript"/>
          <w:lang w:val="sq-AL"/>
        </w:rPr>
        <w:t>2</w:t>
      </w:r>
      <w:r w:rsidRPr="00204B7D">
        <w:rPr>
          <w:szCs w:val="24"/>
          <w:lang w:val="sq-AL"/>
        </w:rPr>
        <w:t>;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b) Të zhvillohen në një kat të vetëm dhe të respektojnë lartësinë maksimale 4,50 metër, me përjashtim të oxhakëve, siloseve dhe strukturave që tejkalojnë këtë lartësi për shkak të karakteristikave teknike;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c) Të respektohet distanca minimale 5 metër nga kufijtë e pronës;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ç) Të realizohen sipas tipologjive të përshtat-shme për funksionin që do të kryejnë dhe që nuk lejojnë ndryshimin e destinacionit të përdorimit.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2. Ndërtimet e reja të stallave lejohen me kusht që të garantojnë menaxhimin e jashtë-qitjeve shtazore, me filtrim paraprak.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3. Stallat, që mbarështojnë mbi 50 njësi gjedhi mbi bazë ditore, duhet të kenë këto karakteristika: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a) Të respektojnë distancat minimale të mëposhtme: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 xml:space="preserve">- 20 metër nga kufijtë e pronës; 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 xml:space="preserve">- 500 metër nga qendrat e banuara; 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- 100 metër nga banesa më e afërt, e veçuar nga qendra urbane.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 xml:space="preserve">b) Të zhvillohen në një kat të vetëm, me lartësi të ndryshme në bazë të karakteristikave të veçanta teknike dhe lartësi maksimale 4,50 m; 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c) Vëllimi maksimal i objektit të mos tejkalojë intensitetin e ndërtimit prej 0.5 m³/m².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4. Për stallat që mbarështojnë 10-50 njësi gjedhi mbi bazë ditore, distancat minimale nga kufijtë e pronës janë 10 metër, ndërsa karakteristikat e tjera janë të njëjta me ato të përcaktuara në pikën 3.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5. Për stallat që mbarështojnë 5-10 njësi gjedhi mbi bazë ditore, distancat minimale nga kufijtë e pronës janë 5 metër, ndërsa nga banesa më e afërt 50 metër. Karakteristikat e tjera janë të njëjta me ato të përcaktuara në shkronjat “b” dhe “c”, të pikës 3, të këtij kreu.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6. Strukturat për grumbullimin e jashtëqitjeve me origjinë shtazore duhet të vendosen në distancë jo më të vogël se 50 metër nga banesat për stallat me 5-10 njësi gjedhi dhe 100 metër për stallat më të mëdha.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7. Sipërfaqja e serrave me themele të vazh-duara, të cilat janë të lidhura në mënyrë të qëndrueshme dhe të përhershme me tokën, nuk duhet të tejkalojë 70% të sipërfaqes së pronës.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8. Për serrat e përcaktuara në pikën 7 duhet të respektohen distancat e mëposhtme: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 xml:space="preserve">a) jo më pak se 5 metër nga banesat ekzistuese në të njëjtën ngastër dhe 10 metër nga  banesat e tjera; 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b) jo më pak se 3 m nga kufiri i pronës.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lastRenderedPageBreak/>
        <w:t>9. Për serrat e tipave të tjera, të cilat nuk janë të lidhura në mënyrë të qëndrueshme dhe të përhershme me tokën, nuk kërkohet pajisja me një leje ndërtimi dhe ato janë objekt i një deklarate paraprake për kryerje punimesh. Distancat për ndërtimin e tyre janë të njëjta me ato të përcaktuara në pikën 8.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10. Ndërtimet e objekteve për grumbullimin, ruajtjen dhe përpunimin e produkteve bujqësore dhe blegtorale,përfshirë dhe ato për tharjen e trajtimin paraprak të produkteve bujqësore, duhet të plotësojnë kushtet e mëposhtme: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a) Vëllimi maksimal i objektit të mos tejkalojë intensitetin e ndërtimit prej 1 m³/m²;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b) Të respektojnë distancat minimale 7 metër nga kufijtë e pronës dhe 10 m nga ndërtesa të tjera.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11. Ndërtimet e objekteve për thertore duhet të plotësojnë kushtet e mëposhtme: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a) Vëllimi maksimal i objektit të mos tejkalojë intensitetin e ndërtimit prej 1 m³/m²;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b) Të respektojnë distancat minimale të mëposhtme: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 xml:space="preserve">- 20 metër nga kufijtë e pronës; 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 xml:space="preserve">- 500 metër nga qendrat e banuara; 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- 100 metër nga banesa më e afërt, e veçuar nga qendra urbane.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12. Rregullat dhe kriteret e përcaktuara në të gjitha pikat e këtij kreu zbatohen në të gjitha rastet, përveçse kur me akte të tjera, ligjore e nënligjore, përcaktohet ndryshe.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III. PROCEDURAT PËR NDËRTIMIN E OBJEKTEVE PËR QËLLIME BUJQËSORE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1. Rregullat dhe kriteret e përcaktuara në këtë vendim shërbejnë dhe janë të detyrueshme për zbatim nga ana e autoriteteve përgjegjëse të planifikimit dhe zhvillimit të territorit për hartimin e dokumenteve të planifikimit në të gjitha nivelet.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2. Leja e ndërtimit lëshohet nga njësia e qeverisjes vendore në përputhje me dokumentin e planifikimit vendor.</w:t>
      </w:r>
    </w:p>
    <w:p w:rsidR="00024676" w:rsidRPr="00204B7D" w:rsidRDefault="00783C10" w:rsidP="00024676">
      <w:pPr>
        <w:pStyle w:val="Paragrafi"/>
        <w:rPr>
          <w:i/>
          <w:lang w:val="sq-AL"/>
        </w:rPr>
      </w:pPr>
      <w:r w:rsidRPr="00204B7D">
        <w:rPr>
          <w:i/>
          <w:szCs w:val="24"/>
          <w:lang w:val="sq-AL"/>
        </w:rPr>
        <w:t xml:space="preserve">3. </w:t>
      </w:r>
      <w:r w:rsidR="00024676" w:rsidRPr="00204B7D">
        <w:rPr>
          <w:i/>
          <w:lang w:val="sq-AL"/>
        </w:rPr>
        <w:t>Në kushtet e mungesës së planit të përgjithshëm vendor:</w:t>
      </w:r>
    </w:p>
    <w:p w:rsidR="00024676" w:rsidRPr="00204B7D" w:rsidRDefault="00024676" w:rsidP="00024676">
      <w:pPr>
        <w:pStyle w:val="Paragrafi"/>
        <w:rPr>
          <w:i/>
          <w:lang w:val="sq-AL"/>
        </w:rPr>
      </w:pPr>
      <w:r w:rsidRPr="00204B7D">
        <w:rPr>
          <w:i/>
          <w:lang w:val="sq-AL"/>
        </w:rPr>
        <w:t>a) rregullat dhe kriteret e përcaktuara në këtë vendim janë kushtet minimale për pajisjen me leje;</w:t>
      </w:r>
    </w:p>
    <w:p w:rsidR="00024676" w:rsidRPr="00204B7D" w:rsidRDefault="00024676" w:rsidP="00024676">
      <w:pPr>
        <w:pStyle w:val="Paragrafi"/>
        <w:rPr>
          <w:i/>
          <w:lang w:val="sq-AL"/>
        </w:rPr>
      </w:pPr>
      <w:r w:rsidRPr="00204B7D">
        <w:rPr>
          <w:i/>
          <w:lang w:val="sq-AL"/>
        </w:rPr>
        <w:t>b) leja e ndërtimit lëshohet pas kontrollit të përputhshmërisë së projektpropozimit nga Agjencia e Zhvillimit të Territorit (AZHT), e cila, në bashkërendim me Ministrinë e Bujqësisë, Zhvillimit Rural dhe Administrimit të Ujërave, verifikon konformitetin me dokumentet e planifikimit të territorit në fuqi;</w:t>
      </w:r>
    </w:p>
    <w:p w:rsidR="00024676" w:rsidRPr="00204B7D" w:rsidRDefault="00024676" w:rsidP="00024676">
      <w:pPr>
        <w:pStyle w:val="Paragrafi"/>
        <w:rPr>
          <w:i/>
          <w:lang w:val="sq-AL"/>
        </w:rPr>
      </w:pPr>
      <w:r w:rsidRPr="00204B7D">
        <w:rPr>
          <w:i/>
          <w:lang w:val="sq-AL"/>
        </w:rPr>
        <w:t>c) AZHT-ja njofton bashkinë përkatëse dhe aplikantin për kontrollin e përputhshmërisë dhe vazhdimin e mëtejshëm të procedurave;</w:t>
      </w:r>
    </w:p>
    <w:p w:rsidR="00024676" w:rsidRPr="00204B7D" w:rsidRDefault="00024676" w:rsidP="00024676">
      <w:pPr>
        <w:pStyle w:val="Paragrafi"/>
        <w:rPr>
          <w:i/>
          <w:lang w:val="sq-AL"/>
        </w:rPr>
      </w:pPr>
      <w:r w:rsidRPr="00204B7D">
        <w:rPr>
          <w:i/>
          <w:lang w:val="sq-AL"/>
        </w:rPr>
        <w:t>ç) bashkia kryen verifikimin në terren, në bazë të dispozitave ligjore në fuqi për planifikimin e territorit, përfshirë edhe rregullat dhe kriteret e përcaktuara në këtë vendim dhe njofton AZHT-në;</w:t>
      </w:r>
    </w:p>
    <w:p w:rsidR="00024676" w:rsidRPr="00204B7D" w:rsidRDefault="00024676" w:rsidP="00024676">
      <w:pPr>
        <w:pStyle w:val="Paragrafi"/>
        <w:rPr>
          <w:i/>
          <w:lang w:val="sq-AL"/>
        </w:rPr>
      </w:pPr>
      <w:r w:rsidRPr="00204B7D">
        <w:rPr>
          <w:i/>
          <w:lang w:val="sq-AL"/>
        </w:rPr>
        <w:t>d) në rast se, si pasojë e verifikimeve në terren, rezulton që propozimi është në përputhje me kriteret e përcaktuara sipas këtij vendimi dhe dokumentet e planifikimit të territorit në fuqi, kryetari i bashkisë merr vendim për miratimin e lejes së ndërtimit dhe i propozon Ministrisë së Bujqësisë, Zhvillimit Rural dhe Administrimit të Ujërave të vijojë procedurat për kalimin në sipërfaqe ndërtimore të tokës bujqësore, objekt i lejes së ndërtimit. Kjo ministri, më pas, harton projektvendimin, të cilin e paraqet për miratim në Këshillin e Ministrave;</w:t>
      </w:r>
    </w:p>
    <w:p w:rsidR="00024676" w:rsidRPr="00204B7D" w:rsidRDefault="00024676" w:rsidP="00024676">
      <w:pPr>
        <w:pStyle w:val="Paragrafi"/>
        <w:rPr>
          <w:i/>
          <w:lang w:val="sq-AL"/>
        </w:rPr>
      </w:pPr>
      <w:r w:rsidRPr="00204B7D">
        <w:rPr>
          <w:i/>
          <w:lang w:val="sq-AL"/>
        </w:rPr>
        <w:t>dh) pas miratimit të kalimit të tokës bujqësore në sipërfaqe ndërtimore, bashkia i dorëzon kërkuesit dokumentin e lejes dhe e boton atë në regjistrin e integruar të planifikimit të territorit.</w:t>
      </w:r>
    </w:p>
    <w:p w:rsidR="00783C10" w:rsidRPr="00204B7D" w:rsidRDefault="00783C10" w:rsidP="00024676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IV. DISPOZITA KALIMTARE DHE TË FUNDIT</w:t>
      </w:r>
    </w:p>
    <w:p w:rsidR="00024676" w:rsidRPr="00204B7D" w:rsidRDefault="00783C10" w:rsidP="00783C10">
      <w:pPr>
        <w:pStyle w:val="Paragrafi"/>
        <w:rPr>
          <w:i/>
          <w:szCs w:val="24"/>
          <w:lang w:val="sq-AL"/>
        </w:rPr>
      </w:pPr>
      <w:r w:rsidRPr="00204B7D">
        <w:rPr>
          <w:i/>
          <w:szCs w:val="24"/>
          <w:lang w:val="sq-AL"/>
        </w:rPr>
        <w:t xml:space="preserve">1. </w:t>
      </w:r>
      <w:r w:rsidR="00024676" w:rsidRPr="00204B7D">
        <w:rPr>
          <w:i/>
          <w:szCs w:val="24"/>
          <w:lang w:val="sq-AL"/>
        </w:rPr>
        <w:t>Shfuqizuar.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2. Ngarkohen Ministria e Bujqësisë, Zhvillimit Rural dhe Administrimit të Ujërave, Ministria e Zhvillimit Urban, Agjencia Kombëtare e Planifikimit të Territorit dhe njësitë e qeverisjes vendore për zbatimin e këtij vendimi.</w:t>
      </w:r>
    </w:p>
    <w:p w:rsidR="00783C10" w:rsidRPr="00204B7D" w:rsidRDefault="00783C10" w:rsidP="00783C10">
      <w:pPr>
        <w:pStyle w:val="Paragrafi"/>
        <w:rPr>
          <w:szCs w:val="24"/>
          <w:lang w:val="sq-AL"/>
        </w:rPr>
      </w:pPr>
      <w:r w:rsidRPr="00204B7D">
        <w:rPr>
          <w:szCs w:val="24"/>
          <w:lang w:val="sq-AL"/>
        </w:rPr>
        <w:t>Ky vendim hyn në fuqi pas botimit në Fletoren Zyrtare.</w:t>
      </w:r>
    </w:p>
    <w:p w:rsidR="00783C10" w:rsidRPr="00204B7D" w:rsidRDefault="00783C10" w:rsidP="00783C10">
      <w:pPr>
        <w:pStyle w:val="Paragrafi"/>
        <w:jc w:val="right"/>
        <w:rPr>
          <w:szCs w:val="24"/>
          <w:lang w:val="sq-AL"/>
        </w:rPr>
      </w:pPr>
      <w:r w:rsidRPr="00204B7D">
        <w:rPr>
          <w:szCs w:val="24"/>
          <w:lang w:val="sq-AL"/>
        </w:rPr>
        <w:t>KRYEMINISTRI</w:t>
      </w:r>
    </w:p>
    <w:p w:rsidR="00783C10" w:rsidRPr="00204B7D" w:rsidRDefault="00783C10" w:rsidP="00783C10">
      <w:pPr>
        <w:pStyle w:val="Paragrafi"/>
        <w:jc w:val="right"/>
        <w:rPr>
          <w:b/>
          <w:szCs w:val="24"/>
          <w:lang w:val="sq-AL"/>
        </w:rPr>
      </w:pPr>
      <w:r w:rsidRPr="00204B7D">
        <w:rPr>
          <w:b/>
          <w:szCs w:val="24"/>
          <w:lang w:val="sq-AL"/>
        </w:rPr>
        <w:t>Edi Rama</w:t>
      </w:r>
    </w:p>
    <w:p w:rsidR="00FD57DC" w:rsidRPr="00204B7D" w:rsidRDefault="00492D64"/>
    <w:sectPr w:rsidR="00FD57DC" w:rsidRPr="00204B7D" w:rsidSect="0091212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A05" w:rsidRDefault="00E56A05" w:rsidP="00024676">
      <w:r>
        <w:separator/>
      </w:r>
    </w:p>
  </w:endnote>
  <w:endnote w:type="continuationSeparator" w:id="0">
    <w:p w:rsidR="00E56A05" w:rsidRDefault="00E56A05" w:rsidP="00024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3539540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="00024676" w:rsidRPr="00024676" w:rsidRDefault="00024676">
        <w:pPr>
          <w:pStyle w:val="Footer"/>
          <w:jc w:val="right"/>
          <w:rPr>
            <w:sz w:val="16"/>
            <w:szCs w:val="16"/>
          </w:rPr>
        </w:pPr>
        <w:r w:rsidRPr="00024676">
          <w:rPr>
            <w:sz w:val="16"/>
            <w:szCs w:val="16"/>
          </w:rPr>
          <w:fldChar w:fldCharType="begin"/>
        </w:r>
        <w:r w:rsidRPr="00024676">
          <w:rPr>
            <w:sz w:val="16"/>
            <w:szCs w:val="16"/>
          </w:rPr>
          <w:instrText xml:space="preserve"> PAGE   \* MERGEFORMAT </w:instrText>
        </w:r>
        <w:r w:rsidRPr="00024676">
          <w:rPr>
            <w:sz w:val="16"/>
            <w:szCs w:val="16"/>
          </w:rPr>
          <w:fldChar w:fldCharType="separate"/>
        </w:r>
        <w:r w:rsidR="00492D64">
          <w:rPr>
            <w:noProof/>
            <w:sz w:val="16"/>
            <w:szCs w:val="16"/>
          </w:rPr>
          <w:t>1</w:t>
        </w:r>
        <w:r w:rsidRPr="00024676">
          <w:rPr>
            <w:noProof/>
            <w:sz w:val="16"/>
            <w:szCs w:val="16"/>
          </w:rPr>
          <w:fldChar w:fldCharType="end"/>
        </w:r>
      </w:p>
    </w:sdtContent>
  </w:sdt>
  <w:p w:rsidR="00024676" w:rsidRDefault="000246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A05" w:rsidRDefault="00E56A05" w:rsidP="00024676">
      <w:r>
        <w:separator/>
      </w:r>
    </w:p>
  </w:footnote>
  <w:footnote w:type="continuationSeparator" w:id="0">
    <w:p w:rsidR="00E56A05" w:rsidRDefault="00E56A05" w:rsidP="00024676">
      <w:r>
        <w:continuationSeparator/>
      </w:r>
    </w:p>
  </w:footnote>
  <w:footnote w:id="1">
    <w:p w:rsidR="00024676" w:rsidRPr="00A723C7" w:rsidRDefault="00024676" w:rsidP="00024676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VKM nr.283, </w:t>
      </w:r>
      <w:proofErr w:type="spellStart"/>
      <w:r>
        <w:rPr>
          <w:rFonts w:ascii="Times New Roman" w:hAnsi="Times New Roman" w:cs="Times New Roman"/>
        </w:rPr>
        <w:t>datë</w:t>
      </w:r>
      <w:proofErr w:type="spellEnd"/>
      <w:r>
        <w:rPr>
          <w:rFonts w:ascii="Times New Roman" w:hAnsi="Times New Roman" w:cs="Times New Roman"/>
        </w:rPr>
        <w:t xml:space="preserve"> 1.04.2015 </w:t>
      </w:r>
      <w:proofErr w:type="spellStart"/>
      <w:r>
        <w:rPr>
          <w:rFonts w:ascii="Times New Roman" w:hAnsi="Times New Roman" w:cs="Times New Roman"/>
        </w:rPr>
        <w:t>është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botuar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në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Fletoren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Zyrtare</w:t>
      </w:r>
      <w:proofErr w:type="spellEnd"/>
      <w:r>
        <w:rPr>
          <w:rFonts w:ascii="Times New Roman" w:hAnsi="Times New Roman" w:cs="Times New Roman"/>
        </w:rPr>
        <w:t xml:space="preserve"> nr.55/2015</w:t>
      </w:r>
    </w:p>
    <w:p w:rsidR="00024676" w:rsidRPr="00AC7150" w:rsidRDefault="00024676" w:rsidP="00024676">
      <w:pPr>
        <w:pStyle w:val="FootnoteText"/>
        <w:rPr>
          <w:rFonts w:ascii="Times New Roman" w:hAnsi="Times New Roman" w:cs="Times New Roman"/>
        </w:rPr>
      </w:pPr>
      <w:proofErr w:type="gramStart"/>
      <w:r w:rsidRPr="00AC7150">
        <w:rPr>
          <w:rFonts w:ascii="Times New Roman" w:hAnsi="Times New Roman" w:cs="Times New Roman"/>
        </w:rPr>
        <w:t xml:space="preserve">VKM nr.592, </w:t>
      </w:r>
      <w:proofErr w:type="spellStart"/>
      <w:r w:rsidRPr="00AC7150">
        <w:rPr>
          <w:rFonts w:ascii="Times New Roman" w:hAnsi="Times New Roman" w:cs="Times New Roman"/>
        </w:rPr>
        <w:t>datë</w:t>
      </w:r>
      <w:proofErr w:type="spellEnd"/>
      <w:r w:rsidRPr="00AC7150">
        <w:rPr>
          <w:rFonts w:ascii="Times New Roman" w:hAnsi="Times New Roman" w:cs="Times New Roman"/>
        </w:rPr>
        <w:t xml:space="preserve"> 1.07.2015 </w:t>
      </w:r>
      <w:proofErr w:type="spellStart"/>
      <w:r w:rsidRPr="00AC7150">
        <w:rPr>
          <w:rFonts w:ascii="Times New Roman" w:hAnsi="Times New Roman" w:cs="Times New Roman"/>
        </w:rPr>
        <w:t>është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botuar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në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Fletoren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Zyrtare</w:t>
      </w:r>
      <w:proofErr w:type="spellEnd"/>
      <w:r w:rsidRPr="00AC7150">
        <w:rPr>
          <w:rFonts w:ascii="Times New Roman" w:hAnsi="Times New Roman" w:cs="Times New Roman"/>
        </w:rPr>
        <w:t xml:space="preserve"> nr.118/2015.</w:t>
      </w:r>
      <w:proofErr w:type="gramEnd"/>
    </w:p>
    <w:p w:rsidR="00024676" w:rsidRPr="00AC7150" w:rsidRDefault="00024676" w:rsidP="00024676">
      <w:pPr>
        <w:pStyle w:val="FootnoteText"/>
        <w:rPr>
          <w:rFonts w:ascii="Times New Roman" w:hAnsi="Times New Roman" w:cs="Times New Roman"/>
        </w:rPr>
      </w:pPr>
      <w:proofErr w:type="gramStart"/>
      <w:r w:rsidRPr="00AC7150">
        <w:rPr>
          <w:rFonts w:ascii="Times New Roman" w:hAnsi="Times New Roman" w:cs="Times New Roman"/>
        </w:rPr>
        <w:t xml:space="preserve">VKM nr.956, </w:t>
      </w:r>
      <w:proofErr w:type="spellStart"/>
      <w:r w:rsidRPr="00AC7150">
        <w:rPr>
          <w:rFonts w:ascii="Times New Roman" w:hAnsi="Times New Roman" w:cs="Times New Roman"/>
        </w:rPr>
        <w:t>datë</w:t>
      </w:r>
      <w:proofErr w:type="spellEnd"/>
      <w:r w:rsidRPr="00AC7150">
        <w:rPr>
          <w:rFonts w:ascii="Times New Roman" w:hAnsi="Times New Roman" w:cs="Times New Roman"/>
        </w:rPr>
        <w:t xml:space="preserve"> 25.11.2015 </w:t>
      </w:r>
      <w:proofErr w:type="spellStart"/>
      <w:r w:rsidRPr="00AC7150">
        <w:rPr>
          <w:rFonts w:ascii="Times New Roman" w:hAnsi="Times New Roman" w:cs="Times New Roman"/>
        </w:rPr>
        <w:t>është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botuar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në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Flëtoren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Zyrtare</w:t>
      </w:r>
      <w:proofErr w:type="spellEnd"/>
      <w:r w:rsidRPr="00AC7150">
        <w:rPr>
          <w:rFonts w:ascii="Times New Roman" w:hAnsi="Times New Roman" w:cs="Times New Roman"/>
        </w:rPr>
        <w:t xml:space="preserve"> nr.206/2015.</w:t>
      </w:r>
      <w:proofErr w:type="gramEnd"/>
    </w:p>
    <w:p w:rsidR="00024676" w:rsidRDefault="00024676" w:rsidP="00024676">
      <w:pPr>
        <w:pStyle w:val="FootnoteText"/>
      </w:pPr>
      <w:proofErr w:type="gramStart"/>
      <w:r w:rsidRPr="00AC7150">
        <w:rPr>
          <w:rFonts w:ascii="Times New Roman" w:hAnsi="Times New Roman" w:cs="Times New Roman"/>
        </w:rPr>
        <w:t xml:space="preserve">VKM nr.734, </w:t>
      </w:r>
      <w:proofErr w:type="spellStart"/>
      <w:r w:rsidRPr="00AC7150">
        <w:rPr>
          <w:rFonts w:ascii="Times New Roman" w:hAnsi="Times New Roman" w:cs="Times New Roman"/>
        </w:rPr>
        <w:t>datë</w:t>
      </w:r>
      <w:proofErr w:type="spellEnd"/>
      <w:r w:rsidRPr="00AC7150">
        <w:rPr>
          <w:rFonts w:ascii="Times New Roman" w:hAnsi="Times New Roman" w:cs="Times New Roman"/>
        </w:rPr>
        <w:t xml:space="preserve"> 20.10.2016 </w:t>
      </w:r>
      <w:proofErr w:type="spellStart"/>
      <w:r w:rsidRPr="00AC7150">
        <w:rPr>
          <w:rFonts w:ascii="Times New Roman" w:hAnsi="Times New Roman" w:cs="Times New Roman"/>
        </w:rPr>
        <w:t>është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botuar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në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Fletoren</w:t>
      </w:r>
      <w:proofErr w:type="spellEnd"/>
      <w:r w:rsidRPr="00AC7150">
        <w:rPr>
          <w:rFonts w:ascii="Times New Roman" w:hAnsi="Times New Roman" w:cs="Times New Roman"/>
        </w:rPr>
        <w:t xml:space="preserve"> </w:t>
      </w:r>
      <w:proofErr w:type="spellStart"/>
      <w:r w:rsidRPr="00AC7150">
        <w:rPr>
          <w:rFonts w:ascii="Times New Roman" w:hAnsi="Times New Roman" w:cs="Times New Roman"/>
        </w:rPr>
        <w:t>Zyrtare</w:t>
      </w:r>
      <w:proofErr w:type="spellEnd"/>
      <w:r w:rsidRPr="00AC7150">
        <w:rPr>
          <w:rFonts w:ascii="Times New Roman" w:hAnsi="Times New Roman" w:cs="Times New Roman"/>
        </w:rPr>
        <w:t xml:space="preserve"> nr.199/2016.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C10"/>
    <w:rsid w:val="00013606"/>
    <w:rsid w:val="00024676"/>
    <w:rsid w:val="00032E53"/>
    <w:rsid w:val="00070EC3"/>
    <w:rsid w:val="001D125B"/>
    <w:rsid w:val="00204B7D"/>
    <w:rsid w:val="002C0AA4"/>
    <w:rsid w:val="002E7553"/>
    <w:rsid w:val="00332E0F"/>
    <w:rsid w:val="00455FC5"/>
    <w:rsid w:val="00492D64"/>
    <w:rsid w:val="004A4709"/>
    <w:rsid w:val="00627136"/>
    <w:rsid w:val="006815F0"/>
    <w:rsid w:val="00783C10"/>
    <w:rsid w:val="007A33AA"/>
    <w:rsid w:val="00912120"/>
    <w:rsid w:val="00A3508F"/>
    <w:rsid w:val="00B441A3"/>
    <w:rsid w:val="00D27DAF"/>
    <w:rsid w:val="00E12DC7"/>
    <w:rsid w:val="00E56A05"/>
    <w:rsid w:val="00F5353D"/>
    <w:rsid w:val="00F76689"/>
    <w:rsid w:val="00F8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3C1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3C1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83C10"/>
    <w:rPr>
      <w:sz w:val="14"/>
      <w:szCs w:val="24"/>
    </w:rPr>
  </w:style>
  <w:style w:type="character" w:customStyle="1" w:styleId="grame">
    <w:name w:val="grame"/>
    <w:rsid w:val="00783C10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2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46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467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246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676"/>
  </w:style>
  <w:style w:type="paragraph" w:styleId="Footer">
    <w:name w:val="footer"/>
    <w:basedOn w:val="Normal"/>
    <w:link w:val="FooterChar"/>
    <w:uiPriority w:val="99"/>
    <w:unhideWhenUsed/>
    <w:rsid w:val="000246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6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3C1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3C1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83C10"/>
    <w:rPr>
      <w:sz w:val="14"/>
      <w:szCs w:val="24"/>
    </w:rPr>
  </w:style>
  <w:style w:type="character" w:customStyle="1" w:styleId="grame">
    <w:name w:val="grame"/>
    <w:rsid w:val="00783C10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2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46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467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246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676"/>
  </w:style>
  <w:style w:type="paragraph" w:styleId="Footer">
    <w:name w:val="footer"/>
    <w:basedOn w:val="Normal"/>
    <w:link w:val="FooterChar"/>
    <w:uiPriority w:val="99"/>
    <w:unhideWhenUsed/>
    <w:rsid w:val="000246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CEF49-0E89-4EAF-A239-F09648D76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5</cp:revision>
  <dcterms:created xsi:type="dcterms:W3CDTF">2016-11-03T12:41:00Z</dcterms:created>
  <dcterms:modified xsi:type="dcterms:W3CDTF">2019-03-20T14:39:00Z</dcterms:modified>
</cp:coreProperties>
</file>